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E365DC">
      <w:pPr>
        <w:rPr>
          <w:rFonts w:hint="default" w:ascii="Times New Roman" w:hAnsi="Times New Roman" w:eastAsia="宋体" w:cs="Times New Roman"/>
          <w:color w:val="auto"/>
          <w:sz w:val="36"/>
          <w:szCs w:val="36"/>
        </w:rPr>
      </w:pPr>
    </w:p>
    <w:p w14:paraId="76AEC59A">
      <w:pPr>
        <w:rPr>
          <w:rFonts w:hint="default" w:ascii="Times New Roman" w:hAnsi="Times New Roman" w:eastAsia="宋体" w:cs="Times New Roman"/>
          <w:color w:val="auto"/>
          <w:sz w:val="36"/>
          <w:szCs w:val="36"/>
        </w:rPr>
      </w:pPr>
    </w:p>
    <w:p w14:paraId="04F38A90">
      <w:pPr>
        <w:jc w:val="center"/>
        <w:rPr>
          <w:rFonts w:hint="default" w:ascii="Times New Roman" w:hAnsi="Times New Roman" w:eastAsia="宋体" w:cs="Times New Roman"/>
          <w:color w:val="auto"/>
          <w:sz w:val="72"/>
          <w:szCs w:val="72"/>
        </w:rPr>
      </w:pPr>
      <w:r>
        <w:rPr>
          <w:rFonts w:hint="default" w:ascii="Times New Roman" w:hAnsi="Times New Roman" w:eastAsia="宋体" w:cs="Times New Roman"/>
          <w:color w:val="auto"/>
          <w:sz w:val="72"/>
          <w:szCs w:val="72"/>
        </w:rPr>
        <w:t>建设项目环境影响报告表</w:t>
      </w:r>
    </w:p>
    <w:p w14:paraId="5F5B3118">
      <w:pPr>
        <w:adjustRightInd w:val="0"/>
        <w:snapToGrid w:val="0"/>
        <w:spacing w:before="249" w:beforeLines="80"/>
        <w:jc w:val="center"/>
        <w:rPr>
          <w:rFonts w:hint="default" w:ascii="Times New Roman" w:hAnsi="Times New Roman" w:eastAsia="宋体" w:cs="Times New Roman"/>
          <w:bCs/>
          <w:color w:val="auto"/>
          <w:sz w:val="48"/>
          <w:szCs w:val="48"/>
        </w:rPr>
      </w:pPr>
      <w:r>
        <w:rPr>
          <w:rFonts w:hint="default" w:ascii="Times New Roman" w:hAnsi="Times New Roman" w:eastAsia="宋体" w:cs="Times New Roman"/>
          <w:bCs/>
          <w:color w:val="auto"/>
          <w:sz w:val="48"/>
          <w:szCs w:val="48"/>
        </w:rPr>
        <w:t>（污染影响类）</w:t>
      </w:r>
    </w:p>
    <w:p w14:paraId="38D15178">
      <w:pPr>
        <w:jc w:val="center"/>
        <w:rPr>
          <w:rFonts w:hint="default" w:ascii="Times New Roman" w:hAnsi="Times New Roman" w:cs="Times New Roman"/>
          <w:color w:val="auto"/>
          <w:sz w:val="52"/>
          <w:szCs w:val="52"/>
        </w:rPr>
      </w:pPr>
    </w:p>
    <w:p w14:paraId="7CF9BA96">
      <w:pPr>
        <w:jc w:val="center"/>
        <w:rPr>
          <w:rFonts w:hint="default" w:ascii="Times New Roman" w:hAnsi="Times New Roman" w:eastAsia="宋体" w:cs="Times New Roman"/>
          <w:color w:val="auto"/>
          <w:sz w:val="52"/>
          <w:szCs w:val="52"/>
        </w:rPr>
      </w:pPr>
    </w:p>
    <w:p w14:paraId="269CF51C">
      <w:pPr>
        <w:ind w:firstLine="1040"/>
        <w:rPr>
          <w:rFonts w:hint="default" w:ascii="Times New Roman" w:hAnsi="Times New Roman" w:eastAsia="宋体" w:cs="Times New Roman"/>
          <w:color w:val="auto"/>
          <w:sz w:val="44"/>
          <w:szCs w:val="44"/>
        </w:rPr>
      </w:pPr>
    </w:p>
    <w:p w14:paraId="3049DD99">
      <w:pPr>
        <w:ind w:firstLine="1040"/>
        <w:rPr>
          <w:rFonts w:hint="default" w:ascii="Times New Roman" w:hAnsi="Times New Roman" w:eastAsia="宋体" w:cs="Times New Roman"/>
          <w:color w:val="auto"/>
          <w:sz w:val="44"/>
          <w:szCs w:val="44"/>
        </w:rPr>
      </w:pPr>
    </w:p>
    <w:p w14:paraId="702D9CF2">
      <w:pPr>
        <w:ind w:firstLine="1040"/>
        <w:rPr>
          <w:rFonts w:hint="default" w:ascii="Times New Roman" w:hAnsi="Times New Roman" w:eastAsia="宋体" w:cs="Times New Roman"/>
          <w:color w:val="auto"/>
          <w:sz w:val="44"/>
          <w:szCs w:val="44"/>
        </w:rPr>
      </w:pPr>
    </w:p>
    <w:p w14:paraId="59FD51C9">
      <w:pPr>
        <w:ind w:firstLine="1040"/>
        <w:rPr>
          <w:rFonts w:hint="default" w:ascii="Times New Roman" w:hAnsi="Times New Roman" w:eastAsia="宋体" w:cs="Times New Roman"/>
          <w:color w:val="auto"/>
          <w:sz w:val="44"/>
          <w:szCs w:val="44"/>
        </w:rPr>
      </w:pPr>
    </w:p>
    <w:p w14:paraId="69DDB4DD">
      <w:pPr>
        <w:adjustRightInd w:val="0"/>
        <w:snapToGrid w:val="0"/>
        <w:spacing w:line="288" w:lineRule="auto"/>
        <w:rPr>
          <w:rFonts w:hint="default" w:ascii="Times New Roman" w:hAnsi="Times New Roman" w:eastAsia="宋体" w:cs="Times New Roman"/>
          <w:color w:val="auto"/>
          <w:sz w:val="36"/>
          <w:szCs w:val="36"/>
          <w:u w:val="single"/>
        </w:rPr>
      </w:pPr>
      <w:r>
        <w:rPr>
          <w:rFonts w:hint="default" w:ascii="Times New Roman" w:hAnsi="Times New Roman" w:eastAsia="宋体" w:cs="Times New Roman"/>
          <w:color w:val="auto"/>
          <w:sz w:val="36"/>
          <w:szCs w:val="36"/>
        </w:rPr>
        <w:t>项目名称：</w:t>
      </w:r>
      <w:bookmarkStart w:id="0" w:name="_Hlk70422165"/>
      <w:r>
        <w:rPr>
          <w:rFonts w:hint="default" w:ascii="Times New Roman" w:hAnsi="Times New Roman" w:eastAsia="宋体" w:cs="Times New Roman"/>
          <w:color w:val="auto"/>
          <w:sz w:val="36"/>
          <w:szCs w:val="36"/>
          <w:u w:val="single"/>
        </w:rPr>
        <w:t xml:space="preserve"> </w:t>
      </w:r>
      <w:bookmarkEnd w:id="0"/>
      <w:r>
        <w:rPr>
          <w:rFonts w:hint="default" w:ascii="Times New Roman" w:hAnsi="Times New Roman" w:eastAsia="宋体" w:cs="Times New Roman"/>
          <w:color w:val="auto"/>
          <w:sz w:val="36"/>
          <w:szCs w:val="36"/>
          <w:u w:val="single"/>
        </w:rPr>
        <w:t xml:space="preserve"> </w:t>
      </w:r>
      <w:r>
        <w:rPr>
          <w:rFonts w:hint="eastAsia" w:ascii="Times New Roman" w:hAnsi="Times New Roman" w:eastAsia="宋体" w:cs="Times New Roman"/>
          <w:color w:val="auto"/>
          <w:sz w:val="36"/>
          <w:szCs w:val="36"/>
          <w:u w:val="single"/>
          <w:lang w:eastAsia="zh-CN"/>
        </w:rPr>
        <w:t>新建年产500吨汽车增压器零部件项目</w:t>
      </w:r>
      <w:r>
        <w:rPr>
          <w:rFonts w:hint="default" w:ascii="Times New Roman" w:hAnsi="Times New Roman" w:eastAsia="宋体" w:cs="Times New Roman"/>
          <w:color w:val="auto"/>
          <w:sz w:val="36"/>
          <w:szCs w:val="36"/>
          <w:u w:val="single"/>
        </w:rPr>
        <w:t xml:space="preserve">  </w:t>
      </w:r>
    </w:p>
    <w:p w14:paraId="2F9EA024">
      <w:pPr>
        <w:adjustRightInd w:val="0"/>
        <w:snapToGrid w:val="0"/>
        <w:spacing w:line="288" w:lineRule="auto"/>
        <w:rPr>
          <w:rFonts w:hint="default" w:ascii="Times New Roman" w:hAnsi="Times New Roman" w:eastAsia="宋体" w:cs="Times New Roman"/>
          <w:color w:val="auto"/>
          <w:sz w:val="36"/>
          <w:szCs w:val="36"/>
          <w:u w:val="single"/>
        </w:rPr>
      </w:pPr>
      <w:r>
        <w:rPr>
          <w:rFonts w:hint="default" w:ascii="Times New Roman" w:hAnsi="Times New Roman" w:eastAsia="宋体" w:cs="Times New Roman"/>
          <w:color w:val="auto"/>
          <w:sz w:val="36"/>
          <w:szCs w:val="36"/>
        </w:rPr>
        <w:t>建设单位（盖章）：</w:t>
      </w:r>
      <w:bookmarkStart w:id="1" w:name="_Hlk70422153"/>
      <w:r>
        <w:rPr>
          <w:rFonts w:hint="default" w:ascii="Times New Roman" w:hAnsi="Times New Roman" w:eastAsia="宋体" w:cs="Times New Roman"/>
          <w:color w:val="auto"/>
          <w:sz w:val="36"/>
          <w:szCs w:val="36"/>
          <w:u w:val="single"/>
        </w:rPr>
        <w:t xml:space="preserve"> </w:t>
      </w:r>
      <w:bookmarkEnd w:id="1"/>
      <w:r>
        <w:rPr>
          <w:rFonts w:hint="default" w:ascii="Times New Roman" w:hAnsi="Times New Roman" w:eastAsia="宋体" w:cs="Times New Roman"/>
          <w:color w:val="auto"/>
          <w:sz w:val="36"/>
          <w:szCs w:val="36"/>
          <w:u w:val="single"/>
          <w:lang w:val="en-US" w:eastAsia="zh-CN"/>
        </w:rPr>
        <w:t xml:space="preserve">   </w:t>
      </w:r>
      <w:r>
        <w:rPr>
          <w:rFonts w:hint="eastAsia" w:ascii="Times New Roman" w:hAnsi="Times New Roman" w:eastAsia="宋体" w:cs="Times New Roman"/>
          <w:color w:val="auto"/>
          <w:sz w:val="36"/>
          <w:szCs w:val="36"/>
          <w:u w:val="single"/>
          <w:lang w:eastAsia="zh-CN"/>
        </w:rPr>
        <w:t>常州苏创热处理有限公司</w:t>
      </w:r>
      <w:r>
        <w:rPr>
          <w:rFonts w:hint="default" w:ascii="Times New Roman" w:hAnsi="Times New Roman" w:eastAsia="宋体" w:cs="Times New Roman"/>
          <w:color w:val="auto"/>
          <w:sz w:val="36"/>
          <w:szCs w:val="36"/>
          <w:u w:val="single"/>
          <w:lang w:val="en-US" w:eastAsia="zh-CN"/>
        </w:rPr>
        <w:t xml:space="preserve"> </w:t>
      </w:r>
      <w:r>
        <w:rPr>
          <w:rFonts w:hint="eastAsia"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rPr>
        <w:t xml:space="preserve"> </w:t>
      </w:r>
    </w:p>
    <w:p w14:paraId="3DDDA53D">
      <w:pPr>
        <w:adjustRightInd w:val="0"/>
        <w:snapToGrid w:val="0"/>
        <w:spacing w:line="288" w:lineRule="auto"/>
        <w:rPr>
          <w:rFonts w:hint="default" w:ascii="Times New Roman" w:hAnsi="Times New Roman" w:eastAsia="宋体" w:cs="Times New Roman"/>
          <w:color w:val="auto"/>
          <w:sz w:val="36"/>
          <w:szCs w:val="36"/>
          <w:u w:val="single"/>
        </w:rPr>
      </w:pPr>
      <w:r>
        <w:rPr>
          <w:rFonts w:hint="default" w:ascii="Times New Roman" w:hAnsi="Times New Roman" w:eastAsia="宋体" w:cs="Times New Roman"/>
          <w:color w:val="auto"/>
          <w:sz w:val="36"/>
          <w:szCs w:val="36"/>
        </w:rPr>
        <w:t>编制日期：</w:t>
      </w:r>
      <w:r>
        <w:rPr>
          <w:rFonts w:hint="default" w:ascii="Times New Roman" w:hAnsi="Times New Roman" w:eastAsia="宋体" w:cs="Times New Roman"/>
          <w:color w:val="auto"/>
          <w:sz w:val="36"/>
          <w:szCs w:val="36"/>
          <w:u w:val="single"/>
        </w:rPr>
        <w:t xml:space="preserve">              202</w:t>
      </w:r>
      <w:r>
        <w:rPr>
          <w:rFonts w:hint="default" w:ascii="Times New Roman" w:hAnsi="Times New Roman" w:eastAsia="宋体" w:cs="Times New Roman"/>
          <w:color w:val="auto"/>
          <w:sz w:val="36"/>
          <w:szCs w:val="36"/>
          <w:u w:val="single"/>
          <w:lang w:val="en-US" w:eastAsia="zh-CN"/>
        </w:rPr>
        <w:t>4</w:t>
      </w:r>
      <w:r>
        <w:rPr>
          <w:rFonts w:hint="default" w:ascii="Times New Roman" w:hAnsi="Times New Roman" w:eastAsia="宋体" w:cs="Times New Roman"/>
          <w:color w:val="auto"/>
          <w:sz w:val="36"/>
          <w:szCs w:val="36"/>
          <w:u w:val="single"/>
        </w:rPr>
        <w:t>年</w:t>
      </w:r>
      <w:r>
        <w:rPr>
          <w:rFonts w:hint="eastAsia" w:ascii="Times New Roman" w:hAnsi="Times New Roman" w:eastAsia="宋体" w:cs="Times New Roman"/>
          <w:color w:val="auto"/>
          <w:sz w:val="36"/>
          <w:szCs w:val="36"/>
          <w:u w:val="single"/>
          <w:lang w:val="en-US" w:eastAsia="zh-CN"/>
        </w:rPr>
        <w:t>12</w:t>
      </w:r>
      <w:r>
        <w:rPr>
          <w:rFonts w:hint="default" w:ascii="Times New Roman" w:hAnsi="Times New Roman" w:eastAsia="宋体" w:cs="Times New Roman"/>
          <w:color w:val="auto"/>
          <w:sz w:val="36"/>
          <w:szCs w:val="36"/>
          <w:u w:val="single"/>
        </w:rPr>
        <w:t xml:space="preserve">月         </w:t>
      </w:r>
      <w:r>
        <w:rPr>
          <w:rFonts w:hint="eastAsia" w:ascii="Times New Roman" w:hAnsi="Times New Roman" w:eastAsia="宋体" w:cs="Times New Roman"/>
          <w:color w:val="auto"/>
          <w:sz w:val="36"/>
          <w:szCs w:val="36"/>
          <w:u w:val="single"/>
          <w:lang w:val="en-US" w:eastAsia="zh-CN"/>
        </w:rPr>
        <w:t xml:space="preserve"> </w:t>
      </w:r>
      <w:r>
        <w:rPr>
          <w:rFonts w:hint="default" w:ascii="Times New Roman" w:hAnsi="Times New Roman" w:eastAsia="宋体" w:cs="Times New Roman"/>
          <w:color w:val="auto"/>
          <w:sz w:val="36"/>
          <w:szCs w:val="36"/>
          <w:u w:val="single"/>
        </w:rPr>
        <w:t xml:space="preserve">   </w:t>
      </w:r>
    </w:p>
    <w:p w14:paraId="6B1235E4">
      <w:pPr>
        <w:adjustRightInd w:val="0"/>
        <w:snapToGrid w:val="0"/>
        <w:spacing w:line="288" w:lineRule="auto"/>
        <w:ind w:firstLine="1040"/>
        <w:rPr>
          <w:rFonts w:hint="default" w:ascii="Times New Roman" w:hAnsi="Times New Roman" w:eastAsia="宋体" w:cs="Times New Roman"/>
          <w:color w:val="auto"/>
          <w:sz w:val="36"/>
          <w:szCs w:val="36"/>
          <w:u w:val="single"/>
        </w:rPr>
      </w:pPr>
      <w:bookmarkStart w:id="2" w:name="_Hlk57884087"/>
    </w:p>
    <w:p w14:paraId="0F399FBE">
      <w:pPr>
        <w:adjustRightInd w:val="0"/>
        <w:snapToGrid w:val="0"/>
        <w:spacing w:line="288" w:lineRule="auto"/>
        <w:ind w:firstLine="1040"/>
        <w:rPr>
          <w:rFonts w:hint="default" w:ascii="Times New Roman" w:hAnsi="Times New Roman" w:eastAsia="宋体" w:cs="Times New Roman"/>
          <w:color w:val="auto"/>
          <w:sz w:val="36"/>
          <w:szCs w:val="36"/>
        </w:rPr>
      </w:pPr>
    </w:p>
    <w:p w14:paraId="0DAE03E6">
      <w:pPr>
        <w:adjustRightInd w:val="0"/>
        <w:snapToGrid w:val="0"/>
        <w:spacing w:line="288" w:lineRule="auto"/>
        <w:ind w:firstLine="1040"/>
        <w:rPr>
          <w:rFonts w:hint="default" w:ascii="Times New Roman" w:hAnsi="Times New Roman" w:eastAsia="宋体" w:cs="Times New Roman"/>
          <w:color w:val="auto"/>
          <w:sz w:val="36"/>
          <w:szCs w:val="36"/>
        </w:rPr>
      </w:pPr>
    </w:p>
    <w:p w14:paraId="1ED57934">
      <w:pPr>
        <w:adjustRightInd w:val="0"/>
        <w:snapToGrid w:val="0"/>
        <w:spacing w:line="288" w:lineRule="auto"/>
        <w:ind w:firstLine="1040"/>
        <w:rPr>
          <w:rFonts w:hint="default" w:ascii="Times New Roman" w:hAnsi="Times New Roman" w:eastAsia="宋体" w:cs="Times New Roman"/>
          <w:color w:val="auto"/>
          <w:sz w:val="36"/>
          <w:szCs w:val="36"/>
        </w:rPr>
      </w:pPr>
    </w:p>
    <w:p w14:paraId="28118E40">
      <w:pPr>
        <w:adjustRightInd w:val="0"/>
        <w:snapToGrid w:val="0"/>
        <w:spacing w:line="288" w:lineRule="auto"/>
        <w:ind w:firstLine="1040"/>
        <w:rPr>
          <w:rFonts w:hint="default" w:ascii="Times New Roman" w:hAnsi="Times New Roman" w:eastAsia="宋体" w:cs="Times New Roman"/>
          <w:color w:val="auto"/>
          <w:sz w:val="36"/>
          <w:szCs w:val="36"/>
        </w:rPr>
      </w:pPr>
    </w:p>
    <w:p w14:paraId="57463D4E">
      <w:pPr>
        <w:pStyle w:val="26"/>
        <w:rPr>
          <w:rFonts w:hint="default" w:ascii="Times New Roman" w:hAnsi="Times New Roman" w:cs="Times New Roman"/>
          <w:color w:val="auto"/>
        </w:rPr>
      </w:pPr>
    </w:p>
    <w:p w14:paraId="11320C10">
      <w:pPr>
        <w:pStyle w:val="25"/>
        <w:ind w:firstLine="210"/>
        <w:rPr>
          <w:rFonts w:hint="default" w:ascii="Times New Roman" w:hAnsi="Times New Roman" w:cs="Times New Roman"/>
          <w:color w:val="auto"/>
        </w:rPr>
      </w:pPr>
    </w:p>
    <w:bookmarkEnd w:id="2"/>
    <w:p w14:paraId="248370F4">
      <w:pPr>
        <w:adjustRightInd w:val="0"/>
        <w:snapToGrid w:val="0"/>
        <w:spacing w:line="288" w:lineRule="auto"/>
        <w:jc w:val="cente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t>中华人民共和国生态环境部制</w:t>
      </w:r>
    </w:p>
    <w:p w14:paraId="2A1C016B">
      <w:pPr>
        <w:rPr>
          <w:rFonts w:hint="default" w:ascii="Times New Roman" w:hAnsi="Times New Roman" w:eastAsia="宋体" w:cs="Times New Roman"/>
          <w:color w:val="auto"/>
          <w:sz w:val="24"/>
        </w:rPr>
      </w:pPr>
    </w:p>
    <w:p w14:paraId="7B47F6D4">
      <w:pPr>
        <w:rPr>
          <w:rFonts w:hint="default" w:ascii="Times New Roman" w:hAnsi="Times New Roman" w:eastAsia="宋体" w:cs="Times New Roman"/>
          <w:color w:val="auto"/>
          <w:sz w:val="24"/>
        </w:rPr>
      </w:pPr>
    </w:p>
    <w:p w14:paraId="2261CA4A">
      <w:pPr>
        <w:rPr>
          <w:rFonts w:hint="default" w:ascii="Times New Roman" w:hAnsi="Times New Roman" w:eastAsia="宋体" w:cs="Times New Roman"/>
          <w:color w:val="auto"/>
          <w:sz w:val="24"/>
        </w:rPr>
        <w:sectPr>
          <w:footerReference r:id="rId3" w:type="default"/>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31437AF6">
      <w:pPr>
        <w:pStyle w:val="4"/>
        <w:rPr>
          <w:rFonts w:hint="eastAsia" w:ascii="Times New Roman" w:hAnsi="Times New Roman" w:eastAsia="宋体" w:cs="Times New Roman"/>
          <w:color w:val="auto"/>
          <w:lang w:eastAsia="zh-CN"/>
        </w:rPr>
        <w:sectPr>
          <w:footerReference r:id="rId4" w:type="default"/>
          <w:pgSz w:w="11906" w:h="16838"/>
          <w:pgMar w:top="1440" w:right="1418" w:bottom="1440" w:left="1418" w:header="851" w:footer="992"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Times New Roman" w:hAnsi="Times New Roman" w:eastAsia="宋体" w:cs="Times New Roman"/>
          <w:color w:val="auto"/>
          <w:lang w:eastAsia="zh-CN"/>
        </w:rPr>
        <w:drawing>
          <wp:inline distT="0" distB="0" distL="114300" distR="114300">
            <wp:extent cx="5753735" cy="8133080"/>
            <wp:effectExtent l="0" t="0" r="6985" b="5080"/>
            <wp:docPr id="20" name="图片 20" descr="1.封面及资质-盖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封面及资质-盖章_01"/>
                    <pic:cNvPicPr>
                      <a:picLocks noChangeAspect="1"/>
                    </pic:cNvPicPr>
                  </pic:nvPicPr>
                  <pic:blipFill>
                    <a:blip r:embed="rId8"/>
                    <a:stretch>
                      <a:fillRect/>
                    </a:stretch>
                  </pic:blipFill>
                  <pic:spPr>
                    <a:xfrm>
                      <a:off x="0" y="0"/>
                      <a:ext cx="5753735" cy="8133080"/>
                    </a:xfrm>
                    <a:prstGeom prst="rect">
                      <a:avLst/>
                    </a:prstGeom>
                  </pic:spPr>
                </pic:pic>
              </a:graphicData>
            </a:graphic>
          </wp:inline>
        </w:drawing>
      </w:r>
    </w:p>
    <w:p w14:paraId="034929F1">
      <w:pPr>
        <w:pStyle w:val="4"/>
        <w:rPr>
          <w:rFonts w:hint="default" w:ascii="Times New Roman" w:hAnsi="Times New Roman" w:cs="Times New Roman"/>
          <w:color w:val="auto"/>
        </w:rPr>
      </w:pPr>
      <w:r>
        <w:rPr>
          <w:rFonts w:hint="default" w:ascii="Times New Roman" w:hAnsi="Times New Roman" w:cs="Times New Roman"/>
          <w:color w:val="auto"/>
        </w:rPr>
        <w:t>一、建设项目基础情况</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7"/>
        <w:gridCol w:w="2526"/>
        <w:gridCol w:w="2177"/>
        <w:gridCol w:w="3186"/>
      </w:tblGrid>
      <w:tr w14:paraId="22AC5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17FF5EBF">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建设项目名称</w:t>
            </w:r>
          </w:p>
        </w:tc>
        <w:tc>
          <w:tcPr>
            <w:tcW w:w="4247" w:type="pct"/>
            <w:gridSpan w:val="3"/>
            <w:vAlign w:val="center"/>
          </w:tcPr>
          <w:p w14:paraId="5C60C374">
            <w:pPr>
              <w:jc w:val="center"/>
              <w:rPr>
                <w:rFonts w:hint="default"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新建年产500吨汽车增压器零部件项目</w:t>
            </w:r>
          </w:p>
        </w:tc>
      </w:tr>
      <w:tr w14:paraId="10A88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7D9A514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项目代码</w:t>
            </w:r>
          </w:p>
        </w:tc>
        <w:tc>
          <w:tcPr>
            <w:tcW w:w="4247" w:type="pct"/>
            <w:gridSpan w:val="3"/>
            <w:vAlign w:val="center"/>
          </w:tcPr>
          <w:p w14:paraId="6BB66376">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2409-320413-04-01-821673</w:t>
            </w:r>
          </w:p>
        </w:tc>
      </w:tr>
      <w:tr w14:paraId="78913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38B1DD06">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建设单位联系人</w:t>
            </w:r>
          </w:p>
        </w:tc>
        <w:tc>
          <w:tcPr>
            <w:tcW w:w="1360" w:type="pct"/>
            <w:vAlign w:val="center"/>
          </w:tcPr>
          <w:p w14:paraId="7F61B164">
            <w:pPr>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王永朝</w:t>
            </w:r>
          </w:p>
        </w:tc>
        <w:tc>
          <w:tcPr>
            <w:tcW w:w="1172" w:type="pct"/>
            <w:vAlign w:val="center"/>
          </w:tcPr>
          <w:p w14:paraId="32D79F94">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联系方式</w:t>
            </w:r>
          </w:p>
        </w:tc>
        <w:tc>
          <w:tcPr>
            <w:tcW w:w="1714" w:type="pct"/>
            <w:vAlign w:val="center"/>
          </w:tcPr>
          <w:p w14:paraId="49B706BD">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15366828889</w:t>
            </w:r>
          </w:p>
        </w:tc>
      </w:tr>
      <w:tr w14:paraId="63C17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5EE34F4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p>
        </w:tc>
        <w:tc>
          <w:tcPr>
            <w:tcW w:w="4247" w:type="pct"/>
            <w:gridSpan w:val="3"/>
            <w:vAlign w:val="center"/>
          </w:tcPr>
          <w:p w14:paraId="46D41C26">
            <w:pPr>
              <w:jc w:val="center"/>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江苏省常州市金坛区金坛大道75号（不属于国控站点3公里范围内）</w:t>
            </w:r>
          </w:p>
        </w:tc>
      </w:tr>
      <w:tr w14:paraId="7B7A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006C2DBB">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地理坐标</w:t>
            </w:r>
          </w:p>
        </w:tc>
        <w:tc>
          <w:tcPr>
            <w:tcW w:w="4247" w:type="pct"/>
            <w:gridSpan w:val="3"/>
            <w:vAlign w:val="center"/>
          </w:tcPr>
          <w:p w14:paraId="23B14459">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u w:val="single"/>
                <w:lang w:val="en-US" w:eastAsia="zh-CN"/>
              </w:rPr>
              <w:t>119</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度</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u w:val="single"/>
                <w:lang w:val="en-US" w:eastAsia="zh-CN"/>
              </w:rPr>
              <w:t>39</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分</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u w:val="single"/>
                <w:lang w:val="en-US" w:eastAsia="zh-CN"/>
              </w:rPr>
              <w:t>4.193</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秒，</w:t>
            </w:r>
            <w:r>
              <w:rPr>
                <w:rFonts w:hint="default" w:ascii="Times New Roman" w:hAnsi="Times New Roman" w:eastAsia="宋体" w:cs="Times New Roman"/>
                <w:color w:val="auto"/>
                <w:sz w:val="24"/>
                <w:u w:val="single"/>
              </w:rPr>
              <w:t xml:space="preserve"> 31 </w:t>
            </w:r>
            <w:r>
              <w:rPr>
                <w:rFonts w:hint="default" w:ascii="Times New Roman" w:hAnsi="Times New Roman" w:eastAsia="宋体" w:cs="Times New Roman"/>
                <w:color w:val="auto"/>
                <w:sz w:val="24"/>
              </w:rPr>
              <w:t>度</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u w:val="single"/>
                <w:lang w:val="en-US" w:eastAsia="zh-CN"/>
              </w:rPr>
              <w:t>46</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分</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u w:val="single"/>
                <w:lang w:val="en-US" w:eastAsia="zh-CN"/>
              </w:rPr>
              <w:t>9.076</w:t>
            </w:r>
            <w:r>
              <w:rPr>
                <w:rFonts w:hint="default" w:ascii="Times New Roman" w:hAnsi="Times New Roman" w:eastAsia="宋体" w:cs="Times New Roman"/>
                <w:color w:val="auto"/>
                <w:sz w:val="24"/>
                <w:u w:val="single"/>
              </w:rPr>
              <w:t xml:space="preserve"> </w:t>
            </w:r>
            <w:r>
              <w:rPr>
                <w:rFonts w:hint="default" w:ascii="Times New Roman" w:hAnsi="Times New Roman" w:eastAsia="宋体" w:cs="Times New Roman"/>
                <w:color w:val="auto"/>
                <w:sz w:val="24"/>
              </w:rPr>
              <w:t>秒）</w:t>
            </w:r>
          </w:p>
        </w:tc>
      </w:tr>
      <w:tr w14:paraId="3D500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4AFF3449">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国民经济行业类别</w:t>
            </w:r>
          </w:p>
        </w:tc>
        <w:tc>
          <w:tcPr>
            <w:tcW w:w="1360" w:type="pct"/>
            <w:vAlign w:val="center"/>
          </w:tcPr>
          <w:p w14:paraId="6885E368">
            <w:pPr>
              <w:adjustRightInd w:val="0"/>
              <w:snapToGrid w:val="0"/>
              <w:jc w:val="center"/>
              <w:rPr>
                <w:rFonts w:hint="eastAsia" w:ascii="Times New Roman" w:hAnsi="Times New Roman" w:eastAsia="宋体" w:cs="Times New Roman"/>
                <w:color w:val="auto"/>
                <w:sz w:val="24"/>
                <w:lang w:eastAsia="zh-CN"/>
              </w:rPr>
            </w:pPr>
            <w:r>
              <w:rPr>
                <w:rFonts w:hint="default" w:ascii="Times New Roman" w:hAnsi="Times New Roman" w:eastAsia="宋体" w:cs="Times New Roman"/>
                <w:color w:val="auto"/>
                <w:sz w:val="24"/>
              </w:rPr>
              <w:t>C3360 金属表面处理及热处理加工</w:t>
            </w:r>
          </w:p>
        </w:tc>
        <w:tc>
          <w:tcPr>
            <w:tcW w:w="1172" w:type="pct"/>
            <w:vAlign w:val="center"/>
          </w:tcPr>
          <w:p w14:paraId="2F147FE1">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4D87599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行业类别</w:t>
            </w:r>
          </w:p>
        </w:tc>
        <w:tc>
          <w:tcPr>
            <w:tcW w:w="1714" w:type="pct"/>
            <w:vAlign w:val="center"/>
          </w:tcPr>
          <w:p w14:paraId="659CF1F8">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三十、金属制品业，67、金属表面处理及热处理加工</w:t>
            </w:r>
          </w:p>
        </w:tc>
      </w:tr>
      <w:tr w14:paraId="102C3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2499C22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w:t>
            </w:r>
          </w:p>
        </w:tc>
        <w:tc>
          <w:tcPr>
            <w:tcW w:w="1360" w:type="pct"/>
            <w:vAlign w:val="center"/>
          </w:tcPr>
          <w:p w14:paraId="33721FA5">
            <w:pPr>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新建（迁建）</w:t>
            </w:r>
          </w:p>
          <w:p w14:paraId="4252025B">
            <w:pPr>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改建</w:t>
            </w:r>
          </w:p>
          <w:p w14:paraId="3C62D9BD">
            <w:pPr>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扩建</w:t>
            </w:r>
          </w:p>
          <w:p w14:paraId="76760AA5">
            <w:pPr>
              <w:jc w:val="left"/>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技术改造</w:t>
            </w:r>
          </w:p>
        </w:tc>
        <w:tc>
          <w:tcPr>
            <w:tcW w:w="1172" w:type="pct"/>
            <w:vAlign w:val="center"/>
          </w:tcPr>
          <w:p w14:paraId="7B147FB0">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w:t>
            </w:r>
          </w:p>
          <w:p w14:paraId="23297567">
            <w:pPr>
              <w:adjustRightInd w:val="0"/>
              <w:snapToGrid w:val="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申报情形</w:t>
            </w:r>
          </w:p>
        </w:tc>
        <w:tc>
          <w:tcPr>
            <w:tcW w:w="1714" w:type="pct"/>
            <w:vAlign w:val="center"/>
          </w:tcPr>
          <w:p w14:paraId="36226F02">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☑首次申报项目</w:t>
            </w:r>
          </w:p>
          <w:p w14:paraId="3B4155C1">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□不予批准后再次申报项目</w:t>
            </w:r>
          </w:p>
          <w:p w14:paraId="07DDC52E">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□超五年重新审核项目</w:t>
            </w:r>
          </w:p>
          <w:p w14:paraId="25891F6C">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□重大变动重新报批项目</w:t>
            </w:r>
          </w:p>
        </w:tc>
      </w:tr>
      <w:tr w14:paraId="2ED2D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09EEBE17">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w:t>
            </w:r>
          </w:p>
          <w:p w14:paraId="48DEBE10">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（核准/备案）部门</w:t>
            </w:r>
          </w:p>
          <w:p w14:paraId="254FD2B6">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（选填）</w:t>
            </w:r>
          </w:p>
        </w:tc>
        <w:tc>
          <w:tcPr>
            <w:tcW w:w="1360" w:type="pct"/>
            <w:vAlign w:val="center"/>
          </w:tcPr>
          <w:p w14:paraId="4B4B7240">
            <w:pPr>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常州市金坛区发展和改革局</w:t>
            </w:r>
          </w:p>
        </w:tc>
        <w:tc>
          <w:tcPr>
            <w:tcW w:w="1172" w:type="pct"/>
            <w:vAlign w:val="center"/>
          </w:tcPr>
          <w:p w14:paraId="060F97ED">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项目审批（核准/备案）文号</w:t>
            </w:r>
          </w:p>
          <w:p w14:paraId="4C608D7B">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（选填）</w:t>
            </w:r>
          </w:p>
        </w:tc>
        <w:tc>
          <w:tcPr>
            <w:tcW w:w="1714" w:type="pct"/>
            <w:vAlign w:val="center"/>
          </w:tcPr>
          <w:p w14:paraId="4DEC9C0F">
            <w:pPr>
              <w:jc w:val="center"/>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4"/>
                <w:lang w:eastAsia="zh-CN"/>
              </w:rPr>
              <w:t>坛发改备〔2024〕457号</w:t>
            </w:r>
          </w:p>
        </w:tc>
      </w:tr>
      <w:tr w14:paraId="2B509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67730CFA">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总投资</w:t>
            </w:r>
          </w:p>
          <w:p w14:paraId="3254EFF5">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（万元）</w:t>
            </w:r>
          </w:p>
        </w:tc>
        <w:tc>
          <w:tcPr>
            <w:tcW w:w="1360" w:type="pct"/>
            <w:vAlign w:val="center"/>
          </w:tcPr>
          <w:p w14:paraId="62E62E8D">
            <w:pPr>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000</w:t>
            </w:r>
          </w:p>
        </w:tc>
        <w:tc>
          <w:tcPr>
            <w:tcW w:w="1172" w:type="pct"/>
            <w:vAlign w:val="center"/>
          </w:tcPr>
          <w:p w14:paraId="65594FC7">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w:t>
            </w:r>
          </w:p>
          <w:p w14:paraId="0DC208E9">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（万元）</w:t>
            </w:r>
          </w:p>
        </w:tc>
        <w:tc>
          <w:tcPr>
            <w:tcW w:w="1714" w:type="pct"/>
            <w:vAlign w:val="center"/>
          </w:tcPr>
          <w:p w14:paraId="47F45BF9">
            <w:pPr>
              <w:jc w:val="center"/>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10</w:t>
            </w:r>
            <w:r>
              <w:rPr>
                <w:rFonts w:hint="default" w:ascii="Times New Roman" w:hAnsi="Times New Roman" w:eastAsia="宋体" w:cs="Times New Roman"/>
                <w:color w:val="auto"/>
                <w:sz w:val="24"/>
                <w:lang w:val="en-US" w:eastAsia="zh-CN"/>
              </w:rPr>
              <w:t>0</w:t>
            </w:r>
          </w:p>
        </w:tc>
      </w:tr>
      <w:tr w14:paraId="113BE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612D904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环保投资占比（%）</w:t>
            </w:r>
          </w:p>
        </w:tc>
        <w:tc>
          <w:tcPr>
            <w:tcW w:w="1360" w:type="pct"/>
            <w:vAlign w:val="center"/>
          </w:tcPr>
          <w:p w14:paraId="0F93CE25">
            <w:pPr>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3.33</w:t>
            </w:r>
          </w:p>
        </w:tc>
        <w:tc>
          <w:tcPr>
            <w:tcW w:w="1172" w:type="pct"/>
            <w:vAlign w:val="center"/>
          </w:tcPr>
          <w:p w14:paraId="1E8EC510">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施工工期</w:t>
            </w:r>
          </w:p>
        </w:tc>
        <w:tc>
          <w:tcPr>
            <w:tcW w:w="1714" w:type="pct"/>
            <w:vAlign w:val="center"/>
          </w:tcPr>
          <w:p w14:paraId="66B6839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2个月</w:t>
            </w:r>
          </w:p>
        </w:tc>
      </w:tr>
      <w:tr w14:paraId="3343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0348119F">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是否开工建设</w:t>
            </w:r>
          </w:p>
        </w:tc>
        <w:tc>
          <w:tcPr>
            <w:tcW w:w="1360" w:type="pct"/>
            <w:vAlign w:val="center"/>
          </w:tcPr>
          <w:p w14:paraId="565A3719">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√否</w:t>
            </w:r>
          </w:p>
          <w:p w14:paraId="4010D61F">
            <w:pPr>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□是：</w:t>
            </w:r>
          </w:p>
        </w:tc>
        <w:tc>
          <w:tcPr>
            <w:tcW w:w="1172" w:type="pct"/>
            <w:vAlign w:val="center"/>
          </w:tcPr>
          <w:p w14:paraId="41BC455F">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用地（用海）</w:t>
            </w:r>
          </w:p>
          <w:p w14:paraId="3A5F124E">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面积（m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p>
        </w:tc>
        <w:tc>
          <w:tcPr>
            <w:tcW w:w="1714" w:type="pct"/>
            <w:vAlign w:val="center"/>
          </w:tcPr>
          <w:p w14:paraId="5680DAE8">
            <w:pPr>
              <w:jc w:val="center"/>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4454.9（建筑面积）</w:t>
            </w:r>
          </w:p>
        </w:tc>
      </w:tr>
      <w:tr w14:paraId="42A64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55C0C957">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专项评价设置情况</w:t>
            </w:r>
          </w:p>
        </w:tc>
        <w:tc>
          <w:tcPr>
            <w:tcW w:w="4247" w:type="pct"/>
            <w:gridSpan w:val="3"/>
            <w:vAlign w:val="center"/>
          </w:tcPr>
          <w:p w14:paraId="7A6B2998">
            <w:pPr>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无</w:t>
            </w:r>
          </w:p>
        </w:tc>
      </w:tr>
      <w:tr w14:paraId="1A4B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276D9ED1">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规划情况</w:t>
            </w:r>
          </w:p>
        </w:tc>
        <w:tc>
          <w:tcPr>
            <w:tcW w:w="4247" w:type="pct"/>
            <w:gridSpan w:val="3"/>
            <w:vAlign w:val="center"/>
          </w:tcPr>
          <w:p w14:paraId="62C03072">
            <w:pPr>
              <w:keepNext w:val="0"/>
              <w:keepLines w:val="0"/>
              <w:pageBreakBefore w:val="0"/>
              <w:widowControl w:val="0"/>
              <w:kinsoku/>
              <w:wordWrap/>
              <w:overflowPunct/>
              <w:topLinePunct w:val="0"/>
              <w:autoSpaceDE/>
              <w:autoSpaceDN/>
              <w:bidi w:val="0"/>
              <w:adjustRightInd w:val="0"/>
              <w:snapToGrid w:val="0"/>
              <w:spacing w:before="12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名称：《金坛华罗庚科技产业园规划》</w:t>
            </w:r>
          </w:p>
          <w:p w14:paraId="2793305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审批机关：常州市人民政府</w:t>
            </w:r>
          </w:p>
          <w:p w14:paraId="6ED7A1BD">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审批文件名称及文号：《常州市人民政府关于批准设立金坛华罗庚科技产业园和金坛金城科技产业园的批复》（常政复〔2014〕57号）</w:t>
            </w:r>
          </w:p>
        </w:tc>
      </w:tr>
      <w:tr w14:paraId="2245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52" w:type="pct"/>
            <w:vAlign w:val="center"/>
          </w:tcPr>
          <w:p w14:paraId="3C7B7EBA">
            <w:pPr>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规划环境影响评价情况</w:t>
            </w:r>
          </w:p>
        </w:tc>
        <w:tc>
          <w:tcPr>
            <w:tcW w:w="4247" w:type="pct"/>
            <w:gridSpan w:val="3"/>
            <w:vAlign w:val="center"/>
          </w:tcPr>
          <w:p w14:paraId="575901B8">
            <w:pPr>
              <w:keepNext w:val="0"/>
              <w:keepLines w:val="0"/>
              <w:pageBreakBefore w:val="0"/>
              <w:widowControl w:val="0"/>
              <w:kinsoku/>
              <w:wordWrap/>
              <w:overflowPunct/>
              <w:topLinePunct w:val="0"/>
              <w:autoSpaceDE/>
              <w:autoSpaceDN/>
              <w:bidi w:val="0"/>
              <w:adjustRightInd w:val="0"/>
              <w:snapToGrid w:val="0"/>
              <w:spacing w:before="120"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名称：《江苏省金坛华罗庚高新技术产业开发区开发建设规划（2022~2035）环境影响报告书》</w:t>
            </w:r>
          </w:p>
          <w:p w14:paraId="2C278AB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审批机关：常州市生态环境局</w:t>
            </w:r>
          </w:p>
          <w:p w14:paraId="3694EAE9">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审批文件名称及文号：《关于江苏省金坛华罗庚高新技术产业开发区开发建设规划（2022~2035）环境影响报告书的审查意见》（常金环审[2023]4号）</w:t>
            </w:r>
          </w:p>
        </w:tc>
      </w:tr>
      <w:tr w14:paraId="3B034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97" w:type="dxa"/>
            <w:vAlign w:val="center"/>
          </w:tcPr>
          <w:p w14:paraId="0FE9E88A">
            <w:pPr>
              <w:autoSpaceDE w:val="0"/>
              <w:autoSpaceDN w:val="0"/>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规划及规划环境影响评价符合性分析</w:t>
            </w:r>
          </w:p>
        </w:tc>
        <w:tc>
          <w:tcPr>
            <w:tcW w:w="7889" w:type="dxa"/>
            <w:gridSpan w:val="3"/>
            <w:vAlign w:val="center"/>
          </w:tcPr>
          <w:p w14:paraId="6234E5F9">
            <w:pPr>
              <w:spacing w:line="50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（一）与金坛华罗庚科技产业园规划符合性分析</w:t>
            </w:r>
          </w:p>
          <w:p w14:paraId="00208AC0">
            <w:pPr>
              <w:spacing w:line="50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1、规划范围</w:t>
            </w:r>
          </w:p>
          <w:p w14:paraId="40C16E91">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华罗庚科技产业园规划范围为：东至双龙路、南至站前路、西至金湖路、北至亿晶路，占地面积15.8平方公里。</w:t>
            </w:r>
          </w:p>
          <w:p w14:paraId="71291FFE">
            <w:pPr>
              <w:spacing w:line="50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2、功能定位</w:t>
            </w:r>
          </w:p>
          <w:p w14:paraId="1F4B5AB1">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金坛华罗庚科技产业园和金坛金城科技产业园要按照布局集中、产业集聚、用地集约、特色鲜明、规模适度、配套完善的要求，立足科学发展，着力自主创新，完善体制机制，努力打造成为促进技术进步和增强自主创新能力的重要载体，成为带动区域经济结构调整和经济发展方式转变的强大引擎，成为高新技术企业集聚的创新高地，成为常州市新兴产业发展的前沿阵地。</w:t>
            </w:r>
          </w:p>
          <w:p w14:paraId="4DA3F35F">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华罗庚科技园区：金坛华科园成立于2014年，自成立以来该园区加快项目引进和建设，已初步构建成以新一代信息技术、新能源汽车为核心的特色产业体系，集聚了以信维通信、飞荣达为龙头的新一代信息技术产业企业22家，以中航锂电、贝特瑞为龙头的新能源汽车产业企业41家。目前，已规划建设河海大学科技园、金坛华罗庚产业科技创新中心、中日（金坛）产业园三大创新区域，已建成省级以上科技企业孵化器2个。升格后的华罗庚高新区，将瞄准新兴产业高端发展、科技创新引领未来、千亿元园区发展方向和目标，树立</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产业+创新</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理念，围绕产业链部署创新链、围绕创新链布局产业链，形成项目带动、创新驱动</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双引擎</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发展格局，形成与金坛经济开发区、5镇现代产业园</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三驾马车</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齐头并进态势，共同推动区域经济高质量发展。</w:t>
            </w:r>
          </w:p>
          <w:p w14:paraId="1738CA61">
            <w:pPr>
              <w:spacing w:line="50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3、用地规划</w:t>
            </w:r>
          </w:p>
          <w:p w14:paraId="1EDDCF9D">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金坛华罗庚科技产业园和金坛金城科技产业园必须严格实施土地利用总体规划和城市总体规划，按规定履行具体用地报批手续；必须依法供地，以产业用地为主，合理、集约、高效利用土地资源。</w:t>
            </w:r>
          </w:p>
          <w:p w14:paraId="385C2C39">
            <w:pPr>
              <w:spacing w:line="500" w:lineRule="exact"/>
              <w:ind w:firstLine="482"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
                <w:color w:val="auto"/>
                <w:sz w:val="24"/>
                <w:szCs w:val="24"/>
              </w:rPr>
              <w:t>对照分析：</w:t>
            </w:r>
            <w:r>
              <w:rPr>
                <w:rFonts w:hint="default" w:ascii="Times New Roman" w:hAnsi="Times New Roman" w:eastAsia="宋体" w:cs="Times New Roman"/>
                <w:bCs/>
                <w:color w:val="auto"/>
                <w:sz w:val="24"/>
                <w:szCs w:val="24"/>
              </w:rPr>
              <w:t>本项目位于</w:t>
            </w:r>
            <w:r>
              <w:rPr>
                <w:rFonts w:hint="default" w:ascii="Times New Roman" w:hAnsi="Times New Roman" w:eastAsia="宋体" w:cs="Times New Roman"/>
                <w:bCs/>
                <w:color w:val="auto"/>
                <w:sz w:val="24"/>
                <w:szCs w:val="24"/>
                <w:lang w:eastAsia="zh-CN"/>
              </w:rPr>
              <w:t>江苏省常州市金坛区金坛大道75号</w:t>
            </w:r>
            <w:r>
              <w:rPr>
                <w:rFonts w:hint="default" w:ascii="Times New Roman" w:hAnsi="Times New Roman" w:eastAsia="宋体" w:cs="Times New Roman"/>
                <w:bCs/>
                <w:color w:val="auto"/>
                <w:sz w:val="24"/>
                <w:szCs w:val="24"/>
              </w:rPr>
              <w:t>，位于华星科创产业园区内</w:t>
            </w:r>
            <w:r>
              <w:rPr>
                <w:rFonts w:hint="eastAsia" w:ascii="Times New Roman" w:hAnsi="Times New Roman" w:eastAsia="宋体" w:cs="Times New Roman"/>
                <w:bCs/>
                <w:color w:val="auto"/>
                <w:sz w:val="24"/>
                <w:szCs w:val="24"/>
                <w:lang w:eastAsia="zh-CN"/>
              </w:rPr>
              <w:t>（</w:t>
            </w:r>
            <w:r>
              <w:rPr>
                <w:rFonts w:hint="eastAsia" w:ascii="Times New Roman" w:hAnsi="Times New Roman" w:eastAsia="宋体" w:cs="Times New Roman"/>
                <w:bCs/>
                <w:color w:val="auto"/>
                <w:sz w:val="24"/>
                <w:szCs w:val="24"/>
                <w:lang w:val="en-US" w:eastAsia="zh-CN"/>
              </w:rPr>
              <w:t>附租赁证明和购买证明</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，主要从事</w:t>
            </w:r>
            <w:r>
              <w:rPr>
                <w:rFonts w:hint="eastAsia" w:ascii="Times New Roman" w:hAnsi="Times New Roman" w:eastAsia="宋体" w:cs="Times New Roman"/>
                <w:color w:val="auto"/>
                <w:sz w:val="24"/>
                <w:lang w:eastAsia="zh-CN"/>
              </w:rPr>
              <w:t>汽车增压器零部件</w:t>
            </w:r>
            <w:r>
              <w:rPr>
                <w:rFonts w:hint="default" w:ascii="Times New Roman" w:hAnsi="Times New Roman" w:eastAsia="宋体" w:cs="Times New Roman"/>
                <w:bCs/>
                <w:color w:val="auto"/>
                <w:sz w:val="24"/>
                <w:szCs w:val="24"/>
              </w:rPr>
              <w:t>产品的生产，满足华罗庚高新技术产业开发区产业定位；根据《江苏省金坛华罗庚高新技术产业开发区近期用地规划图（2025年）》，本项目所在地已规划为工业用地，本项目国民经济行业类别属于</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C3360 金属表面处理及热处理加工</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，从事工业生产，用地性质符合要求。</w:t>
            </w:r>
          </w:p>
          <w:p w14:paraId="4B1098D9">
            <w:pPr>
              <w:spacing w:line="50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（二）与《江苏省金坛华罗庚高新技术产业开发区开发建设规划（2022~2035）环境影响报告书》及其审查意见（常金环审[2023]4号）符合性分析</w:t>
            </w:r>
          </w:p>
          <w:p w14:paraId="79075561">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金坛华罗庚科技产业园是金坛华罗庚高新技术产业开发区的前身，华创智谷工业园是金坛华罗庚高新技术产业开发区内由江苏金坛华罗庚科技产业发展有限公司建设的小工业集聚园。</w:t>
            </w:r>
          </w:p>
          <w:p w14:paraId="0BCF6441">
            <w:pPr>
              <w:spacing w:line="50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1、规划范围和时限</w:t>
            </w:r>
          </w:p>
          <w:p w14:paraId="560845B2">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规划范围：江苏省金坛华罗庚高新技术产业开发区，规划总面积34.11km</w:t>
            </w:r>
            <w:r>
              <w:rPr>
                <w:rFonts w:hint="default" w:ascii="Times New Roman" w:hAnsi="Times New Roman" w:eastAsia="宋体" w:cs="Times New Roman"/>
                <w:bCs/>
                <w:color w:val="auto"/>
                <w:sz w:val="24"/>
                <w:szCs w:val="24"/>
                <w:vertAlign w:val="superscript"/>
              </w:rPr>
              <w:t>2</w:t>
            </w:r>
            <w:r>
              <w:rPr>
                <w:rFonts w:hint="default" w:ascii="Times New Roman" w:hAnsi="Times New Roman" w:eastAsia="宋体" w:cs="Times New Roman"/>
                <w:bCs/>
                <w:color w:val="auto"/>
                <w:sz w:val="24"/>
                <w:szCs w:val="24"/>
              </w:rPr>
              <w:t>。其中，华罗庚科技产业园片区四至范围：东至银湖路、南至江东大道、西至金湖路、北至金武快速路和南二环路，片区规划面积为31.19km</w:t>
            </w:r>
            <w:r>
              <w:rPr>
                <w:rFonts w:hint="default" w:ascii="Times New Roman" w:hAnsi="Times New Roman" w:eastAsia="宋体" w:cs="Times New Roman"/>
                <w:bCs/>
                <w:color w:val="auto"/>
                <w:sz w:val="24"/>
                <w:szCs w:val="24"/>
                <w:vertAlign w:val="superscript"/>
              </w:rPr>
              <w:t>2</w:t>
            </w:r>
            <w:r>
              <w:rPr>
                <w:rFonts w:hint="default" w:ascii="Times New Roman" w:hAnsi="Times New Roman" w:eastAsia="宋体" w:cs="Times New Roman"/>
                <w:bCs/>
                <w:color w:val="auto"/>
                <w:sz w:val="24"/>
                <w:szCs w:val="24"/>
              </w:rPr>
              <w:t>。</w:t>
            </w:r>
          </w:p>
          <w:p w14:paraId="2B634196">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规划时限：规划基准年2021年，规划期限为2022~2035年，其中近期为2022-2025年，远期为2026-2035年。</w:t>
            </w:r>
          </w:p>
          <w:p w14:paraId="7E79351F">
            <w:pPr>
              <w:spacing w:line="500" w:lineRule="exact"/>
              <w:ind w:firstLine="482"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
                <w:color w:val="auto"/>
                <w:sz w:val="24"/>
                <w:szCs w:val="24"/>
              </w:rPr>
              <w:t>对照分析：</w:t>
            </w:r>
            <w:r>
              <w:rPr>
                <w:rFonts w:hint="default" w:ascii="Times New Roman" w:hAnsi="Times New Roman" w:eastAsia="宋体" w:cs="Times New Roman"/>
                <w:bCs/>
                <w:color w:val="auto"/>
                <w:sz w:val="24"/>
                <w:szCs w:val="24"/>
              </w:rPr>
              <w:t>本项目位于</w:t>
            </w:r>
            <w:r>
              <w:rPr>
                <w:rFonts w:hint="default" w:ascii="Times New Roman" w:hAnsi="Times New Roman" w:eastAsia="宋体" w:cs="Times New Roman"/>
                <w:bCs/>
                <w:color w:val="auto"/>
                <w:sz w:val="24"/>
                <w:szCs w:val="24"/>
                <w:lang w:eastAsia="zh-CN"/>
              </w:rPr>
              <w:t>江苏省常州市金坛区金坛大道75号</w:t>
            </w:r>
            <w:r>
              <w:rPr>
                <w:rFonts w:hint="default" w:ascii="Times New Roman" w:hAnsi="Times New Roman" w:eastAsia="宋体" w:cs="Times New Roman"/>
                <w:bCs/>
                <w:color w:val="auto"/>
                <w:sz w:val="24"/>
                <w:szCs w:val="24"/>
              </w:rPr>
              <w:t>，根据</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江苏省金坛华罗庚高新技术产业开发区近期用地规划图（2025年）》，项目所在地</w:t>
            </w:r>
            <w:r>
              <w:rPr>
                <w:rFonts w:hint="eastAsia" w:ascii="Times New Roman" w:hAnsi="Times New Roman" w:eastAsia="宋体" w:cs="Times New Roman"/>
                <w:bCs/>
                <w:color w:val="auto"/>
                <w:sz w:val="24"/>
                <w:szCs w:val="24"/>
                <w:lang w:val="en-US" w:eastAsia="zh-CN"/>
              </w:rPr>
              <w:t>位于开发区范围内，且</w:t>
            </w:r>
            <w:r>
              <w:rPr>
                <w:rFonts w:hint="default" w:ascii="Times New Roman" w:hAnsi="Times New Roman" w:eastAsia="宋体" w:cs="Times New Roman"/>
                <w:bCs/>
                <w:color w:val="auto"/>
                <w:sz w:val="24"/>
                <w:szCs w:val="24"/>
              </w:rPr>
              <w:t>为工业用地，符合用地性质要求。</w:t>
            </w:r>
          </w:p>
          <w:p w14:paraId="5459E94C">
            <w:pPr>
              <w:spacing w:line="50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2、产业定位</w:t>
            </w:r>
          </w:p>
          <w:p w14:paraId="17FC4931">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华罗庚高新区将依托华罗庚科技产业园片区</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北区</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、金东现代产业园片区</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南区</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前期产业发展基础，以</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强链、补链、融链</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为原则，做强做大新能源汽车、新型基础设施建设两大主导产业，培育打造智能网联汽车</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一区一战略产业</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构建</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2-1</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高新技术产业体系，进一步凸显华罗庚高新区的产业特色和优势。同时，加快园区原有产业升级与转型，以</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绿色智能制造</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为主线，从产业链和产业集群入手，发挥链主企业的引领作用，整合优质资源，提升创新研发、产业化、综合集成能力，推动产业纵向延伸、横向联合和跨界整合；以产业集群创新园区建设与发展模式，带动区内原有中小企业转型发展全面提升园区高质量发展水平。</w:t>
            </w:r>
          </w:p>
          <w:p w14:paraId="349479FF">
            <w:pPr>
              <w:spacing w:line="500" w:lineRule="exact"/>
              <w:ind w:firstLine="482"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
                <w:color w:val="auto"/>
                <w:sz w:val="24"/>
                <w:szCs w:val="24"/>
              </w:rPr>
              <w:t>对照分析：</w:t>
            </w:r>
            <w:r>
              <w:rPr>
                <w:rFonts w:hint="default" w:ascii="Times New Roman" w:hAnsi="Times New Roman" w:eastAsia="宋体" w:cs="Times New Roman"/>
                <w:bCs/>
                <w:color w:val="auto"/>
                <w:sz w:val="24"/>
                <w:szCs w:val="24"/>
              </w:rPr>
              <w:t>本项目从事</w:t>
            </w:r>
            <w:r>
              <w:rPr>
                <w:rFonts w:hint="eastAsia" w:ascii="Times New Roman" w:hAnsi="Times New Roman" w:eastAsia="宋体" w:cs="Times New Roman"/>
                <w:color w:val="auto"/>
                <w:sz w:val="24"/>
                <w:lang w:eastAsia="zh-CN"/>
              </w:rPr>
              <w:t>汽车增压器零部件</w:t>
            </w:r>
            <w:r>
              <w:rPr>
                <w:rFonts w:hint="default" w:ascii="Times New Roman" w:hAnsi="Times New Roman" w:eastAsia="宋体" w:cs="Times New Roman"/>
                <w:bCs/>
                <w:color w:val="auto"/>
                <w:sz w:val="24"/>
                <w:szCs w:val="24"/>
              </w:rPr>
              <w:t>产品的生产，与</w:t>
            </w:r>
            <w:r>
              <w:rPr>
                <w:rFonts w:hint="eastAsia" w:ascii="Times New Roman" w:hAnsi="Times New Roman" w:eastAsia="宋体" w:cs="Times New Roman"/>
                <w:bCs/>
                <w:color w:val="auto"/>
                <w:sz w:val="24"/>
                <w:szCs w:val="24"/>
                <w:lang w:val="en-US" w:eastAsia="zh-CN"/>
              </w:rPr>
              <w:t>新能源汽车</w:t>
            </w:r>
            <w:r>
              <w:rPr>
                <w:rFonts w:hint="default" w:ascii="Times New Roman" w:hAnsi="Times New Roman" w:eastAsia="宋体" w:cs="Times New Roman"/>
                <w:bCs/>
                <w:color w:val="auto"/>
                <w:sz w:val="24"/>
                <w:szCs w:val="24"/>
              </w:rPr>
              <w:t>配套，国民经济行业类别属于</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C3360 金属表面处理及热处理加工</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，产品的应用领域主要为</w:t>
            </w:r>
            <w:r>
              <w:rPr>
                <w:rFonts w:hint="default" w:ascii="Times New Roman" w:hAnsi="Times New Roman" w:eastAsia="宋体" w:cs="Times New Roman"/>
                <w:bCs/>
                <w:color w:val="auto"/>
                <w:sz w:val="24"/>
                <w:szCs w:val="24"/>
                <w:lang w:val="en-US" w:eastAsia="zh-CN"/>
              </w:rPr>
              <w:t>新能源汽车</w:t>
            </w:r>
            <w:r>
              <w:rPr>
                <w:rFonts w:hint="default" w:ascii="Times New Roman" w:hAnsi="Times New Roman" w:eastAsia="宋体" w:cs="Times New Roman"/>
                <w:bCs/>
                <w:color w:val="auto"/>
                <w:sz w:val="24"/>
                <w:szCs w:val="24"/>
              </w:rPr>
              <w:t>行业，</w:t>
            </w:r>
            <w:r>
              <w:rPr>
                <w:rFonts w:hint="eastAsia" w:ascii="Times New Roman" w:hAnsi="Times New Roman" w:eastAsia="宋体" w:cs="Times New Roman"/>
                <w:bCs/>
                <w:color w:val="auto"/>
                <w:sz w:val="24"/>
                <w:szCs w:val="24"/>
                <w:lang w:val="en-US" w:eastAsia="zh-CN"/>
              </w:rPr>
              <w:t>属于</w:t>
            </w:r>
            <w:r>
              <w:rPr>
                <w:rFonts w:hint="default" w:ascii="Times New Roman" w:hAnsi="Times New Roman" w:eastAsia="宋体" w:cs="Times New Roman"/>
                <w:bCs/>
                <w:color w:val="auto"/>
                <w:sz w:val="24"/>
                <w:szCs w:val="24"/>
              </w:rPr>
              <w:t>华罗庚高新区将依托华罗庚科技产业园片区</w:t>
            </w:r>
            <w:r>
              <w:rPr>
                <w:rFonts w:hint="eastAsia" w:ascii="Times New Roman" w:hAnsi="Times New Roman" w:eastAsia="宋体" w:cs="Times New Roman"/>
                <w:bCs/>
                <w:color w:val="auto"/>
                <w:sz w:val="24"/>
                <w:szCs w:val="24"/>
                <w:lang w:val="en-US" w:eastAsia="zh-CN"/>
              </w:rPr>
              <w:t>主导产业</w:t>
            </w:r>
            <w:r>
              <w:rPr>
                <w:rFonts w:hint="default" w:ascii="Times New Roman" w:hAnsi="Times New Roman" w:eastAsia="宋体" w:cs="Times New Roman"/>
                <w:bCs/>
                <w:color w:val="auto"/>
                <w:sz w:val="24"/>
                <w:szCs w:val="24"/>
              </w:rPr>
              <w:t>，本项目</w:t>
            </w:r>
            <w:r>
              <w:rPr>
                <w:rFonts w:hint="eastAsia" w:ascii="Times New Roman" w:hAnsi="Times New Roman" w:eastAsia="宋体" w:cs="Times New Roman"/>
                <w:bCs/>
                <w:color w:val="auto"/>
                <w:sz w:val="24"/>
                <w:szCs w:val="24"/>
                <w:lang w:val="en-US" w:eastAsia="zh-CN"/>
              </w:rPr>
              <w:t>通过购置的厂房及</w:t>
            </w:r>
            <w:r>
              <w:rPr>
                <w:rFonts w:hint="default" w:ascii="Times New Roman" w:hAnsi="Times New Roman" w:eastAsia="宋体" w:cs="Times New Roman"/>
                <w:bCs/>
                <w:color w:val="auto"/>
                <w:sz w:val="24"/>
                <w:szCs w:val="24"/>
              </w:rPr>
              <w:t>租用</w:t>
            </w:r>
            <w:r>
              <w:rPr>
                <w:rFonts w:hint="eastAsia" w:ascii="Times New Roman" w:hAnsi="Times New Roman" w:eastAsia="宋体" w:cs="Times New Roman"/>
                <w:bCs/>
                <w:color w:val="auto"/>
                <w:sz w:val="24"/>
                <w:szCs w:val="24"/>
                <w:lang w:val="en-US" w:eastAsia="zh-CN"/>
              </w:rPr>
              <w:t>的</w:t>
            </w:r>
            <w:r>
              <w:rPr>
                <w:rFonts w:hint="default" w:ascii="Times New Roman" w:hAnsi="Times New Roman" w:eastAsia="宋体" w:cs="Times New Roman"/>
                <w:bCs/>
                <w:color w:val="auto"/>
                <w:sz w:val="24"/>
                <w:szCs w:val="24"/>
              </w:rPr>
              <w:t>厂房</w:t>
            </w:r>
            <w:r>
              <w:rPr>
                <w:rFonts w:hint="eastAsia" w:ascii="Times New Roman" w:hAnsi="Times New Roman" w:eastAsia="宋体" w:cs="Times New Roman"/>
                <w:bCs/>
                <w:color w:val="auto"/>
                <w:sz w:val="24"/>
                <w:szCs w:val="24"/>
                <w:lang w:val="en-US" w:eastAsia="zh-CN"/>
              </w:rPr>
              <w:t>进行</w:t>
            </w:r>
            <w:r>
              <w:rPr>
                <w:rFonts w:hint="default" w:ascii="Times New Roman" w:hAnsi="Times New Roman" w:eastAsia="宋体" w:cs="Times New Roman"/>
                <w:bCs/>
                <w:color w:val="auto"/>
                <w:sz w:val="24"/>
                <w:szCs w:val="24"/>
              </w:rPr>
              <w:t>生产，形成产业集群模式，符合园区产业定位。</w:t>
            </w:r>
          </w:p>
          <w:p w14:paraId="73100D3E">
            <w:pPr>
              <w:spacing w:line="50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3、环保基础设施</w:t>
            </w:r>
          </w:p>
          <w:p w14:paraId="02C76EC6">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（1）规划保留现有供水模式，生活和工业用水主要由长荡湖水厂供水，水源为长荡湖。长荡湖水厂现状</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规模为20万m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/d，规划末期长荡湖水厂供水能力将达到30万m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/d，以满足区域整体需求。</w:t>
            </w:r>
          </w:p>
          <w:p w14:paraId="756BDB13">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（2）排水制度为雨污分流制。华罗庚科技产业园片区</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北区</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污水主要送入金坛第二污水处理厂和金坛工业污水厂</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在建</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处理，金东园现代产业园片区</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南区</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污水分流进入金坛第二污水处理厂和儒林污水处理厂处理，未来根据实际运行情况，合理调度园区污水去向。</w:t>
            </w:r>
          </w:p>
          <w:p w14:paraId="1A07B0F8">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（3）规划保留220kV水北变，110kV尧塘变、华科变，新建220kV南汤变、金东变，110kV镇南变等变电所。</w:t>
            </w:r>
          </w:p>
          <w:p w14:paraId="353032A1">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4）园区内现有产业项目对供热需求整体偏小，规划仍以采用现行的分散式供热为主，对有热能需求的企业推广天然气锅炉供热。远期如有大规模供热需求，将根据园区实际情况，进一步规划建设集中供热设施。</w:t>
            </w:r>
          </w:p>
          <w:p w14:paraId="5C970230">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（5）生活垃圾收运模式采用集中转运方式，保留尧夏路北侧已建垃圾转运站，新建汤庄垃圾转运站、金东垃圾转运站，生活垃圾集中收集后进入区外的金坛垃圾焚烧厂处理。</w:t>
            </w:r>
          </w:p>
          <w:p w14:paraId="19F85174">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对照分析：本项目位于</w:t>
            </w:r>
            <w:r>
              <w:rPr>
                <w:rFonts w:hint="default" w:ascii="Times New Roman" w:hAnsi="Times New Roman" w:eastAsia="宋体" w:cs="Times New Roman"/>
                <w:color w:val="auto"/>
                <w:sz w:val="24"/>
                <w:lang w:eastAsia="zh-CN"/>
              </w:rPr>
              <w:t>江苏省常州市金坛区金坛大道75号</w:t>
            </w:r>
            <w:r>
              <w:rPr>
                <w:rFonts w:hint="eastAsia" w:ascii="Times New Roman" w:hAnsi="Times New Roman" w:eastAsia="宋体" w:cs="Times New Roman"/>
                <w:color w:val="auto"/>
                <w:sz w:val="24"/>
                <w:lang w:eastAsia="zh-CN"/>
              </w:rPr>
              <w:t>（华星科创产业园</w:t>
            </w:r>
            <w:r>
              <w:rPr>
                <w:rFonts w:hint="eastAsia" w:ascii="Times New Roman" w:hAnsi="Times New Roman" w:eastAsia="宋体" w:cs="Times New Roman"/>
                <w:color w:val="auto"/>
                <w:sz w:val="24"/>
                <w:lang w:val="en-US" w:eastAsia="zh-CN"/>
              </w:rPr>
              <w:t>内</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bCs/>
                <w:color w:val="auto"/>
                <w:sz w:val="24"/>
                <w:szCs w:val="24"/>
              </w:rPr>
              <w:t>，周边基础设施完善。</w:t>
            </w:r>
          </w:p>
          <w:p w14:paraId="5827C6D3">
            <w:pPr>
              <w:spacing w:line="500" w:lineRule="exact"/>
              <w:ind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4、</w:t>
            </w:r>
            <w:r>
              <w:rPr>
                <w:rFonts w:hint="default" w:ascii="Times New Roman" w:hAnsi="Times New Roman" w:eastAsia="宋体" w:cs="Times New Roman"/>
                <w:b/>
                <w:bCs/>
                <w:color w:val="auto"/>
                <w:sz w:val="24"/>
                <w:szCs w:val="24"/>
                <w:lang w:val="en-US" w:eastAsia="zh-CN"/>
              </w:rPr>
              <w:t>生态环境</w:t>
            </w:r>
            <w:r>
              <w:rPr>
                <w:rFonts w:hint="default" w:ascii="Times New Roman" w:hAnsi="Times New Roman" w:eastAsia="宋体" w:cs="Times New Roman"/>
                <w:b/>
                <w:bCs/>
                <w:color w:val="auto"/>
                <w:sz w:val="24"/>
                <w:szCs w:val="24"/>
              </w:rPr>
              <w:t>准入清单</w:t>
            </w:r>
          </w:p>
          <w:p w14:paraId="192F33D7">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结合江苏省、常州市</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三线一单</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生态环境准入清单编制成果，并充分考虑园区发展实际，从空间布局约束、污染物排放管控、环境风险防控、资源开发利用等四方面，以清单方式明确了园区生态环境准入条件。具体见下表：</w:t>
            </w:r>
          </w:p>
          <w:p w14:paraId="7875B7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 xml:space="preserve">表1-1  </w:t>
            </w:r>
            <w:r>
              <w:rPr>
                <w:rFonts w:hint="default" w:ascii="Times New Roman" w:hAnsi="Times New Roman" w:eastAsia="宋体" w:cs="Times New Roman"/>
                <w:b/>
                <w:bCs/>
                <w:color w:val="auto"/>
                <w:sz w:val="24"/>
                <w:szCs w:val="24"/>
              </w:rPr>
              <w:t>园区</w:t>
            </w:r>
            <w:r>
              <w:rPr>
                <w:rFonts w:hint="eastAsia" w:ascii="Times New Roman" w:hAnsi="Times New Roman" w:eastAsia="宋体" w:cs="Times New Roman"/>
                <w:b/>
                <w:bCs/>
                <w:color w:val="auto"/>
                <w:sz w:val="24"/>
                <w:szCs w:val="24"/>
                <w:lang w:val="en-US" w:eastAsia="zh-CN"/>
              </w:rPr>
              <w:t>生态环境</w:t>
            </w:r>
            <w:r>
              <w:rPr>
                <w:rFonts w:hint="default" w:ascii="Times New Roman" w:hAnsi="Times New Roman" w:eastAsia="宋体" w:cs="Times New Roman"/>
                <w:b/>
                <w:bCs/>
                <w:color w:val="auto"/>
                <w:sz w:val="24"/>
                <w:szCs w:val="24"/>
              </w:rPr>
              <w:t>准入清单</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477"/>
              <w:gridCol w:w="6194"/>
            </w:tblGrid>
            <w:tr w14:paraId="096E88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510" w:hRule="atLeast"/>
                <w:jc w:val="center"/>
              </w:trPr>
              <w:tc>
                <w:tcPr>
                  <w:tcW w:w="963" w:type="pct"/>
                  <w:tcBorders>
                    <w:tl2br w:val="nil"/>
                    <w:tr2bl w:val="nil"/>
                  </w:tcBorders>
                  <w:vAlign w:val="center"/>
                </w:tcPr>
                <w:p w14:paraId="7B8CE672">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清单类型</w:t>
                  </w:r>
                </w:p>
              </w:tc>
              <w:tc>
                <w:tcPr>
                  <w:tcW w:w="4036" w:type="pct"/>
                  <w:tcBorders>
                    <w:tl2br w:val="nil"/>
                    <w:tr2bl w:val="nil"/>
                  </w:tcBorders>
                  <w:vAlign w:val="center"/>
                </w:tcPr>
                <w:p w14:paraId="590C96C2">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准入内容</w:t>
                  </w:r>
                </w:p>
              </w:tc>
            </w:tr>
            <w:tr w14:paraId="5728922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3" w:type="pct"/>
                  <w:tcBorders>
                    <w:tl2br w:val="nil"/>
                    <w:tr2bl w:val="nil"/>
                  </w:tcBorders>
                  <w:vAlign w:val="center"/>
                </w:tcPr>
                <w:p w14:paraId="466AE0FA">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禁止引入项目</w:t>
                  </w:r>
                </w:p>
              </w:tc>
              <w:tc>
                <w:tcPr>
                  <w:tcW w:w="4036" w:type="pct"/>
                  <w:tcBorders>
                    <w:tl2br w:val="nil"/>
                    <w:tr2bl w:val="nil"/>
                  </w:tcBorders>
                  <w:vAlign w:val="center"/>
                </w:tcPr>
                <w:p w14:paraId="460A1180">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禁止新建独立燃油汽车项目；</w:t>
                  </w:r>
                </w:p>
                <w:p w14:paraId="05CF6EA2">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禁止新建应用普通钢板等传统材料、采用冲压焊接等传统工艺制造车身的独立车身总成的项目；</w:t>
                  </w:r>
                </w:p>
                <w:p w14:paraId="4DCC68B8">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禁止建设纯电银加工、纯铸造加工项目；</w:t>
                  </w:r>
                </w:p>
                <w:p w14:paraId="202A97AF">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不得新建钢铁、煤电、化工、印染项目；</w:t>
                  </w:r>
                </w:p>
                <w:p w14:paraId="2F587DAB">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5</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不得新增化学合成制药类项目；</w:t>
                  </w:r>
                </w:p>
                <w:p w14:paraId="1B3F3B78">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6</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禁止引入危险化学品仓储企业；</w:t>
                  </w:r>
                </w:p>
                <w:p w14:paraId="30045A1C">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7</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禁止建设使用高VOCs 含量的溶剂型涂料、油墨、胶黏剂等项目；工业涂装、包装印刷、纺织、木材加工等行业以及涂料、油墨等生产企业的新</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改、扩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建项目需满足低</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无</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VOCs含量限值要求；</w:t>
                  </w:r>
                </w:p>
                <w:p w14:paraId="55713162">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8</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禁止引入排放重点重金属</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铅、汞、铬等</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的重点行业项目；</w:t>
                  </w:r>
                </w:p>
                <w:p w14:paraId="6ED1B8ED">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9</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其它：禁止引入《省生态环境厅关于报送高耗能、高排放项目清单的通知》</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苏环便函</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rPr>
                    <w:t>2021</w:t>
                  </w:r>
                  <w:r>
                    <w:rPr>
                      <w:rFonts w:hint="eastAsia" w:ascii="宋体" w:hAnsi="宋体" w:eastAsia="宋体" w:cs="宋体"/>
                      <w:color w:val="auto"/>
                      <w:sz w:val="21"/>
                      <w:szCs w:val="21"/>
                    </w:rPr>
                    <w:t>〕</w:t>
                  </w:r>
                  <w:r>
                    <w:rPr>
                      <w:rFonts w:hint="default" w:ascii="Times New Roman" w:hAnsi="Times New Roman" w:eastAsia="宋体" w:cs="Times New Roman"/>
                      <w:color w:val="auto"/>
                      <w:sz w:val="21"/>
                      <w:szCs w:val="21"/>
                    </w:rPr>
                    <w:t>903号</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中规定的高耗能、高排放项目。</w:t>
                  </w:r>
                </w:p>
              </w:tc>
            </w:tr>
            <w:tr w14:paraId="10B7F2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3" w:type="pct"/>
                  <w:tcBorders>
                    <w:tl2br w:val="nil"/>
                    <w:tr2bl w:val="nil"/>
                  </w:tcBorders>
                  <w:vAlign w:val="center"/>
                </w:tcPr>
                <w:p w14:paraId="5AACDA91">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限制引入项目</w:t>
                  </w:r>
                </w:p>
              </w:tc>
              <w:tc>
                <w:tcPr>
                  <w:tcW w:w="4036" w:type="pct"/>
                  <w:tcBorders>
                    <w:tl2br w:val="nil"/>
                    <w:tr2bl w:val="nil"/>
                  </w:tcBorders>
                  <w:vAlign w:val="center"/>
                </w:tcPr>
                <w:p w14:paraId="484563EA">
                  <w:pPr>
                    <w:pStyle w:val="52"/>
                    <w:snapToGrid w:val="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限制引入使用不符合VOCs 含量限值涂料的喷涂类项目；</w:t>
                  </w:r>
                </w:p>
                <w:p w14:paraId="1947B8B3">
                  <w:pPr>
                    <w:pStyle w:val="52"/>
                    <w:snapToGrid w:val="0"/>
                    <w:jc w:val="both"/>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限制引入对生态破坏较大的工业项目；</w:t>
                  </w:r>
                </w:p>
                <w:p w14:paraId="6D9B8C07">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限制在居民区、学校、居民点等主要敏感目标附近布局排放异味气体、环境风险大、污染严重的企业项目，并充分考虑产业与城市建成区、区内居民点之间的环境防护距离。</w:t>
                  </w:r>
                </w:p>
              </w:tc>
            </w:tr>
            <w:tr w14:paraId="759670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3" w:type="pct"/>
                  <w:tcBorders>
                    <w:tl2br w:val="nil"/>
                    <w:tr2bl w:val="nil"/>
                  </w:tcBorders>
                  <w:vAlign w:val="center"/>
                </w:tcPr>
                <w:p w14:paraId="1412EE40">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空间管控要求</w:t>
                  </w:r>
                </w:p>
              </w:tc>
              <w:tc>
                <w:tcPr>
                  <w:tcW w:w="4036" w:type="pct"/>
                  <w:tcBorders>
                    <w:tl2br w:val="nil"/>
                    <w:tr2bl w:val="nil"/>
                  </w:tcBorders>
                  <w:vAlign w:val="center"/>
                </w:tcPr>
                <w:p w14:paraId="437BDF14">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水域及绿地，禁止一切与环境保护功能无关的建设活动；</w:t>
                  </w:r>
                </w:p>
                <w:p w14:paraId="03C09DF8">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钱资东河、尧塘河沿岸河道范围内</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两岸堤防背水坡堤脚外10m</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禁止建设妨碍行洪的建筑物、构筑物；</w:t>
                  </w:r>
                </w:p>
                <w:p w14:paraId="32A407E4">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禁止引进不能满足环评测算出的环境防护距离，或环评事故风险防范和应急</w:t>
                  </w:r>
                  <w:r>
                    <w:rPr>
                      <w:rFonts w:hint="default" w:ascii="Times New Roman" w:hAnsi="Times New Roman" w:eastAsia="宋体" w:cs="Times New Roman"/>
                      <w:color w:val="auto"/>
                      <w:sz w:val="21"/>
                      <w:szCs w:val="21"/>
                      <w:lang w:eastAsia="zh-CN"/>
                    </w:rPr>
                    <w:t>措施</w:t>
                  </w:r>
                  <w:r>
                    <w:rPr>
                      <w:rFonts w:hint="default" w:ascii="Times New Roman" w:hAnsi="Times New Roman" w:eastAsia="宋体" w:cs="Times New Roman"/>
                      <w:color w:val="auto"/>
                      <w:sz w:val="21"/>
                      <w:szCs w:val="21"/>
                    </w:rPr>
                    <w:t>难以落实到位的项目；</w:t>
                  </w:r>
                </w:p>
                <w:p w14:paraId="5F973D35">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4</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严格遵照《中华人民共和国基本农田保护条例》要求，加强区内基本农田保护在土地规划调整到位之前，禁止任何形式的基本农田开发；</w:t>
                  </w:r>
                </w:p>
                <w:p w14:paraId="763BA325">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5</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限制引进投资强度小、容积率低、土地产出率低的项目；</w:t>
                  </w:r>
                </w:p>
                <w:p w14:paraId="096B076C">
                  <w:pPr>
                    <w:pStyle w:val="52"/>
                    <w:snapToGrid w:val="0"/>
                    <w:spacing w:line="240" w:lineRule="auto"/>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6</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符合金坛区</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三区三线</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管控要求。</w:t>
                  </w:r>
                </w:p>
              </w:tc>
            </w:tr>
            <w:tr w14:paraId="59179C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3" w:type="pct"/>
                  <w:tcBorders>
                    <w:tl2br w:val="nil"/>
                    <w:tr2bl w:val="nil"/>
                  </w:tcBorders>
                  <w:vAlign w:val="center"/>
                </w:tcPr>
                <w:p w14:paraId="0590E73E">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4036" w:type="pct"/>
                  <w:tcBorders>
                    <w:tl2br w:val="nil"/>
                    <w:tr2bl w:val="nil"/>
                  </w:tcBorders>
                  <w:vAlign w:val="center"/>
                </w:tcPr>
                <w:p w14:paraId="6781AB81">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颗粒物、二氧化硫、氨氧化物、VOCs作为总量控制因子，根据省、市上级要求进行现役源2倍削减量替代或关闭类项目1.5倍削减量替代。</w:t>
                  </w:r>
                </w:p>
                <w:p w14:paraId="4FF82980">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规划实施后华罗庚高新区范围内所有新、改、扩建涉重金属重点行业项目必须遵守重点重金属污染物排放</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减量置换</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或</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等量替换</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的原则，区域重金属总量控制由市环保行政主管部门核定平衡，在本市区域内明确具体的重金属污染物排放总量来源；</w:t>
                  </w:r>
                </w:p>
                <w:p w14:paraId="1D6A7F2D">
                  <w:pPr>
                    <w:pStyle w:val="52"/>
                    <w:snapToGrid w:val="0"/>
                    <w:jc w:val="left"/>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氮、磷：根据《江苏省太湖水污染防治条例</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2018年修订</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太湖流域三级保护区内，在工业集聚区新建、改建、扩建排放含磷、氮等污染物</w:t>
                  </w:r>
                  <w:r>
                    <w:rPr>
                      <w:rFonts w:hint="eastAsia" w:ascii="Times New Roman" w:hAnsi="Times New Roman" w:eastAsia="宋体" w:cs="Times New Roman"/>
                      <w:color w:val="auto"/>
                      <w:sz w:val="21"/>
                      <w:szCs w:val="21"/>
                      <w:lang w:val="en-US" w:eastAsia="zh-CN"/>
                    </w:rPr>
                    <w:t>战略性</w:t>
                  </w:r>
                  <w:r>
                    <w:rPr>
                      <w:rFonts w:hint="default" w:ascii="Times New Roman" w:hAnsi="Times New Roman" w:eastAsia="宋体" w:cs="Times New Roman"/>
                      <w:color w:val="auto"/>
                      <w:sz w:val="21"/>
                      <w:szCs w:val="21"/>
                    </w:rPr>
                    <w:t>新兴产业项目，以及排放</w:t>
                  </w:r>
                  <w:r>
                    <w:rPr>
                      <w:rFonts w:hint="eastAsia" w:ascii="Times New Roman" w:hAnsi="Times New Roman" w:eastAsia="宋体" w:cs="Times New Roman"/>
                      <w:color w:val="auto"/>
                      <w:sz w:val="21"/>
                      <w:szCs w:val="21"/>
                      <w:lang w:val="en-US" w:eastAsia="zh-CN"/>
                    </w:rPr>
                    <w:t>含</w:t>
                  </w:r>
                  <w:r>
                    <w:rPr>
                      <w:rFonts w:hint="default" w:ascii="Times New Roman" w:hAnsi="Times New Roman" w:eastAsia="宋体" w:cs="Times New Roman"/>
                      <w:color w:val="auto"/>
                      <w:sz w:val="21"/>
                      <w:szCs w:val="21"/>
                    </w:rPr>
                    <w:t>磷、</w:t>
                  </w:r>
                  <w:r>
                    <w:rPr>
                      <w:rFonts w:hint="eastAsia" w:ascii="Times New Roman" w:hAnsi="Times New Roman" w:eastAsia="宋体" w:cs="Times New Roman"/>
                      <w:color w:val="auto"/>
                      <w:sz w:val="21"/>
                      <w:szCs w:val="21"/>
                      <w:lang w:val="en-US" w:eastAsia="zh-CN"/>
                    </w:rPr>
                    <w:t>氮</w:t>
                  </w:r>
                  <w:r>
                    <w:rPr>
                      <w:rFonts w:hint="default" w:ascii="Times New Roman" w:hAnsi="Times New Roman" w:eastAsia="宋体" w:cs="Times New Roman"/>
                      <w:color w:val="auto"/>
                      <w:sz w:val="21"/>
                      <w:szCs w:val="21"/>
                    </w:rPr>
                    <w:t>等污染物的现有企业在不增加产能的前提下实施提升环保标准的技术改造项目，应当符合国家产业政策和水环境综合治理要求，在实现国家和省减排目标的基础上，实施区域磷、氮等重点水污染物年排放总量减量替代。</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战略性新兴产业项目对照《江苏省太湖流域战略性新兴产业类别目录</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2018年本</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》确定</w:t>
                  </w:r>
                  <w:r>
                    <w:rPr>
                      <w:rFonts w:hint="eastAsia" w:ascii="Times New Roman" w:hAnsi="Times New Roman" w:eastAsia="宋体" w:cs="Times New Roman"/>
                      <w:color w:val="auto"/>
                      <w:sz w:val="21"/>
                      <w:szCs w:val="21"/>
                      <w:lang w:eastAsia="zh-CN"/>
                    </w:rPr>
                    <w:t>；</w:t>
                  </w:r>
                </w:p>
                <w:p w14:paraId="464FCDA3">
                  <w:pPr>
                    <w:keepNext w:val="0"/>
                    <w:keepLines w:val="0"/>
                    <w:widowControl/>
                    <w:suppressLineNumbers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val="en-US" w:eastAsia="zh-CN" w:bidi="ar"/>
                    </w:rPr>
                    <w:t>（4）废气污染物总量：SO</w:t>
                  </w:r>
                  <w:r>
                    <w:rPr>
                      <w:rFonts w:hint="default" w:ascii="Times New Roman" w:hAnsi="Times New Roman" w:eastAsia="宋体" w:cs="Times New Roman"/>
                      <w:color w:val="auto"/>
                      <w:kern w:val="0"/>
                      <w:sz w:val="21"/>
                      <w:szCs w:val="21"/>
                      <w:vertAlign w:val="subscript"/>
                      <w:lang w:val="en-US" w:eastAsia="zh-CN" w:bidi="ar"/>
                    </w:rPr>
                    <w:t>2</w:t>
                  </w:r>
                  <w:r>
                    <w:rPr>
                      <w:rFonts w:hint="default" w:ascii="Times New Roman" w:hAnsi="Times New Roman" w:eastAsia="宋体" w:cs="Times New Roman"/>
                      <w:color w:val="auto"/>
                      <w:kern w:val="0"/>
                      <w:sz w:val="21"/>
                      <w:szCs w:val="21"/>
                      <w:lang w:val="en-US" w:eastAsia="zh-CN" w:bidi="ar"/>
                    </w:rPr>
                    <w:t xml:space="preserve">70.998t/a、NOx342.140t/a、烟粉尘92.848t/a、VOCs403.681t/a； </w:t>
                  </w:r>
                </w:p>
                <w:p w14:paraId="67604AFE">
                  <w:pPr>
                    <w:keepNext w:val="0"/>
                    <w:keepLines w:val="0"/>
                    <w:widowControl/>
                    <w:suppressLineNumbers w:val="0"/>
                    <w:jc w:val="left"/>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kern w:val="0"/>
                      <w:sz w:val="21"/>
                      <w:szCs w:val="21"/>
                      <w:lang w:val="en-US" w:eastAsia="zh-CN" w:bidi="ar"/>
                    </w:rPr>
                    <w:t>（5）废水污染物总量：废水量1056.0万t/a、COD528.0t/a、氨氮42.24t/a、总磷 5.28t/a、总氮 126.72t/a。</w:t>
                  </w:r>
                </w:p>
              </w:tc>
            </w:tr>
            <w:tr w14:paraId="0EF94AF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3" w:type="pct"/>
                  <w:tcBorders>
                    <w:tl2br w:val="nil"/>
                    <w:tr2bl w:val="nil"/>
                  </w:tcBorders>
                  <w:vAlign w:val="center"/>
                </w:tcPr>
                <w:p w14:paraId="4A67EDA5">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4036" w:type="pct"/>
                  <w:tcBorders>
                    <w:tl2br w:val="nil"/>
                    <w:tr2bl w:val="nil"/>
                  </w:tcBorders>
                  <w:vAlign w:val="center"/>
                </w:tcPr>
                <w:p w14:paraId="10D37354">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1</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园区应建立环境风险防控体系；</w:t>
                  </w:r>
                </w:p>
                <w:p w14:paraId="3C24C131">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按相关文件要求及时更新编制园区突发环境事件应急预案；</w:t>
                  </w:r>
                </w:p>
                <w:p w14:paraId="26ABF610">
                  <w:pPr>
                    <w:pStyle w:val="52"/>
                    <w:snapToGrid w:val="0"/>
                    <w:jc w:val="left"/>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3</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建立有效的安全防范体系，制定风险应急救援措施，一旦发生事故确保各项应急救援快速高效有序启动，减缓事故蔓延范围，最大限度减轻风险事故造成的损失。</w:t>
                  </w:r>
                </w:p>
              </w:tc>
            </w:tr>
            <w:tr w14:paraId="2AD422E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3" w:type="pct"/>
                  <w:tcBorders>
                    <w:tl2br w:val="nil"/>
                    <w:tr2bl w:val="nil"/>
                  </w:tcBorders>
                  <w:vAlign w:val="center"/>
                </w:tcPr>
                <w:p w14:paraId="54D73294">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资源开发利用效率</w:t>
                  </w:r>
                </w:p>
              </w:tc>
              <w:tc>
                <w:tcPr>
                  <w:tcW w:w="4036" w:type="pct"/>
                  <w:tcBorders>
                    <w:tl2br w:val="nil"/>
                    <w:tr2bl w:val="nil"/>
                  </w:tcBorders>
                  <w:vAlign w:val="center"/>
                </w:tcPr>
                <w:p w14:paraId="018D8689">
                  <w:pPr>
                    <w:pStyle w:val="52"/>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（1）大力倡导使用清洁能源；</w:t>
                  </w:r>
                </w:p>
                <w:p w14:paraId="362271E9">
                  <w:pPr>
                    <w:pStyle w:val="52"/>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（2）提升废水资源化技术，提高水资源回用率；</w:t>
                  </w:r>
                </w:p>
                <w:p w14:paraId="7DB6E0A7">
                  <w:pPr>
                    <w:pStyle w:val="52"/>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（3）禁止销售使用燃料为</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Ⅲ类</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严格），具体包括：①煤炭及其制品（包括原煤、散煤煤矸石、煤泥、煤粉、水煤浆、型煤、焦炭、兰炭等）；②石油焦、油页岩、原油、重油、渣油、煤焦油；③非专用锅炉或未配置高效除尘设施的专用锅炉燃用的生物质成型燃料；④国家规定的其它高污染燃料；</w:t>
                  </w:r>
                </w:p>
                <w:p w14:paraId="5AF7C006">
                  <w:pPr>
                    <w:pStyle w:val="52"/>
                    <w:snapToGrid w:val="0"/>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（4）资源利用上线：单位工业增加值综合能耗≤0.1吨标煤/万元；单位工业增加值新鲜水耗≤3.0m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/万元；单位工业用地面积工业增加值≥20亿元/</w:t>
                  </w:r>
                </w:p>
              </w:tc>
            </w:tr>
          </w:tbl>
          <w:p w14:paraId="7839323E">
            <w:pPr>
              <w:spacing w:line="500" w:lineRule="exact"/>
              <w:ind w:firstLine="482"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
                <w:color w:val="auto"/>
                <w:sz w:val="24"/>
                <w:szCs w:val="24"/>
              </w:rPr>
              <w:t>对照分析：</w:t>
            </w:r>
            <w:r>
              <w:rPr>
                <w:rFonts w:hint="default" w:ascii="Times New Roman" w:hAnsi="Times New Roman" w:eastAsia="宋体" w:cs="Times New Roman"/>
                <w:bCs/>
                <w:color w:val="auto"/>
                <w:sz w:val="24"/>
                <w:szCs w:val="24"/>
              </w:rPr>
              <w:t>本项目国民经济行业类别属于</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rPr>
              <w:t>C3360 金属表面处理及热处理加工</w:t>
            </w:r>
            <w:r>
              <w:rPr>
                <w:rFonts w:hint="eastAsia" w:ascii="Times New Roman" w:hAnsi="Times New Roman" w:eastAsia="宋体" w:cs="Times New Roman"/>
                <w:bCs/>
                <w:color w:val="auto"/>
                <w:sz w:val="24"/>
                <w:szCs w:val="24"/>
                <w:lang w:eastAsia="zh-CN"/>
              </w:rPr>
              <w:t>”</w:t>
            </w:r>
            <w:r>
              <w:rPr>
                <w:rFonts w:hint="default" w:ascii="Times New Roman" w:hAnsi="Times New Roman" w:eastAsia="宋体" w:cs="Times New Roman"/>
                <w:bCs/>
                <w:color w:val="auto"/>
                <w:sz w:val="24"/>
                <w:szCs w:val="24"/>
              </w:rPr>
              <w:t>，主要从事先进</w:t>
            </w:r>
            <w:r>
              <w:rPr>
                <w:rFonts w:hint="eastAsia" w:ascii="Times New Roman" w:hAnsi="Times New Roman" w:eastAsia="宋体" w:cs="Times New Roman"/>
                <w:color w:val="auto"/>
                <w:sz w:val="24"/>
                <w:lang w:eastAsia="zh-CN"/>
              </w:rPr>
              <w:t>汽车增压器零部件</w:t>
            </w:r>
            <w:r>
              <w:rPr>
                <w:rFonts w:hint="default" w:ascii="Times New Roman" w:hAnsi="Times New Roman" w:eastAsia="宋体" w:cs="Times New Roman"/>
                <w:bCs/>
                <w:color w:val="auto"/>
                <w:sz w:val="24"/>
                <w:szCs w:val="24"/>
              </w:rPr>
              <w:t>的生产，生产工艺成熟，不属于上述禁止引入以及限制引入的项目；目前，本项目处于环评编制阶段，在环评审批前将严格落实主要污染物排放总量指标控制制度，取得主要污染物排放总量的控制指标和平衡方案，故符合污染物排放管控要求。本项目无工业废水排放，生活污水</w:t>
            </w:r>
            <w:r>
              <w:rPr>
                <w:rFonts w:hint="default" w:ascii="Times New Roman" w:hAnsi="Times New Roman" w:eastAsia="宋体" w:cs="Times New Roman"/>
                <w:bCs/>
                <w:color w:val="auto"/>
                <w:sz w:val="24"/>
                <w:szCs w:val="24"/>
                <w:lang w:val="en-US" w:eastAsia="zh-CN"/>
              </w:rPr>
              <w:t>经化粪池预处理后接管至</w:t>
            </w:r>
            <w:r>
              <w:rPr>
                <w:rFonts w:hint="default" w:ascii="Times New Roman" w:hAnsi="Times New Roman" w:eastAsia="宋体" w:cs="Times New Roman"/>
                <w:bCs/>
                <w:color w:val="auto"/>
                <w:sz w:val="24"/>
                <w:szCs w:val="24"/>
              </w:rPr>
              <w:t>金坛区第二污水处理厂，废气达标排放，固废100%处理处置，不外排。</w:t>
            </w:r>
          </w:p>
          <w:p w14:paraId="30151844">
            <w:pPr>
              <w:spacing w:line="500" w:lineRule="exact"/>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综上，对照《江苏省金坛华罗庚高新技术产业开发区开发建设规划（2022~2035）环境影响报告书》及其审查意见（常金环审[2023]4号），本项目符合园区建设规划。</w:t>
            </w:r>
          </w:p>
          <w:p w14:paraId="3EEFD39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szCs w:val="24"/>
              </w:rPr>
              <w:t>（三）</w:t>
            </w:r>
            <w:r>
              <w:rPr>
                <w:rFonts w:hint="default" w:ascii="Times New Roman" w:hAnsi="Times New Roman" w:eastAsia="宋体" w:cs="Times New Roman"/>
                <w:b/>
                <w:bCs/>
                <w:color w:val="auto"/>
                <w:sz w:val="24"/>
              </w:rPr>
              <w:t>与《常州市金坛区国土空间规划近期实施方案》相符性分析</w:t>
            </w:r>
          </w:p>
          <w:p w14:paraId="490CDC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经对照，项目所在地为建设用地。本项目用地性质为工业用地，符合国土空间规划。</w:t>
            </w:r>
          </w:p>
          <w:p w14:paraId="0E88653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w:t>
            </w:r>
            <w:r>
              <w:rPr>
                <w:rFonts w:hint="default" w:ascii="Times New Roman" w:hAnsi="Times New Roman" w:eastAsia="宋体" w:cs="Times New Roman"/>
                <w:b/>
                <w:bCs/>
                <w:color w:val="auto"/>
                <w:sz w:val="24"/>
                <w:lang w:val="en-US" w:eastAsia="zh-CN"/>
              </w:rPr>
              <w:t>四</w:t>
            </w:r>
            <w:r>
              <w:rPr>
                <w:rFonts w:hint="default" w:ascii="Times New Roman" w:hAnsi="Times New Roman" w:eastAsia="宋体" w:cs="Times New Roman"/>
                <w:b/>
                <w:bCs/>
                <w:color w:val="auto"/>
                <w:sz w:val="24"/>
              </w:rPr>
              <w:t>）选址合理性</w:t>
            </w:r>
          </w:p>
          <w:p w14:paraId="5FA58C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1、常州市国土空间总体规划（2020-2035年）征求意见稿</w:t>
            </w:r>
          </w:p>
          <w:p w14:paraId="77A7F8D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常州市域：常州市行政管辖范围，面积约4372平方公里。市辖区：包括金坛区、武进区、新北区、天宁区、钟楼区和常州经济开发区，面积约2838平方公里。中心城区：市辖区内规划的集中建设连绵区，面积约724平方公里。</w:t>
            </w:r>
          </w:p>
          <w:p w14:paraId="458BAA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（1）市域城镇空间结构</w:t>
            </w:r>
          </w:p>
          <w:p w14:paraId="7BEFCB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一主：常州城市主中心。由老城厢、市行政文化中心、湖塘、天宁新城、钟楼新城等构成的组合中心，是承担城市综合服务职能的主要地区和面向区域的窗口地区。进一步强化区域功能能级，提升公共服务水平和城市空间品质，加强精细化管理，创建一流人居环境，优化空间布局，推进城市有机更新，加强历史文化保护。</w:t>
            </w:r>
          </w:p>
          <w:p w14:paraId="43C8DA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一极：溧阳发展极。打造长三角休闲康旅目的城市，宁杭科创资源外溢和京深沪先进制造产业拓展承载地，苏浙皖省际边界地区生态创新合作的示范城市。</w:t>
            </w:r>
          </w:p>
          <w:p w14:paraId="1B1F2D2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三轴：长三角中轴（南北发展轴）、东西城镇轴、科技创新轴。长三角中轴（南北发展轴）向北推动跨江融合，辐射苏中苏北，向南衔接杭州、浙北，重点打通交通短板，构建枢纽城市，提升城市能级，培育区域高等级城市功能区和特色功能节点。东西城镇轴是衔接沪宁城镇带的主要空间，向东融入上海大都市圈，向西接轨南京都市圈，重点提升、完善城市功能，整合东部、西部发展空间。科技创新轴是高品质生态空间集聚地区和重要的创新发展走廊，重点推进常溧融合，衔接皖南，引导科创空间布局，探索生态创新模式。</w:t>
            </w:r>
          </w:p>
          <w:p w14:paraId="19D3224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（2）生态空间结构</w:t>
            </w:r>
          </w:p>
          <w:p w14:paraId="2C2C409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构建“一江带三湖，九脉串城池，青山护绿城，河网绕圩田”的市域生态保护格局。</w:t>
            </w:r>
          </w:p>
          <w:p w14:paraId="0799F54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“一江带三湖”：长江、太湖、滆湖、长荡湖为主体的生态空间；</w:t>
            </w:r>
          </w:p>
          <w:p w14:paraId="2A80869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九脉”：“四横五纵”的九条生态廊道。包括京杭大运河（含京杭运河老线段、关河）、通济河-夏溪河-武南河、尧塘河-北干河-太滆运河、芜申运河-南河、丹金溧漕河、新孟河、德胜河-武宜运河、澡港河-东支河-横塘河-丁塘港-采菱港-永安河、新沟河等主要水系形成的生态廊道；“青山”：茅山、南山、小黄山、横山、竺山等山体为主体的生态空间。</w:t>
            </w:r>
          </w:p>
          <w:p w14:paraId="49483B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（3）农业空间结构</w:t>
            </w:r>
          </w:p>
          <w:p w14:paraId="61C496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优化农业生产空间格局，形成集中连片、特色鲜明的农业空间布局。在金坛和溧阳平原圩区、武进南部、新北西部建设粮食主产区。打造特色农业产业集聚空间，包括环天目湖茶果片区、茅山花木茶果片区、城区周边蔬菜花木片区等。发展长荡湖、天荒湖、滆湖、天目湖、太湖等渔业区。建设依江、依山、依湖休闲农业集聚区，形成现代农业和旅游业特色融合发展区。</w:t>
            </w:r>
          </w:p>
          <w:p w14:paraId="2D8B1F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重点开发新北德胜河以西标准化和设施化常年蔬菜基地，发展壮大武进东南部组合式蔬菜和瓜果生产基地，提升发展金坛东部和武进西部花卉苗木园艺生产基地，稳定武进南部优质稻米生产基地；适度增辟溧阳和金坛城郊的常年菜地。</w:t>
            </w:r>
          </w:p>
          <w:p w14:paraId="7413630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（4）生态保护红线</w:t>
            </w:r>
          </w:p>
          <w:p w14:paraId="5860D6D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常州市域范围内划定生态保护红线15处，总规模为346.11平方公里（2021年2月版）。包括长江魏村饮用水水源保护区、小黄山生态公益林；滆湖重要湿地、太湖重要湿地、武进滆湖（西太湖）湿地自然公园、江苏常州金坛茅东省级森林公园、江苏金坛长荡湖国家湿地公园、江苏溧阳长荡湖国家湿地公园、江苏溧阳天目湖国家森林公园、江苏溧阳天目湖国家湿地公园、吕庄水库、江苏常州溧阳瓦屋山省级森林公园、太湖风景名胜区阳羡景区（溧阳市）、江苏常州溧阳上黄水母山省级地质公园、长荡湖重要湿地。</w:t>
            </w:r>
          </w:p>
          <w:p w14:paraId="2BFFA68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（5）永久基本农田</w:t>
            </w:r>
          </w:p>
          <w:p w14:paraId="016829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按照耕地数量不减少、质量有提高、生态有改善、布局有优化的要求，全市共划定永久基本农田1278.83平方公里。其中，溧阳市548.51平方公里、金坛区357.07平方公里、武进区220.34平方公里、新北区79.63平方公里、天宁区32.28平方公里、钟楼区22.51平方公里、常州经开区18.48平方公里。</w:t>
            </w:r>
          </w:p>
          <w:p w14:paraId="7D2E77F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（6）城镇开发边界</w:t>
            </w:r>
          </w:p>
          <w:p w14:paraId="64D01F5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常州市辖区城镇开发边界范围内总面积1045.02平方公里。其中，城镇集中建设区面积约795.31平方公里；城镇弹性发展区面积约133.60平方公里，与城镇集中建设区面积的比例16.80%；特别用途区面积约116.11平方公里。</w:t>
            </w:r>
          </w:p>
          <w:p w14:paraId="5020278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
                <w:bCs/>
                <w:color w:val="auto"/>
                <w:sz w:val="24"/>
              </w:rPr>
              <w:t>对照分析：</w:t>
            </w:r>
            <w:r>
              <w:rPr>
                <w:rFonts w:hint="default" w:ascii="Times New Roman" w:hAnsi="Times New Roman" w:eastAsia="宋体" w:cs="Times New Roman"/>
                <w:bCs/>
                <w:color w:val="auto"/>
                <w:sz w:val="24"/>
              </w:rPr>
              <w:t>本项目位于</w:t>
            </w:r>
            <w:r>
              <w:rPr>
                <w:rFonts w:hint="default" w:ascii="Times New Roman" w:hAnsi="Times New Roman" w:eastAsia="宋体" w:cs="Times New Roman"/>
                <w:bCs/>
                <w:color w:val="auto"/>
                <w:sz w:val="24"/>
                <w:lang w:eastAsia="zh-CN"/>
              </w:rPr>
              <w:t>江苏省常州市金坛区金坛大道75号</w:t>
            </w:r>
            <w:r>
              <w:rPr>
                <w:rFonts w:hint="default" w:ascii="Times New Roman" w:hAnsi="Times New Roman" w:eastAsia="宋体" w:cs="Times New Roman"/>
                <w:bCs/>
                <w:color w:val="auto"/>
                <w:sz w:val="24"/>
              </w:rPr>
              <w:t>，对照常州市国土空间规划，本项目所在地不涉及永久基本农田，不属于农业空间区域，不在生态保护红线范围内。</w:t>
            </w:r>
          </w:p>
          <w:p w14:paraId="61D84F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综上所述，本项目符合常州市国土空间规划。</w:t>
            </w:r>
          </w:p>
          <w:p w14:paraId="584071E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2、常州市“三区三线”划定成果</w:t>
            </w:r>
          </w:p>
          <w:p w14:paraId="42DEB4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“三区三线”：根据城镇空间、农业空间、生态空间三种类型的空间，分别对应划定的城镇开发边界、永久基本农田保护红线、生态保护红线三条控制线。</w:t>
            </w:r>
          </w:p>
          <w:p w14:paraId="18F823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永久基本农田：常州市永久基本农田保护任务为114.9600万亩，市域划定永久基本农田112.9589万亩，占市域面积的17.22%。</w:t>
            </w:r>
          </w:p>
          <w:p w14:paraId="22860F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生态保护红线：市域划定生态保护红线346.10平方公里，占市域面积的7.92%。</w:t>
            </w:r>
          </w:p>
          <w:p w14:paraId="5A4792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城镇开发边界：市域划定城镇开发边界925.05平方公里，占市域面积的21.16%。其中，城镇集中建设区911.38平方公里，城镇弹性发展区13.67平方公里。</w:t>
            </w:r>
          </w:p>
          <w:p w14:paraId="3375EC5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
                <w:bCs/>
                <w:color w:val="auto"/>
                <w:sz w:val="24"/>
              </w:rPr>
              <w:t>对照分析：</w:t>
            </w:r>
            <w:r>
              <w:rPr>
                <w:rFonts w:hint="default" w:ascii="Times New Roman" w:hAnsi="Times New Roman" w:eastAsia="宋体" w:cs="Times New Roman"/>
                <w:bCs/>
                <w:color w:val="auto"/>
                <w:sz w:val="24"/>
              </w:rPr>
              <w:t>本项目位于</w:t>
            </w:r>
            <w:r>
              <w:rPr>
                <w:rFonts w:hint="default" w:ascii="Times New Roman" w:hAnsi="Times New Roman" w:eastAsia="宋体" w:cs="Times New Roman"/>
                <w:bCs/>
                <w:color w:val="auto"/>
                <w:sz w:val="24"/>
                <w:lang w:eastAsia="zh-CN"/>
              </w:rPr>
              <w:t>江苏省常州市金坛区金坛大道75号</w:t>
            </w:r>
            <w:r>
              <w:rPr>
                <w:rFonts w:hint="default" w:ascii="Times New Roman" w:hAnsi="Times New Roman" w:eastAsia="宋体" w:cs="Times New Roman"/>
                <w:bCs/>
                <w:color w:val="auto"/>
                <w:sz w:val="24"/>
              </w:rPr>
              <w:t>，对照常州市国土空间规划，本项目所在地不涉及永久基本农田，不属于农业空间区域，不在生态保护红线范围内，本项目国土空间规划位置见附图。</w:t>
            </w:r>
          </w:p>
          <w:p w14:paraId="61F327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Cs/>
                <w:color w:val="auto"/>
                <w:sz w:val="24"/>
              </w:rPr>
              <w:t>综上，本项目选址合理。</w:t>
            </w:r>
          </w:p>
        </w:tc>
      </w:tr>
      <w:tr w14:paraId="32212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397" w:type="dxa"/>
            <w:vAlign w:val="center"/>
          </w:tcPr>
          <w:p w14:paraId="04EA3AFE">
            <w:pPr>
              <w:autoSpaceDE w:val="0"/>
              <w:autoSpaceDN w:val="0"/>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rPr>
              <w:t>其他符合性分析</w:t>
            </w:r>
          </w:p>
        </w:tc>
        <w:tc>
          <w:tcPr>
            <w:tcW w:w="7889" w:type="dxa"/>
            <w:gridSpan w:val="3"/>
            <w:vAlign w:val="top"/>
          </w:tcPr>
          <w:p w14:paraId="5A3CC5B4">
            <w:pPr>
              <w:spacing w:line="500" w:lineRule="exact"/>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（一）产业政策符合性分析</w:t>
            </w:r>
          </w:p>
          <w:p w14:paraId="7D17A46F">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1、本项目不属于《产业结构调整指导目录（2024年本）》（国家发展和改革委员会令第7号，2024年02月01日）中的</w:t>
            </w:r>
            <w:r>
              <w:rPr>
                <w:rFonts w:hint="eastAsia" w:ascii="Times New Roman" w:hAnsi="Times New Roman" w:eastAsia="宋体" w:cs="Times New Roman"/>
                <w:bCs/>
                <w:color w:val="auto"/>
                <w:sz w:val="24"/>
                <w:lang w:val="en-US" w:eastAsia="zh-CN"/>
              </w:rPr>
              <w:t>鼓励类、</w:t>
            </w:r>
            <w:r>
              <w:rPr>
                <w:rFonts w:hint="default" w:ascii="Times New Roman" w:hAnsi="Times New Roman" w:eastAsia="宋体" w:cs="Times New Roman"/>
                <w:bCs/>
                <w:color w:val="auto"/>
                <w:sz w:val="24"/>
              </w:rPr>
              <w:t>限制</w:t>
            </w:r>
            <w:r>
              <w:rPr>
                <w:rFonts w:hint="eastAsia" w:ascii="Times New Roman" w:hAnsi="Times New Roman" w:eastAsia="宋体" w:cs="Times New Roman"/>
                <w:bCs/>
                <w:color w:val="auto"/>
                <w:sz w:val="24"/>
                <w:lang w:val="en-US" w:eastAsia="zh-CN"/>
              </w:rPr>
              <w:t>类</w:t>
            </w:r>
            <w:r>
              <w:rPr>
                <w:rFonts w:hint="default" w:ascii="Times New Roman" w:hAnsi="Times New Roman" w:eastAsia="宋体" w:cs="Times New Roman"/>
                <w:bCs/>
                <w:color w:val="auto"/>
                <w:sz w:val="24"/>
              </w:rPr>
              <w:t>和淘汰类项目</w:t>
            </w:r>
            <w:r>
              <w:rPr>
                <w:rFonts w:hint="eastAsia" w:ascii="Times New Roman" w:hAnsi="Times New Roman" w:eastAsia="宋体" w:cs="Times New Roman"/>
                <w:bCs/>
                <w:color w:val="auto"/>
                <w:sz w:val="24"/>
                <w:lang w:eastAsia="zh-CN"/>
              </w:rPr>
              <w:t>，</w:t>
            </w:r>
            <w:r>
              <w:rPr>
                <w:rFonts w:hint="eastAsia" w:ascii="Times New Roman" w:hAnsi="Times New Roman" w:eastAsia="宋体" w:cs="Times New Roman"/>
                <w:bCs/>
                <w:color w:val="auto"/>
                <w:sz w:val="24"/>
                <w:lang w:val="en-US" w:eastAsia="zh-CN"/>
              </w:rPr>
              <w:t>属于允许类项目</w:t>
            </w:r>
            <w:r>
              <w:rPr>
                <w:rFonts w:hint="default" w:ascii="Times New Roman" w:hAnsi="Times New Roman" w:eastAsia="宋体" w:cs="Times New Roman"/>
                <w:bCs/>
                <w:color w:val="auto"/>
                <w:sz w:val="24"/>
              </w:rPr>
              <w:t>。</w:t>
            </w:r>
          </w:p>
          <w:p w14:paraId="3B92D84E">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本项目不属于关于印发《&lt;长江经济带发展负面清单指南&gt;（试行，2022年版）》的通知（长江办〔2022〕7号）、《关于印发〈长江经济带发展负面清单指南（试行，2022年版）〉江苏省实施细则的通知》（苏长江办发〔2022〕55号）中禁止类条款，符合实施细则管控要求。</w:t>
            </w:r>
          </w:p>
          <w:p w14:paraId="1ACD8D6E">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3、本项目不属于《市场准入负面清单（2022年版）》中禁止准入类和限制准入类项目。</w:t>
            </w:r>
          </w:p>
          <w:p w14:paraId="30C4F164">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4、本项目不属于《江苏省限制用地项目目录（2013年本）》和《江苏省禁止用地项目（2013年本）》、《限制用地项目目录（2012年本）》和《禁止用地项目目录（2012年本）》中的限制类及禁止类项目。</w:t>
            </w:r>
          </w:p>
          <w:p w14:paraId="28387A40">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5、对照《关于印发环境保护综合名录（2021年版）的通知》（环办综合函〔2021〕495号），本项目的产品为</w:t>
            </w:r>
            <w:r>
              <w:rPr>
                <w:rFonts w:hint="default" w:ascii="Times New Roman" w:hAnsi="Times New Roman" w:eastAsia="宋体" w:cs="Times New Roman"/>
                <w:bCs/>
                <w:color w:val="auto"/>
                <w:sz w:val="24"/>
                <w:lang w:eastAsia="zh-CN"/>
              </w:rPr>
              <w:t>汽车增压器零部件</w:t>
            </w:r>
            <w:r>
              <w:rPr>
                <w:rFonts w:hint="default" w:ascii="Times New Roman" w:hAnsi="Times New Roman" w:eastAsia="宋体" w:cs="Times New Roman"/>
                <w:bCs/>
                <w:color w:val="auto"/>
                <w:sz w:val="24"/>
              </w:rPr>
              <w:t>，不在</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高污染、高环境风险</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产品名录中。</w:t>
            </w:r>
          </w:p>
          <w:p w14:paraId="4E21B06C">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6、本项目已获得常州市金坛区发展和改革局出具的《江苏省投资项目备案证》（</w:t>
            </w:r>
            <w:r>
              <w:rPr>
                <w:rFonts w:hint="eastAsia" w:ascii="Times New Roman" w:hAnsi="Times New Roman" w:eastAsia="宋体" w:cs="Times New Roman"/>
                <w:color w:val="auto"/>
                <w:sz w:val="24"/>
                <w:lang w:eastAsia="zh-CN"/>
              </w:rPr>
              <w:t>坛发改备〔2024〕457号</w:t>
            </w:r>
            <w:r>
              <w:rPr>
                <w:rFonts w:hint="default" w:ascii="Times New Roman" w:hAnsi="Times New Roman" w:eastAsia="宋体" w:cs="Times New Roman"/>
                <w:bCs/>
                <w:color w:val="auto"/>
                <w:sz w:val="24"/>
              </w:rPr>
              <w:t>）。</w:t>
            </w:r>
          </w:p>
          <w:p w14:paraId="28D64FEB">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7、</w:t>
            </w:r>
            <w:r>
              <w:rPr>
                <w:rFonts w:hint="default" w:ascii="Times New Roman" w:hAnsi="Times New Roman" w:eastAsia="宋体" w:cs="Times New Roman"/>
                <w:bCs/>
                <w:color w:val="auto"/>
                <w:sz w:val="24"/>
                <w:lang w:val="en-US" w:eastAsia="zh-CN"/>
              </w:rPr>
              <w:t>与《江苏省“两高”项目管理目录》（2024年版）符合性分析如下</w:t>
            </w:r>
            <w:r>
              <w:rPr>
                <w:rFonts w:hint="default" w:ascii="Times New Roman" w:hAnsi="Times New Roman" w:eastAsia="宋体" w:cs="Times New Roman"/>
                <w:bCs/>
                <w:color w:val="auto"/>
                <w:sz w:val="24"/>
              </w:rPr>
              <w:t>：</w:t>
            </w:r>
          </w:p>
          <w:p w14:paraId="589DB03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0"/>
                <w:sz w:val="24"/>
                <w:szCs w:val="24"/>
                <w:highlight w:val="none"/>
                <w:lang w:val="en-US" w:eastAsia="zh-CN" w:bidi="ar"/>
              </w:rPr>
              <w:t>表</w:t>
            </w:r>
            <w:r>
              <w:rPr>
                <w:rFonts w:hint="eastAsia" w:ascii="Times New Roman" w:hAnsi="Times New Roman" w:eastAsia="宋体" w:cs="Times New Roman"/>
                <w:b/>
                <w:bCs/>
                <w:color w:val="auto"/>
                <w:kern w:val="0"/>
                <w:sz w:val="24"/>
                <w:szCs w:val="24"/>
                <w:highlight w:val="none"/>
                <w:lang w:val="en-US" w:eastAsia="zh-CN" w:bidi="ar"/>
              </w:rPr>
              <w:t xml:space="preserve">1-2  </w:t>
            </w:r>
            <w:r>
              <w:rPr>
                <w:rFonts w:hint="default" w:ascii="Times New Roman" w:hAnsi="Times New Roman" w:eastAsia="宋体" w:cs="Times New Roman"/>
                <w:b/>
                <w:bCs/>
                <w:color w:val="auto"/>
                <w:kern w:val="0"/>
                <w:sz w:val="24"/>
                <w:szCs w:val="24"/>
                <w:highlight w:val="none"/>
                <w:lang w:val="en-US" w:eastAsia="zh-CN" w:bidi="ar"/>
              </w:rPr>
              <w:t>与“两高”项目管理目录对照分析</w:t>
            </w:r>
          </w:p>
          <w:tbl>
            <w:tblPr>
              <w:tblStyle w:val="2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98"/>
              <w:gridCol w:w="1273"/>
              <w:gridCol w:w="3610"/>
              <w:gridCol w:w="1387"/>
            </w:tblGrid>
            <w:tr w14:paraId="6063D0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tcBorders>
                    <w:tl2br w:val="nil"/>
                    <w:tr2bl w:val="nil"/>
                  </w:tcBorders>
                  <w:noWrap w:val="0"/>
                  <w:vAlign w:val="center"/>
                </w:tcPr>
                <w:p w14:paraId="617D0243">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行业</w:t>
                  </w:r>
                </w:p>
              </w:tc>
              <w:tc>
                <w:tcPr>
                  <w:tcW w:w="830" w:type="pct"/>
                  <w:tcBorders>
                    <w:tl2br w:val="nil"/>
                    <w:tr2bl w:val="nil"/>
                  </w:tcBorders>
                  <w:noWrap w:val="0"/>
                  <w:vAlign w:val="center"/>
                </w:tcPr>
                <w:p w14:paraId="11AF49A0">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行业代码</w:t>
                  </w:r>
                </w:p>
              </w:tc>
              <w:tc>
                <w:tcPr>
                  <w:tcW w:w="2353" w:type="pct"/>
                  <w:tcBorders>
                    <w:tl2br w:val="nil"/>
                    <w:tr2bl w:val="nil"/>
                  </w:tcBorders>
                  <w:noWrap w:val="0"/>
                  <w:vAlign w:val="center"/>
                </w:tcPr>
                <w:p w14:paraId="00337899">
                  <w:pPr>
                    <w:keepNext w:val="0"/>
                    <w:keepLines w:val="0"/>
                    <w:pageBreakBefore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国民经济行业分类</w:t>
                  </w:r>
                </w:p>
              </w:tc>
              <w:tc>
                <w:tcPr>
                  <w:tcW w:w="904" w:type="pct"/>
                  <w:tcBorders>
                    <w:tl2br w:val="nil"/>
                    <w:tr2bl w:val="nil"/>
                  </w:tcBorders>
                  <w:noWrap w:val="0"/>
                  <w:vAlign w:val="center"/>
                </w:tcPr>
                <w:p w14:paraId="4725D83F">
                  <w:pPr>
                    <w:autoSpaceDE w:val="0"/>
                    <w:autoSpaceDN w:val="0"/>
                    <w:adjustRightInd w:val="0"/>
                    <w:snapToGrid w:val="0"/>
                    <w:spacing w:line="240" w:lineRule="auto"/>
                    <w:jc w:val="center"/>
                    <w:rPr>
                      <w:rFonts w:hint="default" w:ascii="Times New Roman" w:hAnsi="Times New Roman" w:eastAsia="宋体" w:cs="Times New Roman"/>
                      <w:b/>
                      <w:bCs/>
                      <w:color w:val="auto"/>
                      <w:kern w:val="0"/>
                      <w:sz w:val="21"/>
                      <w:szCs w:val="21"/>
                      <w:highlight w:val="none"/>
                      <w:lang w:val="en-US" w:eastAsia="zh-CN"/>
                    </w:rPr>
                  </w:pPr>
                  <w:r>
                    <w:rPr>
                      <w:rFonts w:hint="default" w:ascii="Times New Roman" w:hAnsi="Times New Roman" w:eastAsia="宋体" w:cs="Times New Roman"/>
                      <w:b/>
                      <w:bCs/>
                      <w:color w:val="auto"/>
                      <w:kern w:val="0"/>
                      <w:sz w:val="21"/>
                      <w:szCs w:val="21"/>
                      <w:highlight w:val="none"/>
                      <w:lang w:val="en-US" w:eastAsia="zh-CN"/>
                    </w:rPr>
                    <w:t>对照分析</w:t>
                  </w:r>
                </w:p>
              </w:tc>
            </w:tr>
            <w:tr w14:paraId="73C41D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restart"/>
                  <w:tcBorders>
                    <w:tl2br w:val="nil"/>
                    <w:tr2bl w:val="nil"/>
                  </w:tcBorders>
                  <w:noWrap w:val="0"/>
                  <w:vAlign w:val="center"/>
                </w:tcPr>
                <w:p w14:paraId="1D8A55E8">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煤电</w:t>
                  </w:r>
                </w:p>
              </w:tc>
              <w:tc>
                <w:tcPr>
                  <w:tcW w:w="830" w:type="pct"/>
                  <w:tcBorders>
                    <w:tl2br w:val="nil"/>
                    <w:tr2bl w:val="nil"/>
                  </w:tcBorders>
                  <w:noWrap w:val="0"/>
                  <w:vAlign w:val="center"/>
                </w:tcPr>
                <w:p w14:paraId="2BF5F46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4411</w:t>
                  </w:r>
                </w:p>
              </w:tc>
              <w:tc>
                <w:tcPr>
                  <w:tcW w:w="2353" w:type="pct"/>
                  <w:tcBorders>
                    <w:tl2br w:val="nil"/>
                    <w:tr2bl w:val="nil"/>
                  </w:tcBorders>
                  <w:noWrap w:val="0"/>
                  <w:vAlign w:val="center"/>
                </w:tcPr>
                <w:p w14:paraId="6218B2E9">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火力发电</w:t>
                  </w:r>
                </w:p>
              </w:tc>
              <w:tc>
                <w:tcPr>
                  <w:tcW w:w="904" w:type="pct"/>
                  <w:vMerge w:val="restart"/>
                  <w:tcBorders>
                    <w:tl2br w:val="nil"/>
                    <w:tr2bl w:val="nil"/>
                  </w:tcBorders>
                  <w:noWrap w:val="0"/>
                  <w:vAlign w:val="center"/>
                </w:tcPr>
                <w:p w14:paraId="3431AFFE">
                  <w:pPr>
                    <w:autoSpaceDE w:val="0"/>
                    <w:autoSpaceDN w:val="0"/>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eastAsia" w:ascii="Times New Roman" w:hAnsi="Times New Roman" w:eastAsia="宋体" w:cs="Times New Roman"/>
                      <w:b w:val="0"/>
                      <w:bCs w:val="0"/>
                      <w:color w:val="auto"/>
                      <w:kern w:val="2"/>
                      <w:sz w:val="21"/>
                      <w:szCs w:val="21"/>
                      <w:highlight w:val="none"/>
                      <w:lang w:val="en-US" w:eastAsia="zh-CN" w:bidi="ar-SA"/>
                    </w:rPr>
                    <w:t>本项目国民经济行业类别属于C3360 金属表面处理及热处理加工，</w:t>
                  </w:r>
                  <w:r>
                    <w:rPr>
                      <w:rFonts w:hint="eastAsia" w:ascii="Times New Roman" w:hAnsi="Times New Roman" w:eastAsia="宋体" w:cs="Times New Roman"/>
                      <w:b w:val="0"/>
                      <w:color w:val="auto"/>
                      <w:kern w:val="2"/>
                      <w:sz w:val="21"/>
                      <w:szCs w:val="21"/>
                      <w:highlight w:val="none"/>
                      <w:lang w:val="en-US" w:eastAsia="zh-CN" w:bidi="ar-SA"/>
                    </w:rPr>
                    <w:t>不属于江苏省“两高”项目。</w:t>
                  </w:r>
                </w:p>
              </w:tc>
            </w:tr>
            <w:tr w14:paraId="54554E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5C8ACFD7">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4EED0D8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4412</w:t>
                  </w:r>
                </w:p>
              </w:tc>
              <w:tc>
                <w:tcPr>
                  <w:tcW w:w="2353" w:type="pct"/>
                  <w:tcBorders>
                    <w:tl2br w:val="nil"/>
                    <w:tr2bl w:val="nil"/>
                  </w:tcBorders>
                  <w:noWrap w:val="0"/>
                  <w:vAlign w:val="center"/>
                </w:tcPr>
                <w:p w14:paraId="2F46121D">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热力联产</w:t>
                  </w:r>
                </w:p>
              </w:tc>
              <w:tc>
                <w:tcPr>
                  <w:tcW w:w="904" w:type="pct"/>
                  <w:vMerge w:val="continue"/>
                  <w:tcBorders>
                    <w:tl2br w:val="nil"/>
                    <w:tr2bl w:val="nil"/>
                  </w:tcBorders>
                  <w:noWrap w:val="0"/>
                  <w:vAlign w:val="center"/>
                </w:tcPr>
                <w:p w14:paraId="604458F8">
                  <w:pPr>
                    <w:autoSpaceDE w:val="0"/>
                    <w:autoSpaceDN w:val="0"/>
                    <w:adjustRightInd w:val="0"/>
                    <w:snapToGrid w:val="0"/>
                    <w:spacing w:line="360" w:lineRule="auto"/>
                    <w:jc w:val="center"/>
                    <w:rPr>
                      <w:rFonts w:hint="default" w:ascii="Times New Roman" w:hAnsi="Times New Roman" w:eastAsia="宋体" w:cs="Times New Roman"/>
                      <w:color w:val="auto"/>
                      <w:kern w:val="0"/>
                      <w:sz w:val="21"/>
                      <w:szCs w:val="21"/>
                      <w:highlight w:val="none"/>
                    </w:rPr>
                  </w:pPr>
                </w:p>
              </w:tc>
            </w:tr>
            <w:tr w14:paraId="3665A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43482695">
                  <w:pPr>
                    <w:keepNext w:val="0"/>
                    <w:keepLines w:val="0"/>
                    <w:pageBreakBefore w:val="0"/>
                    <w:kinsoku/>
                    <w:wordWrap/>
                    <w:overflowPunct/>
                    <w:topLinePunct w:val="0"/>
                    <w:autoSpaceDE w:val="0"/>
                    <w:autoSpaceDN w:val="0"/>
                    <w:bidi w:val="0"/>
                    <w:adjustRightInd/>
                    <w:snapToGrid/>
                    <w:spacing w:line="360" w:lineRule="auto"/>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02E28C8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4417</w:t>
                  </w:r>
                </w:p>
              </w:tc>
              <w:tc>
                <w:tcPr>
                  <w:tcW w:w="2353" w:type="pct"/>
                  <w:tcBorders>
                    <w:tl2br w:val="nil"/>
                    <w:tr2bl w:val="nil"/>
                  </w:tcBorders>
                  <w:noWrap w:val="0"/>
                  <w:vAlign w:val="center"/>
                </w:tcPr>
                <w:p w14:paraId="2ADE76E0">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掺烧化石燃料燃烧的生物质能发电</w:t>
                  </w:r>
                </w:p>
              </w:tc>
              <w:tc>
                <w:tcPr>
                  <w:tcW w:w="904" w:type="pct"/>
                  <w:vMerge w:val="continue"/>
                  <w:tcBorders>
                    <w:tl2br w:val="nil"/>
                    <w:tr2bl w:val="nil"/>
                  </w:tcBorders>
                  <w:noWrap w:val="0"/>
                  <w:vAlign w:val="center"/>
                </w:tcPr>
                <w:p w14:paraId="30B941AB">
                  <w:pPr>
                    <w:autoSpaceDE w:val="0"/>
                    <w:autoSpaceDN w:val="0"/>
                    <w:adjustRightInd w:val="0"/>
                    <w:snapToGrid w:val="0"/>
                    <w:spacing w:line="360" w:lineRule="auto"/>
                    <w:jc w:val="center"/>
                    <w:rPr>
                      <w:rFonts w:hint="default" w:ascii="Times New Roman" w:hAnsi="Times New Roman" w:eastAsia="宋体" w:cs="Times New Roman"/>
                      <w:color w:val="auto"/>
                      <w:kern w:val="0"/>
                      <w:sz w:val="21"/>
                      <w:szCs w:val="21"/>
                      <w:highlight w:val="none"/>
                    </w:rPr>
                  </w:pPr>
                </w:p>
              </w:tc>
            </w:tr>
            <w:tr w14:paraId="1B0D92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restart"/>
                  <w:tcBorders>
                    <w:tl2br w:val="nil"/>
                    <w:tr2bl w:val="nil"/>
                  </w:tcBorders>
                  <w:noWrap w:val="0"/>
                  <w:vAlign w:val="center"/>
                </w:tcPr>
                <w:p w14:paraId="08C3F5CE">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石化</w:t>
                  </w:r>
                </w:p>
              </w:tc>
              <w:tc>
                <w:tcPr>
                  <w:tcW w:w="830" w:type="pct"/>
                  <w:tcBorders>
                    <w:tl2br w:val="nil"/>
                    <w:tr2bl w:val="nil"/>
                  </w:tcBorders>
                  <w:noWrap w:val="0"/>
                  <w:vAlign w:val="center"/>
                </w:tcPr>
                <w:p w14:paraId="6ED44C7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251</w:t>
                  </w:r>
                </w:p>
              </w:tc>
              <w:tc>
                <w:tcPr>
                  <w:tcW w:w="2353" w:type="pct"/>
                  <w:tcBorders>
                    <w:tl2br w:val="nil"/>
                    <w:tr2bl w:val="nil"/>
                  </w:tcBorders>
                  <w:noWrap w:val="0"/>
                  <w:vAlign w:val="center"/>
                </w:tcPr>
                <w:p w14:paraId="5D6EE52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精炼石油产品制造</w:t>
                  </w:r>
                </w:p>
              </w:tc>
              <w:tc>
                <w:tcPr>
                  <w:tcW w:w="904" w:type="pct"/>
                  <w:vMerge w:val="continue"/>
                  <w:tcBorders>
                    <w:tl2br w:val="nil"/>
                    <w:tr2bl w:val="nil"/>
                  </w:tcBorders>
                  <w:noWrap w:val="0"/>
                  <w:vAlign w:val="center"/>
                </w:tcPr>
                <w:p w14:paraId="6FEC4D6F">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19891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4F103477">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0F3655C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252</w:t>
                  </w:r>
                </w:p>
              </w:tc>
              <w:tc>
                <w:tcPr>
                  <w:tcW w:w="2353" w:type="pct"/>
                  <w:tcBorders>
                    <w:tl2br w:val="nil"/>
                    <w:tr2bl w:val="nil"/>
                  </w:tcBorders>
                  <w:noWrap w:val="0"/>
                  <w:vAlign w:val="center"/>
                </w:tcPr>
                <w:p w14:paraId="6F827DC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煤炭加工</w:t>
                  </w:r>
                </w:p>
              </w:tc>
              <w:tc>
                <w:tcPr>
                  <w:tcW w:w="904" w:type="pct"/>
                  <w:vMerge w:val="continue"/>
                  <w:tcBorders>
                    <w:tl2br w:val="nil"/>
                    <w:tr2bl w:val="nil"/>
                  </w:tcBorders>
                  <w:noWrap w:val="0"/>
                  <w:vAlign w:val="center"/>
                </w:tcPr>
                <w:p w14:paraId="32BA92AC">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36C0EB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restart"/>
                  <w:tcBorders>
                    <w:tl2br w:val="nil"/>
                    <w:tr2bl w:val="nil"/>
                  </w:tcBorders>
                  <w:noWrap w:val="0"/>
                  <w:vAlign w:val="center"/>
                </w:tcPr>
                <w:p w14:paraId="49F87BFD">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化工</w:t>
                  </w:r>
                </w:p>
              </w:tc>
              <w:tc>
                <w:tcPr>
                  <w:tcW w:w="830" w:type="pct"/>
                  <w:tcBorders>
                    <w:tl2br w:val="nil"/>
                    <w:tr2bl w:val="nil"/>
                  </w:tcBorders>
                  <w:noWrap w:val="0"/>
                  <w:vAlign w:val="center"/>
                </w:tcPr>
                <w:p w14:paraId="7DF318F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261</w:t>
                  </w:r>
                </w:p>
              </w:tc>
              <w:tc>
                <w:tcPr>
                  <w:tcW w:w="2353" w:type="pct"/>
                  <w:tcBorders>
                    <w:tl2br w:val="nil"/>
                    <w:tr2bl w:val="nil"/>
                  </w:tcBorders>
                  <w:noWrap w:val="0"/>
                  <w:vAlign w:val="center"/>
                </w:tcPr>
                <w:p w14:paraId="6CA9E14E">
                  <w:pPr>
                    <w:keepNext w:val="0"/>
                    <w:keepLines w:val="0"/>
                    <w:pageBreakBefore w:val="0"/>
                    <w:widowControl/>
                    <w:suppressLineNumbers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bidi="ar"/>
                    </w:rPr>
                    <w:t>基础化学原料制造</w:t>
                  </w:r>
                </w:p>
              </w:tc>
              <w:tc>
                <w:tcPr>
                  <w:tcW w:w="904" w:type="pct"/>
                  <w:vMerge w:val="continue"/>
                  <w:tcBorders>
                    <w:tl2br w:val="nil"/>
                    <w:tr2bl w:val="nil"/>
                  </w:tcBorders>
                  <w:noWrap w:val="0"/>
                  <w:vAlign w:val="center"/>
                </w:tcPr>
                <w:p w14:paraId="23D46759">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13B4FD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5E54C461">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48916A4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262</w:t>
                  </w:r>
                </w:p>
              </w:tc>
              <w:tc>
                <w:tcPr>
                  <w:tcW w:w="2353" w:type="pct"/>
                  <w:tcBorders>
                    <w:tl2br w:val="nil"/>
                    <w:tr2bl w:val="nil"/>
                  </w:tcBorders>
                  <w:noWrap w:val="0"/>
                  <w:vAlign w:val="center"/>
                </w:tcPr>
                <w:p w14:paraId="6E04B6A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肥料制造</w:t>
                  </w:r>
                </w:p>
              </w:tc>
              <w:tc>
                <w:tcPr>
                  <w:tcW w:w="904" w:type="pct"/>
                  <w:vMerge w:val="continue"/>
                  <w:tcBorders>
                    <w:tl2br w:val="nil"/>
                    <w:tr2bl w:val="nil"/>
                  </w:tcBorders>
                  <w:noWrap w:val="0"/>
                  <w:vAlign w:val="center"/>
                </w:tcPr>
                <w:p w14:paraId="256E77D9">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5674F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2F56A141">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0A2413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263</w:t>
                  </w:r>
                </w:p>
              </w:tc>
              <w:tc>
                <w:tcPr>
                  <w:tcW w:w="2353" w:type="pct"/>
                  <w:tcBorders>
                    <w:tl2br w:val="nil"/>
                    <w:tr2bl w:val="nil"/>
                  </w:tcBorders>
                  <w:noWrap w:val="0"/>
                  <w:vAlign w:val="center"/>
                </w:tcPr>
                <w:p w14:paraId="2588D33C">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农药制造</w:t>
                  </w:r>
                </w:p>
              </w:tc>
              <w:tc>
                <w:tcPr>
                  <w:tcW w:w="904" w:type="pct"/>
                  <w:vMerge w:val="continue"/>
                  <w:tcBorders>
                    <w:tl2br w:val="nil"/>
                    <w:tr2bl w:val="nil"/>
                  </w:tcBorders>
                  <w:noWrap w:val="0"/>
                  <w:vAlign w:val="center"/>
                </w:tcPr>
                <w:p w14:paraId="30BF2380">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2EA62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281A5228">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611176B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264</w:t>
                  </w:r>
                </w:p>
              </w:tc>
              <w:tc>
                <w:tcPr>
                  <w:tcW w:w="2353" w:type="pct"/>
                  <w:tcBorders>
                    <w:tl2br w:val="nil"/>
                    <w:tr2bl w:val="nil"/>
                  </w:tcBorders>
                  <w:noWrap w:val="0"/>
                  <w:vAlign w:val="center"/>
                </w:tcPr>
                <w:p w14:paraId="09CF4220">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涂料、油墨、颜料及类似产品制造</w:t>
                  </w:r>
                </w:p>
              </w:tc>
              <w:tc>
                <w:tcPr>
                  <w:tcW w:w="904" w:type="pct"/>
                  <w:vMerge w:val="continue"/>
                  <w:tcBorders>
                    <w:tl2br w:val="nil"/>
                    <w:tr2bl w:val="nil"/>
                  </w:tcBorders>
                  <w:noWrap w:val="0"/>
                  <w:vAlign w:val="center"/>
                </w:tcPr>
                <w:p w14:paraId="0501AE8F">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44551D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191A6BAE">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70FC641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265</w:t>
                  </w:r>
                </w:p>
              </w:tc>
              <w:tc>
                <w:tcPr>
                  <w:tcW w:w="2353" w:type="pct"/>
                  <w:tcBorders>
                    <w:tl2br w:val="nil"/>
                    <w:tr2bl w:val="nil"/>
                  </w:tcBorders>
                  <w:noWrap w:val="0"/>
                  <w:vAlign w:val="center"/>
                </w:tcPr>
                <w:p w14:paraId="752343CD">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合成材料制造</w:t>
                  </w:r>
                </w:p>
              </w:tc>
              <w:tc>
                <w:tcPr>
                  <w:tcW w:w="904" w:type="pct"/>
                  <w:vMerge w:val="continue"/>
                  <w:tcBorders>
                    <w:tl2br w:val="nil"/>
                    <w:tr2bl w:val="nil"/>
                  </w:tcBorders>
                  <w:noWrap w:val="0"/>
                  <w:vAlign w:val="center"/>
                </w:tcPr>
                <w:p w14:paraId="08B1C794">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17277E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113A79B3">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71302015">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266</w:t>
                  </w:r>
                </w:p>
              </w:tc>
              <w:tc>
                <w:tcPr>
                  <w:tcW w:w="2353" w:type="pct"/>
                  <w:tcBorders>
                    <w:tl2br w:val="nil"/>
                    <w:tr2bl w:val="nil"/>
                  </w:tcBorders>
                  <w:noWrap w:val="0"/>
                  <w:vAlign w:val="center"/>
                </w:tcPr>
                <w:p w14:paraId="7D226028">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专用化学品制造</w:t>
                  </w:r>
                </w:p>
              </w:tc>
              <w:tc>
                <w:tcPr>
                  <w:tcW w:w="904" w:type="pct"/>
                  <w:vMerge w:val="continue"/>
                  <w:tcBorders>
                    <w:tl2br w:val="nil"/>
                    <w:tr2bl w:val="nil"/>
                  </w:tcBorders>
                  <w:noWrap w:val="0"/>
                  <w:vAlign w:val="center"/>
                </w:tcPr>
                <w:p w14:paraId="017C3971">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779A72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restart"/>
                  <w:tcBorders>
                    <w:tl2br w:val="nil"/>
                    <w:tr2bl w:val="nil"/>
                  </w:tcBorders>
                  <w:noWrap w:val="0"/>
                  <w:vAlign w:val="center"/>
                </w:tcPr>
                <w:p w14:paraId="1958E43D">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钢铁</w:t>
                  </w:r>
                </w:p>
              </w:tc>
              <w:tc>
                <w:tcPr>
                  <w:tcW w:w="830" w:type="pct"/>
                  <w:tcBorders>
                    <w:tl2br w:val="nil"/>
                    <w:tr2bl w:val="nil"/>
                  </w:tcBorders>
                  <w:noWrap w:val="0"/>
                  <w:vAlign w:val="center"/>
                </w:tcPr>
                <w:p w14:paraId="1F1E31EB">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311</w:t>
                  </w:r>
                </w:p>
              </w:tc>
              <w:tc>
                <w:tcPr>
                  <w:tcW w:w="2353" w:type="pct"/>
                  <w:tcBorders>
                    <w:tl2br w:val="nil"/>
                    <w:tr2bl w:val="nil"/>
                  </w:tcBorders>
                  <w:noWrap w:val="0"/>
                  <w:vAlign w:val="center"/>
                </w:tcPr>
                <w:p w14:paraId="7A1E92BE">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炼铁</w:t>
                  </w:r>
                </w:p>
              </w:tc>
              <w:tc>
                <w:tcPr>
                  <w:tcW w:w="904" w:type="pct"/>
                  <w:vMerge w:val="continue"/>
                  <w:tcBorders>
                    <w:tl2br w:val="nil"/>
                    <w:tr2bl w:val="nil"/>
                  </w:tcBorders>
                  <w:noWrap w:val="0"/>
                  <w:vAlign w:val="center"/>
                </w:tcPr>
                <w:p w14:paraId="4340FFB9">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1A9296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03024FBC">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3ECEB83A">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312</w:t>
                  </w:r>
                </w:p>
              </w:tc>
              <w:tc>
                <w:tcPr>
                  <w:tcW w:w="2353" w:type="pct"/>
                  <w:tcBorders>
                    <w:tl2br w:val="nil"/>
                    <w:tr2bl w:val="nil"/>
                  </w:tcBorders>
                  <w:noWrap w:val="0"/>
                  <w:vAlign w:val="center"/>
                </w:tcPr>
                <w:p w14:paraId="0CE32D38">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炼钢</w:t>
                  </w:r>
                </w:p>
              </w:tc>
              <w:tc>
                <w:tcPr>
                  <w:tcW w:w="904" w:type="pct"/>
                  <w:vMerge w:val="continue"/>
                  <w:tcBorders>
                    <w:tl2br w:val="nil"/>
                    <w:tr2bl w:val="nil"/>
                  </w:tcBorders>
                  <w:noWrap w:val="0"/>
                  <w:vAlign w:val="center"/>
                </w:tcPr>
                <w:p w14:paraId="3CD87774">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38AA8C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restart"/>
                  <w:tcBorders>
                    <w:tl2br w:val="nil"/>
                    <w:tr2bl w:val="nil"/>
                  </w:tcBorders>
                  <w:noWrap w:val="0"/>
                  <w:vAlign w:val="center"/>
                </w:tcPr>
                <w:p w14:paraId="0ECBF466">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有色金属冶炼</w:t>
                  </w:r>
                </w:p>
              </w:tc>
              <w:tc>
                <w:tcPr>
                  <w:tcW w:w="830" w:type="pct"/>
                  <w:tcBorders>
                    <w:tl2br w:val="nil"/>
                    <w:tr2bl w:val="nil"/>
                  </w:tcBorders>
                  <w:noWrap w:val="0"/>
                  <w:vAlign w:val="center"/>
                </w:tcPr>
                <w:p w14:paraId="643BD93A">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321</w:t>
                  </w:r>
                </w:p>
              </w:tc>
              <w:tc>
                <w:tcPr>
                  <w:tcW w:w="2353" w:type="pct"/>
                  <w:tcBorders>
                    <w:tl2br w:val="nil"/>
                    <w:tr2bl w:val="nil"/>
                  </w:tcBorders>
                  <w:noWrap w:val="0"/>
                  <w:vAlign w:val="center"/>
                </w:tcPr>
                <w:p w14:paraId="167AC2BD">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常用有色金属冶炼</w:t>
                  </w:r>
                </w:p>
              </w:tc>
              <w:tc>
                <w:tcPr>
                  <w:tcW w:w="904" w:type="pct"/>
                  <w:vMerge w:val="continue"/>
                  <w:tcBorders>
                    <w:tl2br w:val="nil"/>
                    <w:tr2bl w:val="nil"/>
                  </w:tcBorders>
                  <w:noWrap w:val="0"/>
                  <w:vAlign w:val="center"/>
                </w:tcPr>
                <w:p w14:paraId="2E1E5520">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0A3AE5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4486DCAE">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77A56BAB">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322</w:t>
                  </w:r>
                </w:p>
              </w:tc>
              <w:tc>
                <w:tcPr>
                  <w:tcW w:w="2353" w:type="pct"/>
                  <w:tcBorders>
                    <w:tl2br w:val="nil"/>
                    <w:tr2bl w:val="nil"/>
                  </w:tcBorders>
                  <w:noWrap w:val="0"/>
                  <w:vAlign w:val="center"/>
                </w:tcPr>
                <w:p w14:paraId="287D182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贵金属冶炼</w:t>
                  </w:r>
                </w:p>
              </w:tc>
              <w:tc>
                <w:tcPr>
                  <w:tcW w:w="904" w:type="pct"/>
                  <w:vMerge w:val="continue"/>
                  <w:tcBorders>
                    <w:tl2br w:val="nil"/>
                    <w:tr2bl w:val="nil"/>
                  </w:tcBorders>
                  <w:noWrap w:val="0"/>
                  <w:vAlign w:val="center"/>
                </w:tcPr>
                <w:p w14:paraId="40B605EA">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1AE5E4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66CBE277">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60A9448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323</w:t>
                  </w:r>
                </w:p>
              </w:tc>
              <w:tc>
                <w:tcPr>
                  <w:tcW w:w="2353" w:type="pct"/>
                  <w:tcBorders>
                    <w:tl2br w:val="nil"/>
                    <w:tr2bl w:val="nil"/>
                  </w:tcBorders>
                  <w:noWrap w:val="0"/>
                  <w:vAlign w:val="center"/>
                </w:tcPr>
                <w:p w14:paraId="50BDC087">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稀有稀土金属冶炼</w:t>
                  </w:r>
                </w:p>
              </w:tc>
              <w:tc>
                <w:tcPr>
                  <w:tcW w:w="904" w:type="pct"/>
                  <w:vMerge w:val="continue"/>
                  <w:tcBorders>
                    <w:tl2br w:val="nil"/>
                    <w:tr2bl w:val="nil"/>
                  </w:tcBorders>
                  <w:noWrap w:val="0"/>
                  <w:vAlign w:val="center"/>
                </w:tcPr>
                <w:p w14:paraId="7F367930">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045508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restart"/>
                  <w:tcBorders>
                    <w:tl2br w:val="nil"/>
                    <w:tr2bl w:val="nil"/>
                  </w:tcBorders>
                  <w:noWrap w:val="0"/>
                  <w:vAlign w:val="center"/>
                </w:tcPr>
                <w:p w14:paraId="0BD53942">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建材</w:t>
                  </w:r>
                </w:p>
              </w:tc>
              <w:tc>
                <w:tcPr>
                  <w:tcW w:w="830" w:type="pct"/>
                  <w:tcBorders>
                    <w:tl2br w:val="nil"/>
                    <w:tr2bl w:val="nil"/>
                  </w:tcBorders>
                  <w:noWrap w:val="0"/>
                  <w:vAlign w:val="center"/>
                </w:tcPr>
                <w:p w14:paraId="069251AA">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3011</w:t>
                  </w:r>
                </w:p>
              </w:tc>
              <w:tc>
                <w:tcPr>
                  <w:tcW w:w="2353" w:type="pct"/>
                  <w:tcBorders>
                    <w:tl2br w:val="nil"/>
                    <w:tr2bl w:val="nil"/>
                  </w:tcBorders>
                  <w:noWrap w:val="0"/>
                  <w:vAlign w:val="center"/>
                </w:tcPr>
                <w:p w14:paraId="4D1557D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水泥制造</w:t>
                  </w:r>
                </w:p>
              </w:tc>
              <w:tc>
                <w:tcPr>
                  <w:tcW w:w="904" w:type="pct"/>
                  <w:vMerge w:val="continue"/>
                  <w:tcBorders>
                    <w:tl2br w:val="nil"/>
                    <w:tr2bl w:val="nil"/>
                  </w:tcBorders>
                  <w:noWrap w:val="0"/>
                  <w:vAlign w:val="center"/>
                </w:tcPr>
                <w:p w14:paraId="0A006110">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449177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59D72CD9">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2DCF263A">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3012</w:t>
                  </w:r>
                </w:p>
              </w:tc>
              <w:tc>
                <w:tcPr>
                  <w:tcW w:w="2353" w:type="pct"/>
                  <w:tcBorders>
                    <w:tl2br w:val="nil"/>
                    <w:tr2bl w:val="nil"/>
                  </w:tcBorders>
                  <w:noWrap w:val="0"/>
                  <w:vAlign w:val="center"/>
                </w:tcPr>
                <w:p w14:paraId="4101B4D2">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石灰和石膏制造</w:t>
                  </w:r>
                </w:p>
              </w:tc>
              <w:tc>
                <w:tcPr>
                  <w:tcW w:w="904" w:type="pct"/>
                  <w:vMerge w:val="continue"/>
                  <w:tcBorders>
                    <w:tl2br w:val="nil"/>
                    <w:tr2bl w:val="nil"/>
                  </w:tcBorders>
                  <w:noWrap w:val="0"/>
                  <w:vAlign w:val="center"/>
                </w:tcPr>
                <w:p w14:paraId="71354EBE">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4F554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69160958">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1A41C900">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3031</w:t>
                  </w:r>
                </w:p>
              </w:tc>
              <w:tc>
                <w:tcPr>
                  <w:tcW w:w="2353" w:type="pct"/>
                  <w:tcBorders>
                    <w:tl2br w:val="nil"/>
                    <w:tr2bl w:val="nil"/>
                  </w:tcBorders>
                  <w:noWrap w:val="0"/>
                  <w:vAlign w:val="center"/>
                </w:tcPr>
                <w:p w14:paraId="48CD66B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粘土砖瓦及建筑砌块制造</w:t>
                  </w:r>
                </w:p>
              </w:tc>
              <w:tc>
                <w:tcPr>
                  <w:tcW w:w="904" w:type="pct"/>
                  <w:vMerge w:val="continue"/>
                  <w:tcBorders>
                    <w:tl2br w:val="nil"/>
                    <w:tr2bl w:val="nil"/>
                  </w:tcBorders>
                  <w:noWrap w:val="0"/>
                  <w:vAlign w:val="center"/>
                </w:tcPr>
                <w:p w14:paraId="74E612D6">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1324B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75EA2DDE">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43AA23E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3041</w:t>
                  </w:r>
                </w:p>
              </w:tc>
              <w:tc>
                <w:tcPr>
                  <w:tcW w:w="2353" w:type="pct"/>
                  <w:tcBorders>
                    <w:tl2br w:val="nil"/>
                    <w:tr2bl w:val="nil"/>
                  </w:tcBorders>
                  <w:noWrap w:val="0"/>
                  <w:vAlign w:val="center"/>
                </w:tcPr>
                <w:p w14:paraId="3949676C">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平板玻璃制造</w:t>
                  </w:r>
                </w:p>
              </w:tc>
              <w:tc>
                <w:tcPr>
                  <w:tcW w:w="904" w:type="pct"/>
                  <w:vMerge w:val="continue"/>
                  <w:tcBorders>
                    <w:tl2br w:val="nil"/>
                    <w:tr2bl w:val="nil"/>
                  </w:tcBorders>
                  <w:noWrap w:val="0"/>
                  <w:vAlign w:val="center"/>
                </w:tcPr>
                <w:p w14:paraId="1401385F">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3CADE3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35C6FE06">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29C9ACA4">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3061</w:t>
                  </w:r>
                </w:p>
              </w:tc>
              <w:tc>
                <w:tcPr>
                  <w:tcW w:w="2353" w:type="pct"/>
                  <w:tcBorders>
                    <w:tl2br w:val="nil"/>
                    <w:tr2bl w:val="nil"/>
                  </w:tcBorders>
                  <w:noWrap w:val="0"/>
                  <w:vAlign w:val="center"/>
                </w:tcPr>
                <w:p w14:paraId="45C118C2">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玻璃纤维及制品制造</w:t>
                  </w:r>
                </w:p>
              </w:tc>
              <w:tc>
                <w:tcPr>
                  <w:tcW w:w="904" w:type="pct"/>
                  <w:vMerge w:val="continue"/>
                  <w:tcBorders>
                    <w:tl2br w:val="nil"/>
                    <w:tr2bl w:val="nil"/>
                  </w:tcBorders>
                  <w:noWrap w:val="0"/>
                  <w:vAlign w:val="center"/>
                </w:tcPr>
                <w:p w14:paraId="1ABD75C7">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261CFA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76BE9355">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255BE197">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3071</w:t>
                  </w:r>
                </w:p>
              </w:tc>
              <w:tc>
                <w:tcPr>
                  <w:tcW w:w="2353" w:type="pct"/>
                  <w:tcBorders>
                    <w:tl2br w:val="nil"/>
                    <w:tr2bl w:val="nil"/>
                  </w:tcBorders>
                  <w:noWrap w:val="0"/>
                  <w:vAlign w:val="center"/>
                </w:tcPr>
                <w:p w14:paraId="7DF5E2CB">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建筑陶瓷制品制造</w:t>
                  </w:r>
                </w:p>
              </w:tc>
              <w:tc>
                <w:tcPr>
                  <w:tcW w:w="904" w:type="pct"/>
                  <w:vMerge w:val="continue"/>
                  <w:tcBorders>
                    <w:tl2br w:val="nil"/>
                    <w:tr2bl w:val="nil"/>
                  </w:tcBorders>
                  <w:noWrap w:val="0"/>
                  <w:vAlign w:val="center"/>
                </w:tcPr>
                <w:p w14:paraId="3A5F2205">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65C003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02C5477C">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575B2A27">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3089</w:t>
                  </w:r>
                </w:p>
              </w:tc>
              <w:tc>
                <w:tcPr>
                  <w:tcW w:w="2353" w:type="pct"/>
                  <w:tcBorders>
                    <w:tl2br w:val="nil"/>
                    <w:tr2bl w:val="nil"/>
                  </w:tcBorders>
                  <w:noWrap w:val="0"/>
                  <w:vAlign w:val="center"/>
                </w:tcPr>
                <w:p w14:paraId="296B8083">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耐火陶瓷制品及其他耐火材料制造</w:t>
                  </w:r>
                </w:p>
              </w:tc>
              <w:tc>
                <w:tcPr>
                  <w:tcW w:w="904" w:type="pct"/>
                  <w:vMerge w:val="continue"/>
                  <w:tcBorders>
                    <w:tl2br w:val="nil"/>
                    <w:tr2bl w:val="nil"/>
                  </w:tcBorders>
                  <w:noWrap w:val="0"/>
                  <w:vAlign w:val="center"/>
                </w:tcPr>
                <w:p w14:paraId="29C5B523">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598E88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restart"/>
                  <w:tcBorders>
                    <w:tl2br w:val="nil"/>
                    <w:tr2bl w:val="nil"/>
                  </w:tcBorders>
                  <w:noWrap w:val="0"/>
                  <w:vAlign w:val="center"/>
                </w:tcPr>
                <w:p w14:paraId="6499A219">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造纸</w:t>
                  </w:r>
                </w:p>
              </w:tc>
              <w:tc>
                <w:tcPr>
                  <w:tcW w:w="830" w:type="pct"/>
                  <w:tcBorders>
                    <w:tl2br w:val="nil"/>
                    <w:tr2bl w:val="nil"/>
                  </w:tcBorders>
                  <w:noWrap w:val="0"/>
                  <w:vAlign w:val="center"/>
                </w:tcPr>
                <w:p w14:paraId="048FB609">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2211</w:t>
                  </w:r>
                </w:p>
              </w:tc>
              <w:tc>
                <w:tcPr>
                  <w:tcW w:w="2353" w:type="pct"/>
                  <w:tcBorders>
                    <w:tl2br w:val="nil"/>
                    <w:tr2bl w:val="nil"/>
                  </w:tcBorders>
                  <w:noWrap w:val="0"/>
                  <w:vAlign w:val="center"/>
                </w:tcPr>
                <w:p w14:paraId="72923DA4">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木竹浆制造</w:t>
                  </w:r>
                </w:p>
              </w:tc>
              <w:tc>
                <w:tcPr>
                  <w:tcW w:w="904" w:type="pct"/>
                  <w:vMerge w:val="continue"/>
                  <w:tcBorders>
                    <w:tl2br w:val="nil"/>
                    <w:tr2bl w:val="nil"/>
                  </w:tcBorders>
                  <w:noWrap w:val="0"/>
                  <w:vAlign w:val="center"/>
                </w:tcPr>
                <w:p w14:paraId="36E5396F">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6C5BCA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142EF9AB">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0B3DF53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2212</w:t>
                  </w:r>
                </w:p>
              </w:tc>
              <w:tc>
                <w:tcPr>
                  <w:tcW w:w="2353" w:type="pct"/>
                  <w:tcBorders>
                    <w:tl2br w:val="nil"/>
                    <w:tr2bl w:val="nil"/>
                  </w:tcBorders>
                  <w:noWrap w:val="0"/>
                  <w:vAlign w:val="center"/>
                </w:tcPr>
                <w:p w14:paraId="33CA62FA">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非木竹浆制造</w:t>
                  </w:r>
                </w:p>
              </w:tc>
              <w:tc>
                <w:tcPr>
                  <w:tcW w:w="904" w:type="pct"/>
                  <w:vMerge w:val="continue"/>
                  <w:tcBorders>
                    <w:tl2br w:val="nil"/>
                    <w:tr2bl w:val="nil"/>
                  </w:tcBorders>
                  <w:noWrap w:val="0"/>
                  <w:vAlign w:val="center"/>
                </w:tcPr>
                <w:p w14:paraId="3A37FA6C">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41A20B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2BF71ACF">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2DBEB3BB">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2221</w:t>
                  </w:r>
                </w:p>
              </w:tc>
              <w:tc>
                <w:tcPr>
                  <w:tcW w:w="2353" w:type="pct"/>
                  <w:tcBorders>
                    <w:tl2br w:val="nil"/>
                    <w:tr2bl w:val="nil"/>
                  </w:tcBorders>
                  <w:noWrap w:val="0"/>
                  <w:vAlign w:val="center"/>
                </w:tcPr>
                <w:p w14:paraId="5325522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机制纸及纸板制造</w:t>
                  </w:r>
                </w:p>
              </w:tc>
              <w:tc>
                <w:tcPr>
                  <w:tcW w:w="904" w:type="pct"/>
                  <w:vMerge w:val="continue"/>
                  <w:tcBorders>
                    <w:tl2br w:val="nil"/>
                    <w:tr2bl w:val="nil"/>
                  </w:tcBorders>
                  <w:noWrap w:val="0"/>
                  <w:vAlign w:val="center"/>
                </w:tcPr>
                <w:p w14:paraId="64C3DF72">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364BF7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restart"/>
                  <w:tcBorders>
                    <w:tl2br w:val="nil"/>
                    <w:tr2bl w:val="nil"/>
                  </w:tcBorders>
                  <w:noWrap w:val="0"/>
                  <w:vAlign w:val="center"/>
                </w:tcPr>
                <w:p w14:paraId="2138D6BB">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纺织印染</w:t>
                  </w:r>
                </w:p>
              </w:tc>
              <w:tc>
                <w:tcPr>
                  <w:tcW w:w="830" w:type="pct"/>
                  <w:tcBorders>
                    <w:tl2br w:val="nil"/>
                    <w:tr2bl w:val="nil"/>
                  </w:tcBorders>
                  <w:noWrap w:val="0"/>
                  <w:vAlign w:val="center"/>
                </w:tcPr>
                <w:p w14:paraId="4F55F64A">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1713</w:t>
                  </w:r>
                </w:p>
              </w:tc>
              <w:tc>
                <w:tcPr>
                  <w:tcW w:w="2353" w:type="pct"/>
                  <w:tcBorders>
                    <w:tl2br w:val="nil"/>
                    <w:tr2bl w:val="nil"/>
                  </w:tcBorders>
                  <w:noWrap w:val="0"/>
                  <w:vAlign w:val="center"/>
                </w:tcPr>
                <w:p w14:paraId="638EB3F4">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棉印染精加工</w:t>
                  </w:r>
                </w:p>
              </w:tc>
              <w:tc>
                <w:tcPr>
                  <w:tcW w:w="904" w:type="pct"/>
                  <w:vMerge w:val="continue"/>
                  <w:tcBorders>
                    <w:tl2br w:val="nil"/>
                    <w:tr2bl w:val="nil"/>
                  </w:tcBorders>
                  <w:noWrap w:val="0"/>
                  <w:vAlign w:val="center"/>
                </w:tcPr>
                <w:p w14:paraId="305329E7">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671755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6D8D592B">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12AED220">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1723</w:t>
                  </w:r>
                </w:p>
              </w:tc>
              <w:tc>
                <w:tcPr>
                  <w:tcW w:w="2353" w:type="pct"/>
                  <w:tcBorders>
                    <w:tl2br w:val="nil"/>
                    <w:tr2bl w:val="nil"/>
                  </w:tcBorders>
                  <w:noWrap w:val="0"/>
                  <w:vAlign w:val="center"/>
                </w:tcPr>
                <w:p w14:paraId="64BC1AEF">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毛染整精加工</w:t>
                  </w:r>
                </w:p>
              </w:tc>
              <w:tc>
                <w:tcPr>
                  <w:tcW w:w="904" w:type="pct"/>
                  <w:vMerge w:val="continue"/>
                  <w:tcBorders>
                    <w:tl2br w:val="nil"/>
                    <w:tr2bl w:val="nil"/>
                  </w:tcBorders>
                  <w:noWrap w:val="0"/>
                  <w:vAlign w:val="center"/>
                </w:tcPr>
                <w:p w14:paraId="6B770EA6">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3A932E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43AB6E34">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1F23AE3C">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1733</w:t>
                  </w:r>
                </w:p>
              </w:tc>
              <w:tc>
                <w:tcPr>
                  <w:tcW w:w="2353" w:type="pct"/>
                  <w:tcBorders>
                    <w:tl2br w:val="nil"/>
                    <w:tr2bl w:val="nil"/>
                  </w:tcBorders>
                  <w:noWrap w:val="0"/>
                  <w:vAlign w:val="center"/>
                </w:tcPr>
                <w:p w14:paraId="734B695D">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麻染整精加工</w:t>
                  </w:r>
                </w:p>
              </w:tc>
              <w:tc>
                <w:tcPr>
                  <w:tcW w:w="904" w:type="pct"/>
                  <w:vMerge w:val="continue"/>
                  <w:tcBorders>
                    <w:tl2br w:val="nil"/>
                    <w:tr2bl w:val="nil"/>
                  </w:tcBorders>
                  <w:noWrap w:val="0"/>
                  <w:vAlign w:val="center"/>
                </w:tcPr>
                <w:p w14:paraId="4BD64475">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0D1116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651BE75A">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7D3B8428">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1743</w:t>
                  </w:r>
                </w:p>
              </w:tc>
              <w:tc>
                <w:tcPr>
                  <w:tcW w:w="2353" w:type="pct"/>
                  <w:tcBorders>
                    <w:tl2br w:val="nil"/>
                    <w:tr2bl w:val="nil"/>
                  </w:tcBorders>
                  <w:noWrap w:val="0"/>
                  <w:vAlign w:val="center"/>
                </w:tcPr>
                <w:p w14:paraId="3EE58650">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丝印染精加工</w:t>
                  </w:r>
                </w:p>
              </w:tc>
              <w:tc>
                <w:tcPr>
                  <w:tcW w:w="904" w:type="pct"/>
                  <w:vMerge w:val="continue"/>
                  <w:tcBorders>
                    <w:tl2br w:val="nil"/>
                    <w:tr2bl w:val="nil"/>
                  </w:tcBorders>
                  <w:noWrap w:val="0"/>
                  <w:vAlign w:val="center"/>
                </w:tcPr>
                <w:p w14:paraId="4585E09E">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r w14:paraId="66FA1C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911" w:type="pct"/>
                  <w:vMerge w:val="continue"/>
                  <w:tcBorders>
                    <w:tl2br w:val="nil"/>
                    <w:tr2bl w:val="nil"/>
                  </w:tcBorders>
                  <w:noWrap w:val="0"/>
                  <w:vAlign w:val="center"/>
                </w:tcPr>
                <w:p w14:paraId="65E7F414">
                  <w:pPr>
                    <w:keepNext w:val="0"/>
                    <w:keepLines w:val="0"/>
                    <w:pageBreakBefore w:val="0"/>
                    <w:kinsoku/>
                    <w:wordWrap/>
                    <w:overflowPunct/>
                    <w:topLinePunct w:val="0"/>
                    <w:autoSpaceDE w:val="0"/>
                    <w:autoSpaceDN w:val="0"/>
                    <w:bidi w:val="0"/>
                    <w:adjustRightInd/>
                    <w:snapToGrid/>
                    <w:jc w:val="center"/>
                    <w:textAlignment w:val="auto"/>
                    <w:rPr>
                      <w:rFonts w:hint="default" w:ascii="Times New Roman" w:hAnsi="Times New Roman" w:eastAsia="宋体" w:cs="Times New Roman"/>
                      <w:color w:val="auto"/>
                      <w:kern w:val="0"/>
                      <w:sz w:val="21"/>
                      <w:szCs w:val="21"/>
                      <w:highlight w:val="none"/>
                    </w:rPr>
                  </w:pPr>
                </w:p>
              </w:tc>
              <w:tc>
                <w:tcPr>
                  <w:tcW w:w="830" w:type="pct"/>
                  <w:tcBorders>
                    <w:tl2br w:val="nil"/>
                    <w:tr2bl w:val="nil"/>
                  </w:tcBorders>
                  <w:noWrap w:val="0"/>
                  <w:vAlign w:val="center"/>
                </w:tcPr>
                <w:p w14:paraId="0765FD47">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1752</w:t>
                  </w:r>
                </w:p>
              </w:tc>
              <w:tc>
                <w:tcPr>
                  <w:tcW w:w="2353" w:type="pct"/>
                  <w:tcBorders>
                    <w:tl2br w:val="nil"/>
                    <w:tr2bl w:val="nil"/>
                  </w:tcBorders>
                  <w:noWrap w:val="0"/>
                  <w:vAlign w:val="center"/>
                </w:tcPr>
                <w:p w14:paraId="3D4884F6">
                  <w:pPr>
                    <w:keepNext w:val="0"/>
                    <w:keepLines w:val="0"/>
                    <w:pageBreakBefore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化纤织物染整精加工</w:t>
                  </w:r>
                </w:p>
              </w:tc>
              <w:tc>
                <w:tcPr>
                  <w:tcW w:w="904" w:type="pct"/>
                  <w:vMerge w:val="continue"/>
                  <w:tcBorders>
                    <w:tl2br w:val="nil"/>
                    <w:tr2bl w:val="nil"/>
                  </w:tcBorders>
                  <w:noWrap w:val="0"/>
                  <w:vAlign w:val="center"/>
                </w:tcPr>
                <w:p w14:paraId="3FD7A20A">
                  <w:pPr>
                    <w:autoSpaceDE w:val="0"/>
                    <w:autoSpaceDN w:val="0"/>
                    <w:adjustRightInd w:val="0"/>
                    <w:snapToGrid w:val="0"/>
                    <w:jc w:val="center"/>
                    <w:rPr>
                      <w:rFonts w:hint="default" w:ascii="Times New Roman" w:hAnsi="Times New Roman" w:eastAsia="宋体" w:cs="Times New Roman"/>
                      <w:color w:val="auto"/>
                      <w:kern w:val="0"/>
                      <w:sz w:val="21"/>
                      <w:szCs w:val="21"/>
                      <w:highlight w:val="none"/>
                    </w:rPr>
                  </w:pPr>
                </w:p>
              </w:tc>
            </w:tr>
          </w:tbl>
          <w:p w14:paraId="4822B4D8">
            <w:pPr>
              <w:spacing w:line="500" w:lineRule="exact"/>
              <w:ind w:firstLine="482"/>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根据上表可知，本项目的产品为</w:t>
            </w:r>
            <w:r>
              <w:rPr>
                <w:rFonts w:hint="default" w:ascii="Times New Roman" w:hAnsi="Times New Roman" w:eastAsia="宋体" w:cs="Times New Roman"/>
                <w:bCs/>
                <w:color w:val="auto"/>
                <w:sz w:val="24"/>
                <w:lang w:eastAsia="zh-CN"/>
              </w:rPr>
              <w:t>汽车增压器零部件</w:t>
            </w:r>
            <w:r>
              <w:rPr>
                <w:rFonts w:hint="default" w:ascii="Times New Roman" w:hAnsi="Times New Roman" w:eastAsia="宋体" w:cs="Times New Roman"/>
                <w:bCs/>
                <w:color w:val="auto"/>
                <w:sz w:val="24"/>
              </w:rPr>
              <w:t>，国民经济行业类别属于</w:t>
            </w:r>
            <w:r>
              <w:rPr>
                <w:rFonts w:hint="eastAsia" w:ascii="Times New Roman" w:hAnsi="Times New Roman" w:eastAsia="宋体" w:cs="Times New Roman"/>
                <w:bCs/>
                <w:color w:val="auto"/>
                <w:sz w:val="24"/>
                <w:lang w:eastAsia="zh-CN"/>
              </w:rPr>
              <w:t>“C3360 金属表面处理及热处理加工”</w:t>
            </w:r>
            <w:r>
              <w:rPr>
                <w:rFonts w:hint="default" w:ascii="Times New Roman" w:hAnsi="Times New Roman" w:eastAsia="宋体" w:cs="Times New Roman"/>
                <w:bCs/>
                <w:color w:val="auto"/>
                <w:sz w:val="24"/>
              </w:rPr>
              <w:t>，不属于江苏省</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两高</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项目。</w:t>
            </w:r>
          </w:p>
          <w:p w14:paraId="5840E1D4">
            <w:pPr>
              <w:spacing w:line="500" w:lineRule="exact"/>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（二）</w:t>
            </w:r>
            <w:r>
              <w:rPr>
                <w:rFonts w:hint="eastAsia"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三线一单</w:t>
            </w:r>
            <w:r>
              <w:rPr>
                <w:rFonts w:hint="eastAsia" w:ascii="Times New Roman" w:hAnsi="Times New Roman" w:eastAsia="宋体" w:cs="Times New Roman"/>
                <w:b/>
                <w:bCs/>
                <w:color w:val="auto"/>
                <w:sz w:val="24"/>
                <w:lang w:eastAsia="zh-CN"/>
              </w:rPr>
              <w:t>”</w:t>
            </w:r>
            <w:r>
              <w:rPr>
                <w:rFonts w:hint="default" w:ascii="Times New Roman" w:hAnsi="Times New Roman" w:eastAsia="宋体" w:cs="Times New Roman"/>
                <w:b/>
                <w:bCs/>
                <w:color w:val="auto"/>
                <w:sz w:val="24"/>
              </w:rPr>
              <w:t>符合性分析</w:t>
            </w:r>
          </w:p>
          <w:p w14:paraId="5742414E">
            <w:pPr>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1、根据《关于以改善环境质量为核心加强环境影响评价管理的通知》（环环评〔2016〕150号）、《省政府关于印发江苏省</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三线一单</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生态环境分区管控方案的通知》（苏政发〔2020〕49号）、《关于印发常州市</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三线一单</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生态环境分区管控实施方案的通知》（常环〔2020〕95号），对本项目建设进行</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三线一单</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符合性分析。</w:t>
            </w:r>
          </w:p>
          <w:p w14:paraId="525631C2">
            <w:pPr>
              <w:spacing w:line="500" w:lineRule="exact"/>
              <w:jc w:val="center"/>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 xml:space="preserve">表1-3  </w:t>
            </w:r>
            <w:r>
              <w:rPr>
                <w:rFonts w:hint="default" w:ascii="Times New Roman" w:hAnsi="Times New Roman" w:eastAsia="宋体" w:cs="Times New Roman"/>
                <w:b/>
                <w:bCs/>
                <w:color w:val="auto"/>
                <w:sz w:val="24"/>
                <w:szCs w:val="24"/>
              </w:rPr>
              <w:t>本项目</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三线一单</w:t>
            </w:r>
            <w:r>
              <w:rPr>
                <w:rFonts w:hint="eastAsia"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符合性分析</w:t>
            </w:r>
          </w:p>
          <w:tbl>
            <w:tblPr>
              <w:tblStyle w:val="27"/>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772"/>
              <w:gridCol w:w="6056"/>
              <w:gridCol w:w="842"/>
            </w:tblGrid>
            <w:tr w14:paraId="680146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pct"/>
                  <w:tcBorders>
                    <w:tl2br w:val="nil"/>
                    <w:tr2bl w:val="nil"/>
                  </w:tcBorders>
                  <w:vAlign w:val="center"/>
                </w:tcPr>
                <w:p w14:paraId="3E999041">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tc>
              <w:tc>
                <w:tcPr>
                  <w:tcW w:w="3947" w:type="pct"/>
                  <w:tcBorders>
                    <w:tl2br w:val="nil"/>
                    <w:tr2bl w:val="nil"/>
                  </w:tcBorders>
                  <w:vAlign w:val="center"/>
                </w:tcPr>
                <w:p w14:paraId="1C21EB5B">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符合性分析</w:t>
                  </w:r>
                </w:p>
              </w:tc>
              <w:tc>
                <w:tcPr>
                  <w:tcW w:w="549" w:type="pct"/>
                  <w:tcBorders>
                    <w:tl2br w:val="nil"/>
                    <w:tr2bl w:val="nil"/>
                  </w:tcBorders>
                  <w:vAlign w:val="center"/>
                </w:tcPr>
                <w:p w14:paraId="7490DC3B">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w:t>
                  </w:r>
                </w:p>
                <w:p w14:paraId="675A3469">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w:t>
                  </w:r>
                </w:p>
              </w:tc>
            </w:tr>
            <w:tr w14:paraId="1F7EFF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pct"/>
                  <w:tcBorders>
                    <w:tl2br w:val="nil"/>
                    <w:tr2bl w:val="nil"/>
                  </w:tcBorders>
                  <w:vAlign w:val="center"/>
                </w:tcPr>
                <w:p w14:paraId="150C6212">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w:t>
                  </w:r>
                </w:p>
              </w:tc>
              <w:tc>
                <w:tcPr>
                  <w:tcW w:w="3947" w:type="pct"/>
                  <w:tcBorders>
                    <w:tl2br w:val="nil"/>
                    <w:tr2bl w:val="nil"/>
                  </w:tcBorders>
                  <w:vAlign w:val="center"/>
                </w:tcPr>
                <w:p w14:paraId="05555858">
                  <w:pPr>
                    <w:pStyle w:val="52"/>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省政府关于印发江苏省生态空间管控区域规划的通知》（苏政发〔2020〕1号）及《省政府关于印发江苏省国家级生态保护红线规划的通知》（苏政发〔2018〕74号），本项目位于常州市金坛区尧塘街道华创智谷工业园，距钱资荡重要湿地直线距离约6.2km，不属于钱资荡重要湿地生态空间管控区域范围，不在《江苏省生态空间管控区域规划》及《江苏省国家级生态保护红线规划》中规定的生态空间保护区域内。因此，本项目选址与生态空间管控区域规划相符。</w:t>
                  </w:r>
                </w:p>
              </w:tc>
              <w:tc>
                <w:tcPr>
                  <w:tcW w:w="549" w:type="pct"/>
                  <w:tcBorders>
                    <w:tl2br w:val="nil"/>
                    <w:tr2bl w:val="nil"/>
                  </w:tcBorders>
                  <w:vAlign w:val="center"/>
                </w:tcPr>
                <w:p w14:paraId="0AE909DA">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7E7B25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pct"/>
                  <w:tcBorders>
                    <w:tl2br w:val="nil"/>
                    <w:tr2bl w:val="nil"/>
                  </w:tcBorders>
                  <w:vAlign w:val="center"/>
                </w:tcPr>
                <w:p w14:paraId="7AF9F454">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环境质量底线</w:t>
                  </w:r>
                </w:p>
              </w:tc>
              <w:tc>
                <w:tcPr>
                  <w:tcW w:w="3947" w:type="pct"/>
                  <w:tcBorders>
                    <w:tl2br w:val="nil"/>
                    <w:tr2bl w:val="nil"/>
                  </w:tcBorders>
                  <w:vAlign w:val="center"/>
                </w:tcPr>
                <w:p w14:paraId="258FDDA8">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根据《2023年常州市生态环境状况公报》中环境空气质量数据及现状监测结果可知，项目所在区域地表水、声环境质量能够满足相应功能区划要求，项目所在地大气环境PM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超标，为不达标区。在实施区域削减方案后，大气环境质量状况可以得到整体改善。本项目的建设对周边环境影响较小，建成后不会突破当地环境质量底线。</w:t>
                  </w:r>
                </w:p>
              </w:tc>
              <w:tc>
                <w:tcPr>
                  <w:tcW w:w="549" w:type="pct"/>
                  <w:tcBorders>
                    <w:tl2br w:val="nil"/>
                    <w:tr2bl w:val="nil"/>
                  </w:tcBorders>
                  <w:vAlign w:val="center"/>
                </w:tcPr>
                <w:p w14:paraId="7837216B">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7448F2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503" w:type="pct"/>
                  <w:tcBorders>
                    <w:tl2br w:val="nil"/>
                    <w:tr2bl w:val="nil"/>
                  </w:tcBorders>
                  <w:vAlign w:val="center"/>
                </w:tcPr>
                <w:p w14:paraId="3516A090">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资源利用上线</w:t>
                  </w:r>
                </w:p>
              </w:tc>
              <w:tc>
                <w:tcPr>
                  <w:tcW w:w="3947" w:type="pct"/>
                  <w:tcBorders>
                    <w:tl2br w:val="nil"/>
                    <w:tr2bl w:val="nil"/>
                  </w:tcBorders>
                  <w:vAlign w:val="center"/>
                </w:tcPr>
                <w:p w14:paraId="168ADB65">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本项目主要能源需求类型为水、电及相关原辅材料，本项目所在地水电资源丰富，生活污水</w:t>
                  </w:r>
                  <w:r>
                    <w:rPr>
                      <w:rFonts w:hint="default" w:ascii="Times New Roman" w:hAnsi="Times New Roman" w:eastAsia="宋体" w:cs="Times New Roman"/>
                      <w:color w:val="auto"/>
                      <w:sz w:val="21"/>
                      <w:szCs w:val="21"/>
                      <w:lang w:val="en-US" w:eastAsia="zh-CN"/>
                    </w:rPr>
                    <w:t>经化粪池预处理后接管至</w:t>
                  </w:r>
                  <w:r>
                    <w:rPr>
                      <w:rFonts w:hint="default" w:ascii="Times New Roman" w:hAnsi="Times New Roman" w:eastAsia="宋体" w:cs="Times New Roman"/>
                      <w:color w:val="auto"/>
                      <w:sz w:val="21"/>
                      <w:szCs w:val="21"/>
                    </w:rPr>
                    <w:t>金坛第二污水处理厂集中处理，符合资源利用上线相关要求。</w:t>
                  </w:r>
                </w:p>
              </w:tc>
              <w:tc>
                <w:tcPr>
                  <w:tcW w:w="549" w:type="pct"/>
                  <w:tcBorders>
                    <w:tl2br w:val="nil"/>
                    <w:tr2bl w:val="nil"/>
                  </w:tcBorders>
                  <w:vAlign w:val="center"/>
                </w:tcPr>
                <w:p w14:paraId="5F87583B">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4C1F37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503" w:type="pct"/>
                  <w:tcBorders>
                    <w:tl2br w:val="nil"/>
                    <w:tr2bl w:val="nil"/>
                  </w:tcBorders>
                  <w:vAlign w:val="center"/>
                </w:tcPr>
                <w:p w14:paraId="75F7F8D0">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环境准入负面清单</w:t>
                  </w:r>
                </w:p>
              </w:tc>
              <w:tc>
                <w:tcPr>
                  <w:tcW w:w="3947" w:type="pct"/>
                  <w:tcBorders>
                    <w:tl2br w:val="nil"/>
                    <w:tr2bl w:val="nil"/>
                  </w:tcBorders>
                  <w:vAlign w:val="center"/>
                </w:tcPr>
                <w:p w14:paraId="7AD0C3F5">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符合现行国家产业、行业政策。本项目不属于《关于印发&lt;长江经济带发展负面清单指南&gt;（试行，2022年版）的通知》（长江办〔2022〕7号）、《关于印发〈长江经济带发展负面清单指南（试行，2022年版）〉江苏省实施细则的通知》（苏长江办发〔2022〕55号）中禁止类条款，不属于《市场准入负面清单（2022年版）》其</w:t>
                  </w:r>
                  <w:r>
                    <w:rPr>
                      <w:rFonts w:hint="eastAsia" w:ascii="Times New Roman" w:hAnsi="Times New Roman" w:eastAsia="宋体" w:cs="Times New Roman"/>
                      <w:color w:val="auto"/>
                      <w:sz w:val="21"/>
                      <w:szCs w:val="21"/>
                      <w:lang w:val="en-US" w:eastAsia="zh-CN"/>
                    </w:rPr>
                    <w:t>中</w:t>
                  </w:r>
                  <w:r>
                    <w:rPr>
                      <w:rFonts w:hint="default" w:ascii="Times New Roman" w:hAnsi="Times New Roman" w:eastAsia="宋体" w:cs="Times New Roman"/>
                      <w:color w:val="auto"/>
                      <w:sz w:val="21"/>
                      <w:szCs w:val="21"/>
                    </w:rPr>
                    <w:t>禁止准入类和限准入类，不在《省发展改革委 省工业和信息化厅关于坚决遏制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两高</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项目盲目发展的通知》（苏发改资环发〔2021〕837号）中规定的江苏省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两高</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项目管理目录中。因此本项目符合环境准入负面清单相关要求。</w:t>
                  </w:r>
                </w:p>
              </w:tc>
              <w:tc>
                <w:tcPr>
                  <w:tcW w:w="549" w:type="pct"/>
                  <w:tcBorders>
                    <w:tl2br w:val="nil"/>
                    <w:tr2bl w:val="nil"/>
                  </w:tcBorders>
                  <w:vAlign w:val="center"/>
                </w:tcPr>
                <w:p w14:paraId="5557883A">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bl>
          <w:p w14:paraId="163D4442">
            <w:pPr>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2、与《省政府关于印发江苏省</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三线一单</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生态环境分区管控方案的通知》（苏政发〔2020〕49号）符合性分析</w:t>
            </w:r>
          </w:p>
          <w:p w14:paraId="7EC271EB">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本项目位于</w:t>
            </w:r>
            <w:r>
              <w:rPr>
                <w:rFonts w:hint="default" w:ascii="Times New Roman" w:hAnsi="Times New Roman" w:eastAsia="宋体" w:cs="Times New Roman"/>
                <w:color w:val="auto"/>
                <w:sz w:val="24"/>
                <w:lang w:eastAsia="zh-CN"/>
              </w:rPr>
              <w:t>江苏省常州市金坛区金坛大道75号</w:t>
            </w:r>
            <w:r>
              <w:rPr>
                <w:rFonts w:hint="default" w:ascii="Times New Roman" w:hAnsi="Times New Roman" w:eastAsia="宋体" w:cs="Times New Roman"/>
                <w:bCs/>
                <w:color w:val="auto"/>
                <w:sz w:val="24"/>
              </w:rPr>
              <w:t>，对照《江苏省2023 年生态环境分区管控动态更新成果》，具体分析如下表。</w:t>
            </w:r>
          </w:p>
          <w:p w14:paraId="2BC46BAC">
            <w:pPr>
              <w:spacing w:line="500" w:lineRule="exact"/>
              <w:jc w:val="center"/>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 xml:space="preserve">表1-4  </w:t>
            </w:r>
            <w:r>
              <w:rPr>
                <w:rFonts w:hint="default" w:ascii="Times New Roman" w:hAnsi="Times New Roman" w:eastAsia="宋体" w:cs="Times New Roman"/>
                <w:b/>
                <w:bCs/>
                <w:color w:val="auto"/>
                <w:sz w:val="24"/>
                <w:szCs w:val="24"/>
              </w:rPr>
              <w:t>江苏省重点区域（长江流域）生态环境分区管控要求对照分析</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9"/>
              <w:gridCol w:w="3630"/>
              <w:gridCol w:w="2373"/>
              <w:gridCol w:w="869"/>
            </w:tblGrid>
            <w:tr w14:paraId="241ACA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1" w:type="pct"/>
                  <w:tcBorders>
                    <w:tl2br w:val="nil"/>
                    <w:tr2bl w:val="nil"/>
                  </w:tcBorders>
                  <w:vAlign w:val="center"/>
                </w:tcPr>
                <w:p w14:paraId="2FA03283">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w:t>
                  </w:r>
                </w:p>
                <w:p w14:paraId="1C59671A">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365" w:type="pct"/>
                  <w:tcBorders>
                    <w:tl2br w:val="nil"/>
                    <w:tr2bl w:val="nil"/>
                  </w:tcBorders>
                  <w:vAlign w:val="center"/>
                </w:tcPr>
                <w:p w14:paraId="617CE20A">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重点管控要求</w:t>
                  </w:r>
                </w:p>
              </w:tc>
              <w:tc>
                <w:tcPr>
                  <w:tcW w:w="1546" w:type="pct"/>
                  <w:tcBorders>
                    <w:tl2br w:val="nil"/>
                    <w:tr2bl w:val="nil"/>
                  </w:tcBorders>
                  <w:vAlign w:val="center"/>
                </w:tcPr>
                <w:p w14:paraId="0D219CFF">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566" w:type="pct"/>
                  <w:tcBorders>
                    <w:tl2br w:val="nil"/>
                    <w:tr2bl w:val="nil"/>
                  </w:tcBorders>
                  <w:vAlign w:val="center"/>
                </w:tcPr>
                <w:p w14:paraId="582B5FC2">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6C7E3C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1" w:type="pct"/>
                  <w:tcBorders>
                    <w:tl2br w:val="nil"/>
                    <w:tr2bl w:val="nil"/>
                  </w:tcBorders>
                  <w:vAlign w:val="center"/>
                </w:tcPr>
                <w:p w14:paraId="686CDF75">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365" w:type="pct"/>
                  <w:tcBorders>
                    <w:tl2br w:val="nil"/>
                    <w:tr2bl w:val="nil"/>
                  </w:tcBorders>
                  <w:vAlign w:val="center"/>
                </w:tcPr>
                <w:p w14:paraId="743ED11A">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1.始终把长江生态修复放在首位，坚持共抓大保护、不搞大开发，引导长江流域产业转型升级和布局优化调整，实现科学发展、有序发展、高质量发展。</w:t>
                  </w:r>
                </w:p>
                <w:p w14:paraId="5A0362DE">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794E462F">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3.禁止在沿江地区新建或扩建化学工业园区，禁止新建或扩建以大宗进口油气资源为原料的石油加工、石油化工、基础有机无机化工、煤化工项目</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禁止在长江干流和主要支流岸线1公里范围内新建危化品码头。</w:t>
                  </w:r>
                </w:p>
                <w:p w14:paraId="743B3105">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4.强化港口布局优化，禁止建设不符合国家港口布局规划和《江苏省沿江沿海港口布局规划</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2015-2030年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》《江苏省内河港口布局规划</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2017-2035年</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》的码头项目，禁止建设未纳入《长江干线过江通道布局规划》的过江</w:t>
                  </w:r>
                  <w:r>
                    <w:rPr>
                      <w:rFonts w:hint="eastAsia" w:ascii="Times New Roman" w:hAnsi="Times New Roman" w:eastAsia="宋体" w:cs="Times New Roman"/>
                      <w:color w:val="auto"/>
                      <w:sz w:val="21"/>
                      <w:szCs w:val="21"/>
                      <w:lang w:val="en-US" w:eastAsia="zh-CN"/>
                    </w:rPr>
                    <w:t>干</w:t>
                  </w:r>
                  <w:r>
                    <w:rPr>
                      <w:rFonts w:hint="default" w:ascii="Times New Roman" w:hAnsi="Times New Roman" w:eastAsia="宋体" w:cs="Times New Roman"/>
                      <w:color w:val="auto"/>
                      <w:sz w:val="21"/>
                      <w:szCs w:val="21"/>
                    </w:rPr>
                    <w:t>线通道项目。</w:t>
                  </w:r>
                </w:p>
                <w:p w14:paraId="36CFFBB6">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5.禁止新建独立焦化项目。</w:t>
                  </w:r>
                </w:p>
              </w:tc>
              <w:tc>
                <w:tcPr>
                  <w:tcW w:w="1546" w:type="pct"/>
                  <w:tcBorders>
                    <w:tl2br w:val="nil"/>
                    <w:tr2bl w:val="nil"/>
                  </w:tcBorders>
                  <w:vAlign w:val="center"/>
                </w:tcPr>
                <w:p w14:paraId="2B7637BA">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本项目的产品为</w:t>
                  </w:r>
                  <w:r>
                    <w:rPr>
                      <w:rFonts w:hint="default" w:ascii="Times New Roman" w:hAnsi="Times New Roman" w:eastAsia="宋体" w:cs="Times New Roman"/>
                      <w:color w:val="auto"/>
                      <w:sz w:val="21"/>
                      <w:szCs w:val="21"/>
                      <w:lang w:eastAsia="zh-CN"/>
                    </w:rPr>
                    <w:t>汽车增压器零部件</w:t>
                  </w:r>
                  <w:r>
                    <w:rPr>
                      <w:rFonts w:hint="default" w:ascii="Times New Roman" w:hAnsi="Times New Roman" w:eastAsia="宋体" w:cs="Times New Roman"/>
                      <w:color w:val="auto"/>
                      <w:sz w:val="21"/>
                      <w:szCs w:val="21"/>
                    </w:rPr>
                    <w:t>，国民经济行业类别属于</w:t>
                  </w:r>
                  <w:r>
                    <w:rPr>
                      <w:rFonts w:hint="eastAsia" w:ascii="Times New Roman" w:hAnsi="Times New Roman" w:eastAsia="宋体" w:cs="Times New Roman"/>
                      <w:color w:val="auto"/>
                      <w:sz w:val="21"/>
                      <w:szCs w:val="21"/>
                      <w:lang w:eastAsia="zh-CN"/>
                    </w:rPr>
                    <w:t>“C3360 金属表面处理及热处理加工”</w:t>
                  </w:r>
                  <w:r>
                    <w:rPr>
                      <w:rFonts w:hint="default" w:ascii="Times New Roman" w:hAnsi="Times New Roman" w:eastAsia="宋体" w:cs="Times New Roman"/>
                      <w:color w:val="auto"/>
                      <w:sz w:val="21"/>
                      <w:szCs w:val="21"/>
                    </w:rPr>
                    <w:t>，位于</w:t>
                  </w:r>
                  <w:r>
                    <w:rPr>
                      <w:rFonts w:hint="default" w:ascii="Times New Roman" w:hAnsi="Times New Roman" w:eastAsia="宋体" w:cs="Times New Roman"/>
                      <w:color w:val="auto"/>
                      <w:sz w:val="21"/>
                      <w:szCs w:val="21"/>
                      <w:lang w:eastAsia="zh-CN"/>
                    </w:rPr>
                    <w:t>江苏省常州市金坛区金坛大道75号</w:t>
                  </w:r>
                  <w:r>
                    <w:rPr>
                      <w:rFonts w:hint="default" w:ascii="Times New Roman" w:hAnsi="Times New Roman" w:eastAsia="宋体" w:cs="Times New Roman"/>
                      <w:color w:val="auto"/>
                      <w:sz w:val="21"/>
                      <w:szCs w:val="21"/>
                    </w:rPr>
                    <w:t>，不在长江沿江1公里范围内，不涉及基本农田占用问题，不涉及新建港口及过江干线项目，不属于焦化项目。</w:t>
                  </w:r>
                </w:p>
              </w:tc>
              <w:tc>
                <w:tcPr>
                  <w:tcW w:w="566" w:type="pct"/>
                  <w:tcBorders>
                    <w:tl2br w:val="nil"/>
                    <w:tr2bl w:val="nil"/>
                  </w:tcBorders>
                  <w:vAlign w:val="center"/>
                </w:tcPr>
                <w:p w14:paraId="125B52AD">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AF59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1" w:type="pct"/>
                  <w:tcBorders>
                    <w:tl2br w:val="nil"/>
                    <w:tr2bl w:val="nil"/>
                  </w:tcBorders>
                  <w:vAlign w:val="center"/>
                </w:tcPr>
                <w:p w14:paraId="3F94CF6A">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365" w:type="pct"/>
                  <w:tcBorders>
                    <w:tl2br w:val="nil"/>
                    <w:tr2bl w:val="nil"/>
                  </w:tcBorders>
                  <w:vAlign w:val="center"/>
                </w:tcPr>
                <w:p w14:paraId="659D61EC">
                  <w:pPr>
                    <w:pStyle w:val="52"/>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（1）根据《江苏省长江水污染防治条例》实施污染物总量控制制度。</w:t>
                  </w:r>
                </w:p>
                <w:p w14:paraId="42A6268C">
                  <w:pPr>
                    <w:pStyle w:val="52"/>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（2）全面加强和规范长江入河排污口管理，有效管控入河污染物排放，形成权责清晰、监控到位、管理规范的长江入河排污口监管体系，加快改善长江水环境质量。</w:t>
                  </w:r>
                </w:p>
              </w:tc>
              <w:tc>
                <w:tcPr>
                  <w:tcW w:w="1546" w:type="pct"/>
                  <w:tcBorders>
                    <w:tl2br w:val="nil"/>
                    <w:tr2bl w:val="nil"/>
                  </w:tcBorders>
                  <w:vAlign w:val="center"/>
                </w:tcPr>
                <w:p w14:paraId="55FE6B28">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目前，本项目处于环评编制阶段，在环评审批前将严格落实主要污染物排放总量指标控制制度，取得主要污染物排放总量的控制指标和平衡方案，故符合文件要求。</w:t>
                  </w:r>
                </w:p>
              </w:tc>
              <w:tc>
                <w:tcPr>
                  <w:tcW w:w="566" w:type="pct"/>
                  <w:tcBorders>
                    <w:tl2br w:val="nil"/>
                    <w:tr2bl w:val="nil"/>
                  </w:tcBorders>
                  <w:vAlign w:val="center"/>
                </w:tcPr>
                <w:p w14:paraId="139DCE15">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DC3FF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1" w:type="pct"/>
                  <w:tcBorders>
                    <w:tl2br w:val="nil"/>
                    <w:tr2bl w:val="nil"/>
                  </w:tcBorders>
                  <w:vAlign w:val="center"/>
                </w:tcPr>
                <w:p w14:paraId="1A83EDB4">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365" w:type="pct"/>
                  <w:tcBorders>
                    <w:tl2br w:val="nil"/>
                    <w:tr2bl w:val="nil"/>
                  </w:tcBorders>
                  <w:vAlign w:val="center"/>
                </w:tcPr>
                <w:p w14:paraId="34A4E4F8">
                  <w:pPr>
                    <w:pStyle w:val="52"/>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（1）防范沿江环境风险。深化沿江石化、化工、医药、纺织、印染、化纤、危化品和石油类仓储、涉重金属和危险废物处置等重点企业环境风险防控。</w:t>
                  </w:r>
                </w:p>
                <w:p w14:paraId="75A6F29A">
                  <w:pPr>
                    <w:pStyle w:val="52"/>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（2）加强饮用水水源保护。优化水源保护区划定，推动饮用水水源地规范化建设。</w:t>
                  </w:r>
                </w:p>
              </w:tc>
              <w:tc>
                <w:tcPr>
                  <w:tcW w:w="1546" w:type="pct"/>
                  <w:tcBorders>
                    <w:tl2br w:val="nil"/>
                    <w:tr2bl w:val="nil"/>
                  </w:tcBorders>
                  <w:vAlign w:val="center"/>
                </w:tcPr>
                <w:p w14:paraId="65237129">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本项目的产品为</w:t>
                  </w:r>
                  <w:r>
                    <w:rPr>
                      <w:rFonts w:hint="default" w:ascii="Times New Roman" w:hAnsi="Times New Roman" w:eastAsia="宋体" w:cs="Times New Roman"/>
                      <w:color w:val="auto"/>
                      <w:sz w:val="21"/>
                      <w:szCs w:val="21"/>
                      <w:lang w:eastAsia="zh-CN"/>
                    </w:rPr>
                    <w:t>汽车增压器零部件</w:t>
                  </w:r>
                  <w:r>
                    <w:rPr>
                      <w:rFonts w:hint="default" w:ascii="Times New Roman" w:hAnsi="Times New Roman" w:eastAsia="宋体" w:cs="Times New Roman"/>
                      <w:color w:val="auto"/>
                      <w:sz w:val="21"/>
                      <w:szCs w:val="21"/>
                    </w:rPr>
                    <w:t>，国民经济行业类别属于</w:t>
                  </w:r>
                  <w:r>
                    <w:rPr>
                      <w:rFonts w:hint="eastAsia" w:ascii="Times New Roman" w:hAnsi="Times New Roman" w:eastAsia="宋体" w:cs="Times New Roman"/>
                      <w:color w:val="auto"/>
                      <w:sz w:val="21"/>
                      <w:szCs w:val="21"/>
                      <w:lang w:eastAsia="zh-CN"/>
                    </w:rPr>
                    <w:t>“C3360 金属表面处理及热处理加工”</w:t>
                  </w:r>
                  <w:r>
                    <w:rPr>
                      <w:rFonts w:hint="default" w:ascii="Times New Roman" w:hAnsi="Times New Roman" w:eastAsia="宋体" w:cs="Times New Roman"/>
                      <w:color w:val="auto"/>
                      <w:sz w:val="21"/>
                      <w:szCs w:val="21"/>
                    </w:rPr>
                    <w:t>，位于</w:t>
                  </w:r>
                  <w:r>
                    <w:rPr>
                      <w:rFonts w:hint="default" w:ascii="Times New Roman" w:hAnsi="Times New Roman" w:eastAsia="宋体" w:cs="Times New Roman"/>
                      <w:color w:val="auto"/>
                      <w:sz w:val="21"/>
                      <w:szCs w:val="21"/>
                      <w:lang w:eastAsia="zh-CN"/>
                    </w:rPr>
                    <w:t>江苏省常州市金坛区金坛大道75号</w:t>
                  </w:r>
                  <w:r>
                    <w:rPr>
                      <w:rFonts w:hint="default" w:ascii="Times New Roman" w:hAnsi="Times New Roman" w:eastAsia="宋体" w:cs="Times New Roman"/>
                      <w:color w:val="auto"/>
                      <w:sz w:val="21"/>
                      <w:szCs w:val="21"/>
                    </w:rPr>
                    <w:t>，不在长江沿江1公里范围内，企业在生产过程中将制定企业突发环境风险事故应急预案，加强日常应急演练。</w:t>
                  </w:r>
                </w:p>
              </w:tc>
              <w:tc>
                <w:tcPr>
                  <w:tcW w:w="566" w:type="pct"/>
                  <w:tcBorders>
                    <w:tl2br w:val="nil"/>
                    <w:tr2bl w:val="nil"/>
                  </w:tcBorders>
                  <w:vAlign w:val="center"/>
                </w:tcPr>
                <w:p w14:paraId="60A4DF3F">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6439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21" w:type="pct"/>
                  <w:tcBorders>
                    <w:tl2br w:val="nil"/>
                    <w:tr2bl w:val="nil"/>
                  </w:tcBorders>
                  <w:vAlign w:val="center"/>
                </w:tcPr>
                <w:p w14:paraId="53CA22B9">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资源利用效率要求</w:t>
                  </w:r>
                </w:p>
              </w:tc>
              <w:tc>
                <w:tcPr>
                  <w:tcW w:w="2365" w:type="pct"/>
                  <w:tcBorders>
                    <w:tl2br w:val="nil"/>
                    <w:tr2bl w:val="nil"/>
                  </w:tcBorders>
                  <w:vAlign w:val="center"/>
                </w:tcPr>
                <w:p w14:paraId="42F31D3D">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禁止在长江</w:t>
                  </w:r>
                  <w:r>
                    <w:rPr>
                      <w:rFonts w:hint="eastAsia" w:ascii="Times New Roman" w:hAnsi="Times New Roman" w:eastAsia="宋体" w:cs="Times New Roman"/>
                      <w:color w:val="auto"/>
                      <w:sz w:val="21"/>
                      <w:szCs w:val="21"/>
                      <w:lang w:val="en-US" w:eastAsia="zh-CN"/>
                    </w:rPr>
                    <w:t>干</w:t>
                  </w:r>
                  <w:r>
                    <w:rPr>
                      <w:rFonts w:hint="default" w:ascii="Times New Roman" w:hAnsi="Times New Roman" w:eastAsia="宋体" w:cs="Times New Roman"/>
                      <w:color w:val="auto"/>
                      <w:sz w:val="21"/>
                      <w:szCs w:val="21"/>
                    </w:rPr>
                    <w:t>支流岸线管控范围内新建、扩建化工园区和化工项目。禁止在长江干流岸线和重要支流岸线管控范围内新建、改建、扩建尾矿库，但是以提升安全、生态环境保护水平为目的的改建除外。</w:t>
                  </w:r>
                </w:p>
              </w:tc>
              <w:tc>
                <w:tcPr>
                  <w:tcW w:w="1546" w:type="pct"/>
                  <w:tcBorders>
                    <w:tl2br w:val="nil"/>
                    <w:tr2bl w:val="nil"/>
                  </w:tcBorders>
                  <w:vAlign w:val="center"/>
                </w:tcPr>
                <w:p w14:paraId="6F273317">
                  <w:pPr>
                    <w:pStyle w:val="52"/>
                    <w:snapToGrid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w:t>
                  </w:r>
                  <w:r>
                    <w:rPr>
                      <w:rFonts w:hint="eastAsia" w:ascii="Times New Roman" w:hAnsi="Times New Roman" w:eastAsia="宋体" w:cs="Times New Roman"/>
                      <w:color w:val="auto"/>
                      <w:sz w:val="21"/>
                      <w:szCs w:val="21"/>
                      <w:lang w:val="en-US" w:eastAsia="zh-CN"/>
                    </w:rPr>
                    <w:t>在</w:t>
                  </w:r>
                  <w:r>
                    <w:rPr>
                      <w:rFonts w:hint="default" w:ascii="Times New Roman" w:hAnsi="Times New Roman" w:eastAsia="宋体" w:cs="Times New Roman"/>
                      <w:color w:val="auto"/>
                      <w:sz w:val="21"/>
                      <w:szCs w:val="21"/>
                    </w:rPr>
                    <w:t>长江</w:t>
                  </w:r>
                  <w:r>
                    <w:rPr>
                      <w:rFonts w:hint="eastAsia" w:ascii="Times New Roman" w:hAnsi="Times New Roman" w:eastAsia="宋体" w:cs="Times New Roman"/>
                      <w:color w:val="auto"/>
                      <w:sz w:val="21"/>
                      <w:szCs w:val="21"/>
                      <w:lang w:val="en-US" w:eastAsia="zh-CN"/>
                    </w:rPr>
                    <w:t>干</w:t>
                  </w:r>
                  <w:r>
                    <w:rPr>
                      <w:rFonts w:hint="default" w:ascii="Times New Roman" w:hAnsi="Times New Roman" w:eastAsia="宋体" w:cs="Times New Roman"/>
                      <w:color w:val="auto"/>
                      <w:sz w:val="21"/>
                      <w:szCs w:val="21"/>
                    </w:rPr>
                    <w:t>支流岸线管控范围内。</w:t>
                  </w:r>
                </w:p>
              </w:tc>
              <w:tc>
                <w:tcPr>
                  <w:tcW w:w="566" w:type="pct"/>
                  <w:tcBorders>
                    <w:tl2br w:val="nil"/>
                    <w:tr2bl w:val="nil"/>
                  </w:tcBorders>
                  <w:vAlign w:val="center"/>
                </w:tcPr>
                <w:p w14:paraId="3F168CF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7A3D1C21">
            <w:pPr>
              <w:spacing w:line="500" w:lineRule="exact"/>
              <w:jc w:val="center"/>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 xml:space="preserve">表1-5  </w:t>
            </w:r>
            <w:r>
              <w:rPr>
                <w:rFonts w:hint="default" w:ascii="Times New Roman" w:hAnsi="Times New Roman" w:eastAsia="宋体" w:cs="Times New Roman"/>
                <w:b/>
                <w:bCs/>
                <w:color w:val="auto"/>
                <w:sz w:val="24"/>
                <w:szCs w:val="24"/>
              </w:rPr>
              <w:t>江苏省重点区域（太湖流域）生态环境分区管控要求对照分析</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3750"/>
              <w:gridCol w:w="2225"/>
              <w:gridCol w:w="873"/>
            </w:tblGrid>
            <w:tr w14:paraId="4C3FB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6" w:type="pct"/>
                  <w:tcBorders>
                    <w:tl2br w:val="nil"/>
                    <w:tr2bl w:val="nil"/>
                  </w:tcBorders>
                  <w:vAlign w:val="center"/>
                </w:tcPr>
                <w:p w14:paraId="0F8A5027">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w:t>
                  </w:r>
                </w:p>
                <w:p w14:paraId="1BA66E84">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443" w:type="pct"/>
                  <w:tcBorders>
                    <w:tl2br w:val="nil"/>
                    <w:tr2bl w:val="nil"/>
                  </w:tcBorders>
                  <w:vAlign w:val="center"/>
                </w:tcPr>
                <w:p w14:paraId="01BD7258">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重点管控要求</w:t>
                  </w:r>
                </w:p>
              </w:tc>
              <w:tc>
                <w:tcPr>
                  <w:tcW w:w="1450" w:type="pct"/>
                  <w:tcBorders>
                    <w:tl2br w:val="nil"/>
                    <w:tr2bl w:val="nil"/>
                  </w:tcBorders>
                  <w:vAlign w:val="center"/>
                </w:tcPr>
                <w:p w14:paraId="0DEB7992">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569" w:type="pct"/>
                  <w:tcBorders>
                    <w:tl2br w:val="nil"/>
                    <w:tr2bl w:val="nil"/>
                  </w:tcBorders>
                  <w:vAlign w:val="center"/>
                </w:tcPr>
                <w:p w14:paraId="2FA032AC">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tc>
            </w:tr>
            <w:tr w14:paraId="2DEA1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6" w:type="pct"/>
                  <w:tcBorders>
                    <w:tl2br w:val="nil"/>
                    <w:tr2bl w:val="nil"/>
                  </w:tcBorders>
                  <w:vAlign w:val="center"/>
                </w:tcPr>
                <w:p w14:paraId="528B1815">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443" w:type="pct"/>
                  <w:tcBorders>
                    <w:tl2br w:val="nil"/>
                    <w:tr2bl w:val="nil"/>
                  </w:tcBorders>
                  <w:vAlign w:val="center"/>
                </w:tcPr>
                <w:p w14:paraId="0F839986">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66BD7C34">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（2）在太湖</w:t>
                  </w:r>
                  <w:r>
                    <w:rPr>
                      <w:rFonts w:hint="eastAsia" w:ascii="Times New Roman" w:hAnsi="Times New Roman" w:eastAsia="宋体" w:cs="Times New Roman"/>
                      <w:color w:val="auto"/>
                      <w:sz w:val="21"/>
                      <w:szCs w:val="21"/>
                      <w:lang w:val="en-US" w:eastAsia="zh-CN"/>
                    </w:rPr>
                    <w:t>流域</w:t>
                  </w:r>
                  <w:r>
                    <w:rPr>
                      <w:rFonts w:hint="default" w:ascii="Times New Roman" w:hAnsi="Times New Roman" w:eastAsia="宋体" w:cs="Times New Roman"/>
                      <w:color w:val="auto"/>
                      <w:sz w:val="21"/>
                      <w:szCs w:val="21"/>
                    </w:rPr>
                    <w:t>一级保护区，禁止新建、扩建向水体排放污染物的建设项目，禁止新建、扩建畜禽养殖场，禁止新建、扩建高尔夫球场、水上游乐等开发项目以及设置水上餐饮经营设施。</w:t>
                  </w:r>
                </w:p>
                <w:p w14:paraId="02CC19D1">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（3）在太湖流域二级保护区，禁止新建、扩建化工、医药生产项目，禁止新建、扩建污水集中处理设施排污口以外的排污口。</w:t>
                  </w:r>
                </w:p>
              </w:tc>
              <w:tc>
                <w:tcPr>
                  <w:tcW w:w="1450" w:type="pct"/>
                  <w:tcBorders>
                    <w:tl2br w:val="nil"/>
                    <w:tr2bl w:val="nil"/>
                  </w:tcBorders>
                  <w:vAlign w:val="center"/>
                </w:tcPr>
                <w:p w14:paraId="4B004852">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本项目位于太湖流域三级保护区，运营期不排放含氮、磷等污染物的生产废水。</w:t>
                  </w:r>
                </w:p>
              </w:tc>
              <w:tc>
                <w:tcPr>
                  <w:tcW w:w="569" w:type="pct"/>
                  <w:tcBorders>
                    <w:tl2br w:val="nil"/>
                    <w:tr2bl w:val="nil"/>
                  </w:tcBorders>
                  <w:vAlign w:val="center"/>
                </w:tcPr>
                <w:p w14:paraId="5CD1D17A">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150A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6" w:type="pct"/>
                  <w:tcBorders>
                    <w:tl2br w:val="nil"/>
                    <w:tr2bl w:val="nil"/>
                  </w:tcBorders>
                  <w:vAlign w:val="center"/>
                </w:tcPr>
                <w:p w14:paraId="15F7A664">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443" w:type="pct"/>
                  <w:tcBorders>
                    <w:tl2br w:val="nil"/>
                    <w:tr2bl w:val="nil"/>
                  </w:tcBorders>
                  <w:vAlign w:val="center"/>
                </w:tcPr>
                <w:p w14:paraId="3F33E362">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城镇污水处理厂、纺织工业、化学工业、造纸工业、钢铁工业、电镀工业和食品工业的污水处理设施执行《太湖地区城镇污水处理厂及重点工业行业主要水污染物排放限值》。</w:t>
                  </w:r>
                </w:p>
              </w:tc>
              <w:tc>
                <w:tcPr>
                  <w:tcW w:w="1450" w:type="pct"/>
                  <w:tcBorders>
                    <w:tl2br w:val="nil"/>
                    <w:tr2bl w:val="nil"/>
                  </w:tcBorders>
                  <w:vAlign w:val="center"/>
                </w:tcPr>
                <w:p w14:paraId="4CC06655">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本项目生活污水</w:t>
                  </w:r>
                  <w:r>
                    <w:rPr>
                      <w:rFonts w:hint="default" w:ascii="Times New Roman" w:hAnsi="Times New Roman" w:eastAsia="宋体" w:cs="Times New Roman"/>
                      <w:color w:val="auto"/>
                      <w:sz w:val="21"/>
                      <w:szCs w:val="21"/>
                      <w:lang w:val="en-US" w:eastAsia="zh-CN"/>
                    </w:rPr>
                    <w:t>经化粪池预处理后接管至</w:t>
                  </w:r>
                  <w:r>
                    <w:rPr>
                      <w:rFonts w:hint="default" w:ascii="Times New Roman" w:hAnsi="Times New Roman" w:eastAsia="宋体" w:cs="Times New Roman"/>
                      <w:color w:val="auto"/>
                      <w:sz w:val="21"/>
                      <w:szCs w:val="21"/>
                    </w:rPr>
                    <w:t>金坛区第二污水处理厂，其执行《城镇污水处理厂污染物排放标准》（GB18918-2002）中表1基本控制项目（常规污染物）日均排放限值。</w:t>
                  </w:r>
                </w:p>
              </w:tc>
              <w:tc>
                <w:tcPr>
                  <w:tcW w:w="569" w:type="pct"/>
                  <w:tcBorders>
                    <w:tl2br w:val="nil"/>
                    <w:tr2bl w:val="nil"/>
                  </w:tcBorders>
                  <w:vAlign w:val="center"/>
                </w:tcPr>
                <w:p w14:paraId="3BED3C5B">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B439B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6" w:type="pct"/>
                  <w:tcBorders>
                    <w:tl2br w:val="nil"/>
                    <w:tr2bl w:val="nil"/>
                  </w:tcBorders>
                  <w:vAlign w:val="center"/>
                </w:tcPr>
                <w:p w14:paraId="0EB1D423">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443" w:type="pct"/>
                  <w:tcBorders>
                    <w:tl2br w:val="nil"/>
                    <w:tr2bl w:val="nil"/>
                  </w:tcBorders>
                  <w:vAlign w:val="center"/>
                </w:tcPr>
                <w:p w14:paraId="73BCF85F">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（1）运输剧毒物质、危险化学品的船舶不得进入太湖。</w:t>
                  </w:r>
                </w:p>
                <w:p w14:paraId="443B778D">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（2）禁止向太湖流域水体排放或者倾倒油类、酸液、碱液、剧毒废渣废液、含放射性废渣废液、含病原体污水、工业废渣以及其他废弃物。</w:t>
                  </w:r>
                </w:p>
                <w:p w14:paraId="61BD3B32">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（3）加强太湖流域生态环境风险应急管控，着力提高防控太湖蓝藻水华风险预警和应急处置能力。</w:t>
                  </w:r>
                </w:p>
              </w:tc>
              <w:tc>
                <w:tcPr>
                  <w:tcW w:w="1450" w:type="pct"/>
                  <w:tcBorders>
                    <w:tl2br w:val="nil"/>
                    <w:tr2bl w:val="nil"/>
                  </w:tcBorders>
                  <w:vAlign w:val="center"/>
                </w:tcPr>
                <w:p w14:paraId="48F605EE">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本项目原辅料运输不进入太湖，废水接管至金坛第二污水处理厂，危废委托有资质单位处置。</w:t>
                  </w:r>
                </w:p>
              </w:tc>
              <w:tc>
                <w:tcPr>
                  <w:tcW w:w="569" w:type="pct"/>
                  <w:tcBorders>
                    <w:tl2br w:val="nil"/>
                    <w:tr2bl w:val="nil"/>
                  </w:tcBorders>
                  <w:vAlign w:val="center"/>
                </w:tcPr>
                <w:p w14:paraId="2AD064A3">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10D33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6" w:type="pct"/>
                  <w:tcBorders>
                    <w:tl2br w:val="nil"/>
                    <w:tr2bl w:val="nil"/>
                  </w:tcBorders>
                  <w:vAlign w:val="center"/>
                </w:tcPr>
                <w:p w14:paraId="4B91EAF8">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资源利用效率要求</w:t>
                  </w:r>
                </w:p>
              </w:tc>
              <w:tc>
                <w:tcPr>
                  <w:tcW w:w="2443" w:type="pct"/>
                  <w:tcBorders>
                    <w:tl2br w:val="nil"/>
                    <w:tr2bl w:val="nil"/>
                  </w:tcBorders>
                  <w:vAlign w:val="center"/>
                </w:tcPr>
                <w:p w14:paraId="230974D1">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1.严格用水定额管理制度,推进取用水规范化管理，科学制定用水定额并动态调整，对超过用水定额标准的企业分类分步先期实施节水改造，鼓励重点用水企业、园区建立智慧用水管理系统。</w:t>
                  </w:r>
                </w:p>
                <w:p w14:paraId="7284D639">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2.推进新孟河、新沟河、望虞河、走马塘等河道联合调度，科学调控太湖水位。</w:t>
                  </w:r>
                </w:p>
              </w:tc>
              <w:tc>
                <w:tcPr>
                  <w:tcW w:w="1450" w:type="pct"/>
                  <w:tcBorders>
                    <w:tl2br w:val="nil"/>
                    <w:tr2bl w:val="nil"/>
                  </w:tcBorders>
                  <w:vAlign w:val="center"/>
                </w:tcPr>
                <w:p w14:paraId="12648A1B">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本项目用水来源于城市自来水厂，主要是生活用水，可满足需求。</w:t>
                  </w:r>
                </w:p>
              </w:tc>
              <w:tc>
                <w:tcPr>
                  <w:tcW w:w="569" w:type="pct"/>
                  <w:tcBorders>
                    <w:tl2br w:val="nil"/>
                    <w:tr2bl w:val="nil"/>
                  </w:tcBorders>
                  <w:vAlign w:val="center"/>
                </w:tcPr>
                <w:p w14:paraId="28D7661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5C4356A7">
            <w:pPr>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3、与常州市生态环境分区管控总体要求（2023年版）符合性分析</w:t>
            </w:r>
          </w:p>
          <w:p w14:paraId="7EEE76F0">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根据常州市生态环境分区管控总体要求（2023年版），本项目涉及生态空间保护区域如下。</w:t>
            </w:r>
          </w:p>
          <w:p w14:paraId="6B99A32D">
            <w:pPr>
              <w:spacing w:line="500" w:lineRule="exact"/>
              <w:jc w:val="center"/>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 xml:space="preserve">表1-6  </w:t>
            </w:r>
            <w:r>
              <w:rPr>
                <w:rFonts w:hint="default" w:ascii="Times New Roman" w:hAnsi="Times New Roman" w:eastAsia="宋体" w:cs="Times New Roman"/>
                <w:b/>
                <w:bCs/>
                <w:color w:val="auto"/>
                <w:sz w:val="24"/>
                <w:szCs w:val="24"/>
              </w:rPr>
              <w:t>与常州市生态环境管控总体要求符合性预判情况</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3864"/>
              <w:gridCol w:w="2063"/>
              <w:gridCol w:w="908"/>
            </w:tblGrid>
            <w:tr w14:paraId="6CE1B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tcBorders>
                    <w:tl2br w:val="nil"/>
                    <w:tr2bl w:val="nil"/>
                  </w:tcBorders>
                  <w:vAlign w:val="center"/>
                </w:tcPr>
                <w:p w14:paraId="737EBA9E">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w:t>
                  </w:r>
                </w:p>
                <w:p w14:paraId="40A52876">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518" w:type="pct"/>
                  <w:tcBorders>
                    <w:tl2br w:val="nil"/>
                    <w:tr2bl w:val="nil"/>
                  </w:tcBorders>
                  <w:vAlign w:val="center"/>
                </w:tcPr>
                <w:p w14:paraId="022AAF17">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重点管控要求</w:t>
                  </w:r>
                </w:p>
              </w:tc>
              <w:tc>
                <w:tcPr>
                  <w:tcW w:w="1344" w:type="pct"/>
                  <w:tcBorders>
                    <w:tl2br w:val="nil"/>
                    <w:tr2bl w:val="nil"/>
                  </w:tcBorders>
                  <w:vAlign w:val="center"/>
                </w:tcPr>
                <w:p w14:paraId="31A07EEC">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对照分析</w:t>
                  </w:r>
                </w:p>
              </w:tc>
              <w:tc>
                <w:tcPr>
                  <w:tcW w:w="592" w:type="pct"/>
                  <w:tcBorders>
                    <w:tl2br w:val="nil"/>
                    <w:tr2bl w:val="nil"/>
                  </w:tcBorders>
                  <w:vAlign w:val="center"/>
                </w:tcPr>
                <w:p w14:paraId="4D376ED6">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是否满足要求</w:t>
                  </w:r>
                </w:p>
              </w:tc>
            </w:tr>
            <w:tr w14:paraId="240A3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tcBorders>
                    <w:tl2br w:val="nil"/>
                    <w:tr2bl w:val="nil"/>
                  </w:tcBorders>
                  <w:vAlign w:val="center"/>
                </w:tcPr>
                <w:p w14:paraId="394732B7">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518" w:type="pct"/>
                  <w:tcBorders>
                    <w:tl2br w:val="nil"/>
                    <w:tr2bl w:val="nil"/>
                  </w:tcBorders>
                  <w:vAlign w:val="center"/>
                </w:tcPr>
                <w:p w14:paraId="083A78E0">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（1）严格执行《江苏省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生态环境分区管控方案》（苏政发〔2020〕49号）附件3江苏省省域生态环境管控要求中</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空间布局约束</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的相关要求。</w:t>
                  </w:r>
                </w:p>
                <w:p w14:paraId="7095CAB3">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（2）严格执行《关于印发各设区市2023年深入打好污染防治攻坚战目标任务书的通知》（苏污防攻坚指办〔2023〕53号）《2023年常州市生态文明建设工作方案》（常政发〔2023〕23号）等文件要求。</w:t>
                  </w:r>
                </w:p>
                <w:p w14:paraId="02E03ABD">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2B67BA4B">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（4）根据《长江经济带发展负面清单指南</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试行，2022年版</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集中区</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内新建化工项目。</w:t>
                  </w:r>
                </w:p>
              </w:tc>
              <w:tc>
                <w:tcPr>
                  <w:tcW w:w="1344" w:type="pct"/>
                  <w:tcBorders>
                    <w:tl2br w:val="nil"/>
                    <w:tr2bl w:val="nil"/>
                  </w:tcBorders>
                  <w:vAlign w:val="center"/>
                </w:tcPr>
                <w:p w14:paraId="7B772E6F">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本项目的产品为</w:t>
                  </w:r>
                  <w:r>
                    <w:rPr>
                      <w:rFonts w:hint="default" w:ascii="Times New Roman" w:hAnsi="Times New Roman" w:eastAsia="宋体" w:cs="Times New Roman"/>
                      <w:color w:val="auto"/>
                      <w:sz w:val="21"/>
                      <w:szCs w:val="21"/>
                      <w:lang w:eastAsia="zh-CN"/>
                    </w:rPr>
                    <w:t>汽车增压器零部件</w:t>
                  </w:r>
                  <w:r>
                    <w:rPr>
                      <w:rFonts w:hint="default" w:ascii="Times New Roman" w:hAnsi="Times New Roman" w:eastAsia="宋体" w:cs="Times New Roman"/>
                      <w:color w:val="auto"/>
                      <w:sz w:val="21"/>
                      <w:szCs w:val="21"/>
                    </w:rPr>
                    <w:t>，国民经济行业类别属于</w:t>
                  </w:r>
                  <w:r>
                    <w:rPr>
                      <w:rFonts w:hint="eastAsia" w:ascii="Times New Roman" w:hAnsi="Times New Roman" w:eastAsia="宋体" w:cs="Times New Roman"/>
                      <w:color w:val="auto"/>
                      <w:sz w:val="21"/>
                      <w:szCs w:val="21"/>
                      <w:lang w:eastAsia="zh-CN"/>
                    </w:rPr>
                    <w:t>“C3360 金属表面处理及热处理加工”</w:t>
                  </w:r>
                  <w:r>
                    <w:rPr>
                      <w:rFonts w:hint="default" w:ascii="Times New Roman" w:hAnsi="Times New Roman" w:eastAsia="宋体" w:cs="Times New Roman"/>
                      <w:color w:val="auto"/>
                      <w:sz w:val="21"/>
                      <w:szCs w:val="21"/>
                    </w:rPr>
                    <w:t>，位于</w:t>
                  </w:r>
                  <w:r>
                    <w:rPr>
                      <w:rFonts w:hint="default" w:ascii="Times New Roman" w:hAnsi="Times New Roman" w:eastAsia="宋体" w:cs="Times New Roman"/>
                      <w:color w:val="auto"/>
                      <w:sz w:val="21"/>
                      <w:szCs w:val="21"/>
                      <w:lang w:eastAsia="zh-CN"/>
                    </w:rPr>
                    <w:t>江苏省常州市金坛区金坛大道75号</w:t>
                  </w:r>
                  <w:r>
                    <w:rPr>
                      <w:rFonts w:hint="default" w:ascii="Times New Roman" w:hAnsi="Times New Roman" w:eastAsia="宋体" w:cs="Times New Roman"/>
                      <w:color w:val="auto"/>
                      <w:sz w:val="21"/>
                      <w:szCs w:val="21"/>
                    </w:rPr>
                    <w:t>，不在长江干支流1公里范围内，符合《江苏省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态环境分区管控方案》（苏政发〔2020〕49号）要求；本项目废气经污染防治措施处理后达标排放，满足《2023年常州市生态文明建设工作方案》（常政发〔2023〕23号）等文件要求；不属于《产业结构调整指导目录（2024年本）》、《江苏省产业结构调整限制、淘汰和禁止目录》淘汰类的产业。</w:t>
                  </w:r>
                </w:p>
              </w:tc>
              <w:tc>
                <w:tcPr>
                  <w:tcW w:w="592" w:type="pct"/>
                  <w:tcBorders>
                    <w:tl2br w:val="nil"/>
                    <w:tr2bl w:val="nil"/>
                  </w:tcBorders>
                  <w:vAlign w:val="center"/>
                </w:tcPr>
                <w:p w14:paraId="0C22A30D">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53CB1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tcBorders>
                    <w:tl2br w:val="nil"/>
                    <w:tr2bl w:val="nil"/>
                  </w:tcBorders>
                  <w:vAlign w:val="center"/>
                </w:tcPr>
                <w:p w14:paraId="3CBBADB2">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518" w:type="pct"/>
                  <w:tcBorders>
                    <w:tl2br w:val="nil"/>
                    <w:tr2bl w:val="nil"/>
                  </w:tcBorders>
                  <w:vAlign w:val="center"/>
                </w:tcPr>
                <w:p w14:paraId="737F2DA5">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（1）坚持生态环境质量只能更好、不能变坏，实施污染物总量控制，以环境容量定产业、定项目、定规模，确保开发建设行为不突破生态环境承载力。</w:t>
                  </w:r>
                </w:p>
                <w:p w14:paraId="29EEA9F3">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（2）《常州市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十四五</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双控</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p>
              </w:tc>
              <w:tc>
                <w:tcPr>
                  <w:tcW w:w="1344" w:type="pct"/>
                  <w:tcBorders>
                    <w:tl2br w:val="nil"/>
                    <w:tr2bl w:val="nil"/>
                  </w:tcBorders>
                  <w:vAlign w:val="center"/>
                </w:tcPr>
                <w:p w14:paraId="5E47139D">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目前，本项目处于环评编制阶段，在环评审批前将严格落实主要污染物排放总量指标控制制度，取得主要污染物排放总量的控制指标和平衡方案，故符合文件要求。</w:t>
                  </w:r>
                </w:p>
              </w:tc>
              <w:tc>
                <w:tcPr>
                  <w:tcW w:w="592" w:type="pct"/>
                  <w:tcBorders>
                    <w:tl2br w:val="nil"/>
                    <w:tr2bl w:val="nil"/>
                  </w:tcBorders>
                  <w:vAlign w:val="center"/>
                </w:tcPr>
                <w:p w14:paraId="02E794B6">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2E0DFB3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tcBorders>
                    <w:tl2br w:val="nil"/>
                    <w:tr2bl w:val="nil"/>
                  </w:tcBorders>
                  <w:vAlign w:val="center"/>
                </w:tcPr>
                <w:p w14:paraId="5B1FC9E2">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518" w:type="pct"/>
                  <w:tcBorders>
                    <w:tl2br w:val="nil"/>
                    <w:tr2bl w:val="nil"/>
                  </w:tcBorders>
                  <w:vAlign w:val="center"/>
                </w:tcPr>
                <w:p w14:paraId="0BAB60E7">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（1）严格执行《江苏省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生态环境分区管控方案》（苏政发〔2020〕49号）附件3江苏省省域生态环境管控要求中</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环境风险防控</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的相关要求。</w:t>
                  </w:r>
                </w:p>
                <w:p w14:paraId="7E7C5249">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根据《常州市长江生态优先绿色发展三年行动计划（2019-2021年）》（常长江发〔2019〕3号），大幅压减沿江地区化工生产企业数量，沿江1公里范围内凡是与化工园区无产业链关联、安全和环保隐患大的企业2020年底前依法关停退出。</w:t>
                  </w:r>
                </w:p>
                <w:p w14:paraId="371C10CC">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（3）强化饮用水水源环境风险管控，建成应急水源工程。</w:t>
                  </w:r>
                </w:p>
                <w:p w14:paraId="46E8F598">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（4）完善废弃危险化学品等危险废物（以下简称</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危险废物</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344" w:type="pct"/>
                  <w:tcBorders>
                    <w:tl2br w:val="nil"/>
                    <w:tr2bl w:val="nil"/>
                  </w:tcBorders>
                  <w:vAlign w:val="center"/>
                </w:tcPr>
                <w:p w14:paraId="3413F160">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本项目符合《江苏省</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态环境分区管控方案》（苏政发〔2020〕49号）、《常州市长江生态优先绿色发展三年行动计划（2019-2021年）》（常长江发〔2019〕3号）要求，本项目产生的危险废物，暂存在厂区内的危废仓库内，产生的危险废物委托有资质单位处置。</w:t>
                  </w:r>
                </w:p>
              </w:tc>
              <w:tc>
                <w:tcPr>
                  <w:tcW w:w="592" w:type="pct"/>
                  <w:tcBorders>
                    <w:tl2br w:val="nil"/>
                    <w:tr2bl w:val="nil"/>
                  </w:tcBorders>
                  <w:vAlign w:val="center"/>
                </w:tcPr>
                <w:p w14:paraId="0AEC8DE4">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790B0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tcBorders>
                    <w:tl2br w:val="nil"/>
                    <w:tr2bl w:val="nil"/>
                  </w:tcBorders>
                  <w:vAlign w:val="center"/>
                </w:tcPr>
                <w:p w14:paraId="6E0A95D4">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资源利用效率要求</w:t>
                  </w:r>
                </w:p>
              </w:tc>
              <w:tc>
                <w:tcPr>
                  <w:tcW w:w="2518" w:type="pct"/>
                  <w:tcBorders>
                    <w:tl2br w:val="nil"/>
                    <w:tr2bl w:val="nil"/>
                  </w:tcBorders>
                  <w:vAlign w:val="center"/>
                </w:tcPr>
                <w:p w14:paraId="3CEF1B6B">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（1）《江苏省水利厅江苏省发展和改革委员会关于印发</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十四五</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6A5AB65E">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（2）根据《常州市国土空间总体规划（2021-2035年）（上报稿）》，永久基本农田实际划定是7.53万公顷，2035年任务量为7.66万公顷。</w:t>
                  </w:r>
                </w:p>
                <w:p w14:paraId="41B6CC23">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①</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II类</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（较严），具体包括：除单台出力大于等于20蒸吨/小时锅炉以外燃用的煤炭及其制品；石油焦、油页岩、原油、重油、渣油、煤焦油。②</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III类</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151D4317">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（4）根据《常州市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十四五</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344" w:type="pct"/>
                  <w:tcBorders>
                    <w:tl2br w:val="nil"/>
                    <w:tr2bl w:val="nil"/>
                  </w:tcBorders>
                  <w:vAlign w:val="center"/>
                </w:tcPr>
                <w:p w14:paraId="178E062A">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本项目所在地规划用地性质为工业用地，不占用耕地，不涉及燃用高污染燃料的项目和设施。</w:t>
                  </w:r>
                </w:p>
              </w:tc>
              <w:tc>
                <w:tcPr>
                  <w:tcW w:w="592" w:type="pct"/>
                  <w:tcBorders>
                    <w:tl2br w:val="nil"/>
                    <w:tr2bl w:val="nil"/>
                  </w:tcBorders>
                  <w:vAlign w:val="center"/>
                </w:tcPr>
                <w:p w14:paraId="3B050E07">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bl>
          <w:p w14:paraId="0DC18B4D">
            <w:pPr>
              <w:spacing w:line="500" w:lineRule="exact"/>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本项目位于金坛华罗庚高新技术产业开发区，根据《常州市“三线一单”生态环境分区管控实施方案》附件3中常州市环境管控单元名录，由于该管控实施方案发布时，华罗庚高新技术产业开发区属于江苏金坛经济开发区，故对照江苏金坛经济开发区，属于“重点管控单元”。</w:t>
            </w:r>
          </w:p>
          <w:p w14:paraId="287218C2">
            <w:pPr>
              <w:spacing w:line="500" w:lineRule="exact"/>
              <w:jc w:val="center"/>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 xml:space="preserve">表1-7  </w:t>
            </w:r>
            <w:r>
              <w:rPr>
                <w:rFonts w:hint="default" w:ascii="Times New Roman" w:hAnsi="Times New Roman" w:eastAsia="宋体" w:cs="Times New Roman"/>
                <w:b/>
                <w:bCs/>
                <w:color w:val="auto"/>
                <w:sz w:val="24"/>
                <w:szCs w:val="24"/>
              </w:rPr>
              <w:t>与江苏金坛经济开发区生态环境准入清单符合性预判情况</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3732"/>
              <w:gridCol w:w="2211"/>
              <w:gridCol w:w="878"/>
            </w:tblGrid>
            <w:tr w14:paraId="45D179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2A3EE56A">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432" w:type="pct"/>
                  <w:tcBorders>
                    <w:tl2br w:val="nil"/>
                    <w:tr2bl w:val="nil"/>
                  </w:tcBorders>
                  <w:vAlign w:val="center"/>
                </w:tcPr>
                <w:p w14:paraId="71B00001">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生态环境准入清单</w:t>
                  </w:r>
                </w:p>
              </w:tc>
              <w:tc>
                <w:tcPr>
                  <w:tcW w:w="1441" w:type="pct"/>
                  <w:tcBorders>
                    <w:tl2br w:val="nil"/>
                    <w:tr2bl w:val="nil"/>
                  </w:tcBorders>
                  <w:vAlign w:val="center"/>
                </w:tcPr>
                <w:p w14:paraId="5F3D4BA3">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572" w:type="pct"/>
                  <w:tcBorders>
                    <w:tl2br w:val="nil"/>
                    <w:tr2bl w:val="nil"/>
                  </w:tcBorders>
                  <w:vAlign w:val="center"/>
                </w:tcPr>
                <w:p w14:paraId="3F830C32">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002E9F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234224D0">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432" w:type="pct"/>
                  <w:tcBorders>
                    <w:tl2br w:val="nil"/>
                    <w:tr2bl w:val="nil"/>
                  </w:tcBorders>
                  <w:vAlign w:val="center"/>
                </w:tcPr>
                <w:p w14:paraId="04E391D4">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（1）禁止引入纺织服装中废水排放量较大的纯印染和纯染整类企业（除金坛时尚织染集聚区）。</w:t>
                  </w:r>
                </w:p>
                <w:p w14:paraId="789A5757">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引入机械电子、高端装备制造业中电镀、表面处理类企业，淘汰、限制类的如普通高速钢钻头、铣刀、锯片、丝锥、板牙项目、普通微小型球轴承制造项目；禁止生产国家禁止或公告停止销售的车辆；有害物质含量超标准的汽车。</w:t>
                  </w:r>
                </w:p>
                <w:p w14:paraId="6EBC0B6A">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（3）禁止引入化工中与盐化工及下游产品生产不相关的化工项目。</w:t>
                  </w:r>
                </w:p>
                <w:p w14:paraId="18D517D0">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（4）禁止引入新材料产业中太阳能电池切片生产项目。</w:t>
                  </w:r>
                </w:p>
                <w:p w14:paraId="6B7BF192">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（5）禁止引入化工新材料中钢铁等传统型金属材料；水泥等传统型非金属材料。</w:t>
                  </w:r>
                </w:p>
                <w:p w14:paraId="55B2A878">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（6）禁止引入新医药产业中不符合GMP要求的安瓿拉丝灌封机、劳动保护、安瓿灌装注射用无菌粉末、非易折安瓿等。</w:t>
                  </w:r>
                </w:p>
              </w:tc>
              <w:tc>
                <w:tcPr>
                  <w:tcW w:w="1441" w:type="pct"/>
                  <w:tcBorders>
                    <w:tl2br w:val="nil"/>
                    <w:tr2bl w:val="nil"/>
                  </w:tcBorders>
                  <w:vAlign w:val="center"/>
                </w:tcPr>
                <w:p w14:paraId="49A0853B">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本项目国民经济行业类别属于</w:t>
                  </w:r>
                  <w:r>
                    <w:rPr>
                      <w:rFonts w:hint="eastAsia" w:ascii="Times New Roman" w:hAnsi="Times New Roman" w:eastAsia="宋体" w:cs="Times New Roman"/>
                      <w:color w:val="auto"/>
                      <w:sz w:val="21"/>
                      <w:szCs w:val="21"/>
                      <w:lang w:eastAsia="zh-CN"/>
                    </w:rPr>
                    <w:t>“C3360 金属表面处理及热处理加工”</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本项目工艺主要为热处理加工，</w:t>
                  </w:r>
                  <w:r>
                    <w:rPr>
                      <w:rFonts w:hint="default" w:ascii="Times New Roman" w:hAnsi="Times New Roman" w:eastAsia="宋体" w:cs="Times New Roman"/>
                      <w:color w:val="auto"/>
                      <w:sz w:val="21"/>
                      <w:szCs w:val="21"/>
                    </w:rPr>
                    <w:t>不属于以上禁止类别，符合空间布局约束要求。</w:t>
                  </w:r>
                </w:p>
              </w:tc>
              <w:tc>
                <w:tcPr>
                  <w:tcW w:w="572" w:type="pct"/>
                  <w:tcBorders>
                    <w:tl2br w:val="nil"/>
                    <w:tr2bl w:val="nil"/>
                  </w:tcBorders>
                  <w:vAlign w:val="center"/>
                </w:tcPr>
                <w:p w14:paraId="4C13A74C">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r>
            <w:tr w14:paraId="15A29D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639A4E99">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432" w:type="pct"/>
                  <w:tcBorders>
                    <w:tl2br w:val="nil"/>
                    <w:tr2bl w:val="nil"/>
                  </w:tcBorders>
                  <w:vAlign w:val="center"/>
                </w:tcPr>
                <w:p w14:paraId="4DAFD2E7">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（1）严格实施污染物总量控制制度，根据区域环境质量改善目标，采取有效措施减少主要污染物排放总量，确保区域环境质量持续改善。</w:t>
                  </w:r>
                </w:p>
                <w:p w14:paraId="490FF38A">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（2）园区污染物排放总量不得突破环评报告及批复的总量。</w:t>
                  </w:r>
                </w:p>
              </w:tc>
              <w:tc>
                <w:tcPr>
                  <w:tcW w:w="1441" w:type="pct"/>
                  <w:tcBorders>
                    <w:tl2br w:val="nil"/>
                    <w:tr2bl w:val="nil"/>
                  </w:tcBorders>
                  <w:vAlign w:val="center"/>
                </w:tcPr>
                <w:p w14:paraId="7EABDF1C">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本项目产生的废气采取相应的污染防治措施进行处理后达标排放，厂区生活污水</w:t>
                  </w:r>
                  <w:r>
                    <w:rPr>
                      <w:rFonts w:hint="default" w:ascii="Times New Roman" w:hAnsi="Times New Roman" w:eastAsia="宋体" w:cs="Times New Roman"/>
                      <w:color w:val="auto"/>
                      <w:sz w:val="21"/>
                      <w:szCs w:val="21"/>
                      <w:lang w:val="en-US" w:eastAsia="zh-CN"/>
                    </w:rPr>
                    <w:t>经化粪池预处理后接管至</w:t>
                  </w:r>
                  <w:r>
                    <w:rPr>
                      <w:rFonts w:hint="default" w:ascii="Times New Roman" w:hAnsi="Times New Roman" w:eastAsia="宋体" w:cs="Times New Roman"/>
                      <w:color w:val="auto"/>
                      <w:sz w:val="21"/>
                      <w:szCs w:val="21"/>
                    </w:rPr>
                    <w:t>金坛区第二污水处理厂。目前，本项目处于环评编制阶段，在环评审批前将严格落实主要污染物排放总量指标控制制度，取得主要污染物排放总量的控制指标和平衡方案，故符合文件要求。</w:t>
                  </w:r>
                </w:p>
              </w:tc>
              <w:tc>
                <w:tcPr>
                  <w:tcW w:w="572" w:type="pct"/>
                  <w:tcBorders>
                    <w:tl2br w:val="nil"/>
                    <w:tr2bl w:val="nil"/>
                  </w:tcBorders>
                  <w:vAlign w:val="center"/>
                </w:tcPr>
                <w:p w14:paraId="0538692C">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r>
            <w:tr w14:paraId="1B9620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1D785B33">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432" w:type="pct"/>
                  <w:tcBorders>
                    <w:tl2br w:val="nil"/>
                    <w:tr2bl w:val="nil"/>
                  </w:tcBorders>
                  <w:vAlign w:val="center"/>
                </w:tcPr>
                <w:p w14:paraId="6423125F">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（1）园区建立环境应急体系，完善事故应急救援体系，加强应急物资装备储备，编制突发环境事件应急预案，定期开展演练。</w:t>
                  </w:r>
                </w:p>
                <w:p w14:paraId="102244CE">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生产、使用、储存危险化学品或其他存在环境风险的企事业单位，应当制定风险防范措施，编制完善突发环境事件应急预案，防止发生环境污染事故。（3）加强环境影响跟踪监测，建立健全各环境要素监控体系，完善并落实园区日常环境监测与污染源监控计划。</w:t>
                  </w:r>
                </w:p>
              </w:tc>
              <w:tc>
                <w:tcPr>
                  <w:tcW w:w="1441" w:type="pct"/>
                  <w:tcBorders>
                    <w:tl2br w:val="nil"/>
                    <w:tr2bl w:val="nil"/>
                  </w:tcBorders>
                  <w:vAlign w:val="center"/>
                </w:tcPr>
                <w:p w14:paraId="1CA35EB4">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本项目在生产过程中建立事故应急救援体系，加强应急物资装备储备，编制突发环境事件应急预案，定期开展演练，与园区环境应急体系衔接。</w:t>
                  </w:r>
                </w:p>
              </w:tc>
              <w:tc>
                <w:tcPr>
                  <w:tcW w:w="572" w:type="pct"/>
                  <w:tcBorders>
                    <w:tl2br w:val="nil"/>
                    <w:tr2bl w:val="nil"/>
                  </w:tcBorders>
                  <w:vAlign w:val="center"/>
                </w:tcPr>
                <w:p w14:paraId="55C73964">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r>
            <w:tr w14:paraId="209959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53" w:type="pct"/>
                  <w:tcBorders>
                    <w:tl2br w:val="nil"/>
                    <w:tr2bl w:val="nil"/>
                  </w:tcBorders>
                  <w:vAlign w:val="center"/>
                </w:tcPr>
                <w:p w14:paraId="1B862F7A">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资源开发效率要求</w:t>
                  </w:r>
                </w:p>
              </w:tc>
              <w:tc>
                <w:tcPr>
                  <w:tcW w:w="2432" w:type="pct"/>
                  <w:tcBorders>
                    <w:tl2br w:val="nil"/>
                    <w:tr2bl w:val="nil"/>
                  </w:tcBorders>
                  <w:vAlign w:val="center"/>
                </w:tcPr>
                <w:p w14:paraId="4D320E8B">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（1）大力倡导使用清洁能源。</w:t>
                  </w:r>
                </w:p>
                <w:p w14:paraId="1DDC9068">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（2）提升废水资源化技术，提高水资源回用率。</w:t>
                  </w:r>
                </w:p>
                <w:p w14:paraId="6A2604EC">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（3）严禁自建燃煤设施。</w:t>
                  </w:r>
                </w:p>
              </w:tc>
              <w:tc>
                <w:tcPr>
                  <w:tcW w:w="1441" w:type="pct"/>
                  <w:tcBorders>
                    <w:tl2br w:val="nil"/>
                    <w:tr2bl w:val="nil"/>
                  </w:tcBorders>
                  <w:vAlign w:val="center"/>
                </w:tcPr>
                <w:p w14:paraId="778862FC">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本项目使用电作为能源，厂区生活污水</w:t>
                  </w:r>
                  <w:r>
                    <w:rPr>
                      <w:rFonts w:hint="default" w:ascii="Times New Roman" w:hAnsi="Times New Roman" w:eastAsia="宋体" w:cs="Times New Roman"/>
                      <w:color w:val="auto"/>
                      <w:sz w:val="21"/>
                      <w:szCs w:val="21"/>
                      <w:lang w:val="en-US" w:eastAsia="zh-CN"/>
                    </w:rPr>
                    <w:t>经化粪池预处理后接管至</w:t>
                  </w:r>
                  <w:r>
                    <w:rPr>
                      <w:rFonts w:hint="default" w:ascii="Times New Roman" w:hAnsi="Times New Roman" w:eastAsia="宋体" w:cs="Times New Roman"/>
                      <w:color w:val="auto"/>
                      <w:sz w:val="21"/>
                      <w:szCs w:val="21"/>
                    </w:rPr>
                    <w:t>金坛区第二污水处理厂，无燃煤设施。</w:t>
                  </w:r>
                </w:p>
              </w:tc>
              <w:tc>
                <w:tcPr>
                  <w:tcW w:w="572" w:type="pct"/>
                  <w:tcBorders>
                    <w:tl2br w:val="nil"/>
                    <w:tr2bl w:val="nil"/>
                  </w:tcBorders>
                  <w:vAlign w:val="center"/>
                </w:tcPr>
                <w:p w14:paraId="7C76245D">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符合要求</w:t>
                  </w:r>
                </w:p>
              </w:tc>
            </w:tr>
          </w:tbl>
          <w:p w14:paraId="5E7E5E9E">
            <w:pPr>
              <w:spacing w:line="500" w:lineRule="exact"/>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（三）生态环境保护规划的相符性分析</w:t>
            </w:r>
          </w:p>
          <w:p w14:paraId="4BD53378">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省政府关于印发江苏省国家级生态保护红线规划的通知》（苏政发〔2018〕74号）及《省政府关于印发江苏省生态空间管控区域规划的通知》（苏政发〔2020〕1号），常州市共有陆域生态空间保护区域面积942.83平方公里，其中国家级生态保护红线311.02平方公里，生态空间管控区域面积937.68平方公里。本项目所在地不在常州市陆域生态空间保护区域内，本工程的建设与《省政府关于印发江苏省国家级生态保护红线规划的通知》（苏政发〔2018〕74号）、《省政府关于印发江苏省生态空间管控区域保护规划的通知》（苏政发〔2020〕1号）相符。</w:t>
            </w:r>
          </w:p>
          <w:p w14:paraId="6FA27017">
            <w:pPr>
              <w:spacing w:line="500" w:lineRule="exact"/>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（四）法律法规政策的相符性分析</w:t>
            </w:r>
          </w:p>
          <w:p w14:paraId="68D91201">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1、本项目不属于《建设项目环境保护管理条例》（1998年本，2017年修订）中第十一条</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有下列情形之一的，环境保护行政主管部门应当对环境影响报告书、环境影响报告表作出不予批准的决定：①建设项目类型及其选址、布局、规模等不符合环境保护法律法规和相关法定规划；②所在区域环境质量未达到国家或者地方环境质量标准，且建设项目拟采取的措施不能满足区域环境质量改善目标管理要求；③建设项目采取的污染防治措施无法确保污染物排放达到国家和地方排放标准，或者未采取必要措施预防和控制生态破坏；④改建、扩建和技术改造项目，未针对项目原有环境污染和生态破坏提出有效</w:t>
            </w:r>
            <w:r>
              <w:rPr>
                <w:rFonts w:hint="eastAsia" w:ascii="Times New Roman" w:hAnsi="Times New Roman" w:eastAsia="宋体" w:cs="Times New Roman"/>
                <w:bCs/>
                <w:color w:val="auto"/>
                <w:sz w:val="24"/>
                <w:lang w:val="en-US" w:eastAsia="zh-CN"/>
              </w:rPr>
              <w:t>防治</w:t>
            </w:r>
            <w:r>
              <w:rPr>
                <w:rFonts w:hint="default" w:ascii="Times New Roman" w:hAnsi="Times New Roman" w:eastAsia="宋体" w:cs="Times New Roman"/>
                <w:bCs/>
                <w:color w:val="auto"/>
                <w:sz w:val="24"/>
              </w:rPr>
              <w:t>措施；⑤建设项目的环境影响报告书、环境影响报告表的基础资料数据明显不实，内容存在重大缺陷、遗漏，或者环境影响评价结论不明确、不合理</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中规定的</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不予批准</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条款之列。</w:t>
            </w:r>
          </w:p>
          <w:p w14:paraId="451B6E4F">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根据《太湖流域管理条例》（中华人民共和国国务院令第604号），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第二十九条：新孟河、望虞河以外的其他主要入太湖河道，自河口1万米上溯至5万米河道岸线内及其岸线两侧各1000米范围内，禁止下列行为：①新建、扩建化工、医药生产项目；②新建、扩建污水集中处理设施排污口以外的排污口；③扩大水产养殖规模。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①设置剧毒物质、危险化学品的贮存、输送设施和废物回收场、垃圾场；②设置水上餐饮经营设施；③新建、扩建高尔夫球场；④新建、扩建畜禽养殖场；⑤新建、扩建向水体排放污染物的建设项目；⑥本条例第二十九条规定的行为。</w:t>
            </w:r>
          </w:p>
          <w:p w14:paraId="2FBFDE47">
            <w:pPr>
              <w:spacing w:line="500" w:lineRule="exact"/>
              <w:ind w:firstLine="482" w:firstLineChars="200"/>
              <w:rPr>
                <w:rFonts w:hint="default" w:ascii="Times New Roman" w:hAnsi="Times New Roman" w:eastAsia="宋体" w:cs="Times New Roman"/>
                <w:bCs/>
                <w:color w:val="auto"/>
                <w:sz w:val="24"/>
              </w:rPr>
            </w:pPr>
            <w:r>
              <w:rPr>
                <w:rFonts w:hint="default" w:ascii="Times New Roman" w:hAnsi="Times New Roman" w:eastAsia="宋体" w:cs="Times New Roman"/>
                <w:b/>
                <w:bCs/>
                <w:color w:val="auto"/>
                <w:sz w:val="24"/>
              </w:rPr>
              <w:t>对照分析：</w:t>
            </w:r>
            <w:r>
              <w:rPr>
                <w:rFonts w:hint="default" w:ascii="Times New Roman" w:hAnsi="Times New Roman" w:eastAsia="宋体" w:cs="Times New Roman"/>
                <w:bCs/>
                <w:color w:val="auto"/>
                <w:sz w:val="24"/>
              </w:rPr>
              <w:t>本项目位于</w:t>
            </w:r>
            <w:r>
              <w:rPr>
                <w:rFonts w:hint="default" w:ascii="Times New Roman" w:hAnsi="Times New Roman" w:eastAsia="宋体" w:cs="Times New Roman"/>
                <w:color w:val="auto"/>
                <w:sz w:val="24"/>
                <w:lang w:eastAsia="zh-CN"/>
              </w:rPr>
              <w:t>江苏省常州市金坛区金坛大道75号</w:t>
            </w:r>
            <w:r>
              <w:rPr>
                <w:rFonts w:hint="default" w:ascii="Times New Roman" w:hAnsi="Times New Roman" w:eastAsia="宋体" w:cs="Times New Roman"/>
                <w:bCs/>
                <w:color w:val="auto"/>
                <w:sz w:val="24"/>
              </w:rPr>
              <w:t>，目前本项目处于环评编制阶段，在环评审批前将严格落实水污染物排放总量指标控制制度，取得水污染物排放总量的控制指标和平衡方案；项目建成后在排放口设置标志牌等；营运期不排放含氮磷生产废水；本项目国民经济行业类别属于</w:t>
            </w:r>
            <w:r>
              <w:rPr>
                <w:rFonts w:hint="eastAsia" w:ascii="Times New Roman" w:hAnsi="Times New Roman" w:eastAsia="宋体" w:cs="Times New Roman"/>
                <w:bCs/>
                <w:color w:val="auto"/>
                <w:sz w:val="24"/>
                <w:lang w:eastAsia="zh-CN"/>
              </w:rPr>
              <w:t>“C3360 金属表面处理及热处理加工”</w:t>
            </w:r>
            <w:r>
              <w:rPr>
                <w:rFonts w:hint="default" w:ascii="Times New Roman" w:hAnsi="Times New Roman" w:eastAsia="宋体" w:cs="Times New Roman"/>
                <w:bCs/>
                <w:color w:val="auto"/>
                <w:sz w:val="24"/>
              </w:rPr>
              <w:t>，均不位于该条例第二十八条、第二十九条、第三十条规定的禁止建设范围内。因此本项目符合《太湖流域管理条例》（中华人民共和国国务院令第604号）相关规定。</w:t>
            </w:r>
          </w:p>
          <w:p w14:paraId="157AD9E1">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3、根据《江苏省太湖水污染防治条例》规定，太湖流域一、二、三级保护区禁止下列行为：①新建、改建、扩建化学制浆造纸、制革、酿造、染料、印染、电镀以及其他排放含磷、氮等污染物的企业和项目，城镇污水集中处理等环境基础设施项目和第四十六条规定的情形除外；②销售、使用含磷洗涤用品；③向水体排放或者倾倒油类、酸液、碱液、剧毒废渣废液、含放射性废渣废液、含病原体污水、工业废渣以及其他废弃物；④在水体清洗装贮过油类或者有毒有害污染物的车辆、船舶和容器等；⑤使用农药等有毒物毒杀水生生物；⑥向水体直接排放人畜粪便、倾倒垃圾；⑦围湖造地；⑧违法开山采石，或者进行破坏林木、植被、水生生物的活动；⑨法律、法规禁止的其他行为。</w:t>
            </w:r>
          </w:p>
          <w:p w14:paraId="3B5645F9">
            <w:pPr>
              <w:spacing w:line="500" w:lineRule="exact"/>
              <w:ind w:firstLine="482"/>
              <w:rPr>
                <w:rFonts w:hint="default" w:ascii="Times New Roman" w:hAnsi="Times New Roman" w:eastAsia="宋体" w:cs="Times New Roman"/>
                <w:bCs/>
                <w:color w:val="auto"/>
                <w:sz w:val="24"/>
              </w:rPr>
            </w:pPr>
            <w:r>
              <w:rPr>
                <w:rFonts w:hint="default" w:ascii="Times New Roman" w:hAnsi="Times New Roman" w:eastAsia="宋体" w:cs="Times New Roman"/>
                <w:b/>
                <w:bCs/>
                <w:color w:val="auto"/>
                <w:sz w:val="24"/>
              </w:rPr>
              <w:t>对照分析：</w:t>
            </w:r>
            <w:r>
              <w:rPr>
                <w:rFonts w:hint="default" w:ascii="Times New Roman" w:hAnsi="Times New Roman" w:eastAsia="宋体" w:cs="Times New Roman"/>
                <w:bCs/>
                <w:color w:val="auto"/>
                <w:sz w:val="24"/>
              </w:rPr>
              <w:t>本项目位于太湖流域三级保护区内，国民经济行业类别属于</w:t>
            </w:r>
            <w:r>
              <w:rPr>
                <w:rFonts w:hint="eastAsia" w:ascii="Times New Roman" w:hAnsi="Times New Roman" w:eastAsia="宋体" w:cs="Times New Roman"/>
                <w:bCs/>
                <w:color w:val="auto"/>
                <w:sz w:val="24"/>
                <w:lang w:eastAsia="zh-CN"/>
              </w:rPr>
              <w:t>“C3360 金属表面处理及热处理加工”</w:t>
            </w:r>
            <w:r>
              <w:rPr>
                <w:rFonts w:hint="default" w:ascii="Times New Roman" w:hAnsi="Times New Roman" w:eastAsia="宋体" w:cs="Times New Roman"/>
                <w:bCs/>
                <w:color w:val="auto"/>
                <w:sz w:val="24"/>
              </w:rPr>
              <w:t>，本项目营运期不排放含氮磷的生产废水，无上述禁止行为，因此符合《江苏省太湖水污染防治条例》相关规定。</w:t>
            </w:r>
          </w:p>
          <w:p w14:paraId="0060F317">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4、与《关于印发常州市挥发性有机物清洁原料替代工作方案的通知》（常污防攻坚指办〔2021〕32号）、《关于印发江苏省重点行业挥发性有机物污染整治方案的通知》（苏环办〔2015〕19号）、《江苏省挥发性有机物污染防治管理办法》（省政府令第119号）、《关于印发常州市2022年大气污染防治工作计划的通知》（常大气办〔2022〕1号）、《江苏省大气污染防治条例》（江苏省人民代表大会公告第2号）、《关于印发江苏省重点行业挥发性有机物污染控制指南的通知》（苏环办〔2014〕128号）、《关于印发江苏省2020年挥发性有机物专项治理工作方案的通知》（苏大气办〔2020〕33号）、《关于印发重点行业挥发性有机物综合治理方案的通知》（环大气〔2019〕53号）、《关于切实加强产业园区规划环境影响评价工作的通知》（苏环办〔2017〕140号）相符性分析。</w:t>
            </w:r>
          </w:p>
          <w:p w14:paraId="7E297F9C">
            <w:pPr>
              <w:spacing w:line="500" w:lineRule="exact"/>
              <w:jc w:val="center"/>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 xml:space="preserve">表1-8  </w:t>
            </w:r>
            <w:r>
              <w:rPr>
                <w:rFonts w:hint="default" w:ascii="Times New Roman" w:hAnsi="Times New Roman" w:eastAsia="宋体" w:cs="Times New Roman"/>
                <w:b/>
                <w:bCs/>
                <w:color w:val="auto"/>
                <w:sz w:val="24"/>
                <w:szCs w:val="24"/>
              </w:rPr>
              <w:t>本项目相符性预判情况</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1243"/>
              <w:gridCol w:w="2070"/>
              <w:gridCol w:w="2346"/>
              <w:gridCol w:w="901"/>
            </w:tblGrid>
            <w:tr w14:paraId="4774FB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723" w:type="pct"/>
                  <w:tcBorders>
                    <w:tl2br w:val="nil"/>
                    <w:tr2bl w:val="nil"/>
                  </w:tcBorders>
                  <w:vAlign w:val="center"/>
                </w:tcPr>
                <w:p w14:paraId="4F67D1A0">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159" w:type="pct"/>
                  <w:gridSpan w:val="2"/>
                  <w:tcBorders>
                    <w:tl2br w:val="nil"/>
                    <w:tr2bl w:val="nil"/>
                  </w:tcBorders>
                  <w:vAlign w:val="center"/>
                </w:tcPr>
                <w:p w14:paraId="06876304">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文件要求</w:t>
                  </w:r>
                </w:p>
              </w:tc>
              <w:tc>
                <w:tcPr>
                  <w:tcW w:w="1529" w:type="pct"/>
                  <w:tcBorders>
                    <w:tl2br w:val="nil"/>
                    <w:tr2bl w:val="nil"/>
                  </w:tcBorders>
                  <w:vAlign w:val="center"/>
                </w:tcPr>
                <w:p w14:paraId="405075E4">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587" w:type="pct"/>
                  <w:tcBorders>
                    <w:tl2br w:val="nil"/>
                    <w:tr2bl w:val="nil"/>
                  </w:tcBorders>
                  <w:vAlign w:val="center"/>
                </w:tcPr>
                <w:p w14:paraId="53D76546">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相符性论证</w:t>
                  </w:r>
                </w:p>
              </w:tc>
            </w:tr>
            <w:tr w14:paraId="610EB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vMerge w:val="restart"/>
                  <w:tcBorders>
                    <w:tl2br w:val="nil"/>
                    <w:tr2bl w:val="nil"/>
                  </w:tcBorders>
                  <w:vAlign w:val="center"/>
                </w:tcPr>
                <w:p w14:paraId="41BDE62B">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《关于印发常州市挥发性有机物清洁原料替代工作方案的通知》（常污防攻坚指办〔2021〕32号）</w:t>
                  </w:r>
                </w:p>
              </w:tc>
              <w:tc>
                <w:tcPr>
                  <w:tcW w:w="2159" w:type="pct"/>
                  <w:gridSpan w:val="2"/>
                  <w:tcBorders>
                    <w:tl2br w:val="nil"/>
                    <w:tr2bl w:val="nil"/>
                  </w:tcBorders>
                  <w:vAlign w:val="center"/>
                </w:tcPr>
                <w:p w14:paraId="7794858A">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二、重点任务</w:t>
                  </w:r>
                </w:p>
                <w:p w14:paraId="5DEAEECB">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（一）明确替代要求。以工业涂装、包装印刷、木材加工、纺织等行业为重点……胶粘剂等产品应符合相关标准中VOCs含量的限值要求。</w:t>
                  </w:r>
                </w:p>
              </w:tc>
              <w:tc>
                <w:tcPr>
                  <w:tcW w:w="1529" w:type="pct"/>
                  <w:vMerge w:val="restart"/>
                  <w:tcBorders>
                    <w:tl2br w:val="nil"/>
                    <w:tr2bl w:val="nil"/>
                  </w:tcBorders>
                  <w:vAlign w:val="center"/>
                </w:tcPr>
                <w:p w14:paraId="430BF711">
                  <w:pPr>
                    <w:pStyle w:val="52"/>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所使用的</w:t>
                  </w:r>
                  <w:r>
                    <w:rPr>
                      <w:rFonts w:hint="default" w:ascii="Times New Roman" w:hAnsi="Times New Roman" w:eastAsia="宋体" w:cs="Times New Roman"/>
                      <w:color w:val="auto"/>
                      <w:sz w:val="21"/>
                      <w:szCs w:val="21"/>
                      <w:lang w:val="en-US" w:eastAsia="zh-CN"/>
                    </w:rPr>
                    <w:t>碳氢清洗剂</w:t>
                  </w:r>
                  <w:r>
                    <w:rPr>
                      <w:rFonts w:hint="default" w:ascii="Times New Roman" w:hAnsi="Times New Roman" w:eastAsia="宋体" w:cs="Times New Roman"/>
                      <w:color w:val="auto"/>
                      <w:sz w:val="21"/>
                      <w:szCs w:val="21"/>
                    </w:rPr>
                    <w:t>符合</w:t>
                  </w:r>
                  <w:r>
                    <w:rPr>
                      <w:rFonts w:hint="default" w:ascii="Times New Roman" w:hAnsi="Times New Roman" w:eastAsia="宋体" w:cs="Times New Roman"/>
                      <w:color w:val="auto"/>
                      <w:sz w:val="21"/>
                      <w:szCs w:val="21"/>
                      <w:lang w:val="en-US" w:eastAsia="zh-CN"/>
                    </w:rPr>
                    <w:t>《清洗剂挥发性有机化合物含量限值》（GB 38508-2020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中表1有机溶剂清洗剂限值要求（900g/L）</w:t>
                  </w:r>
                  <w:r>
                    <w:rPr>
                      <w:rFonts w:hint="default" w:ascii="Times New Roman" w:hAnsi="Times New Roman" w:eastAsia="宋体" w:cs="Times New Roman"/>
                      <w:color w:val="auto"/>
                      <w:sz w:val="21"/>
                      <w:szCs w:val="21"/>
                    </w:rPr>
                    <w:t>。</w:t>
                  </w:r>
                </w:p>
              </w:tc>
              <w:tc>
                <w:tcPr>
                  <w:tcW w:w="587" w:type="pct"/>
                  <w:vMerge w:val="restart"/>
                  <w:tcBorders>
                    <w:tl2br w:val="nil"/>
                    <w:tr2bl w:val="nil"/>
                  </w:tcBorders>
                  <w:vAlign w:val="center"/>
                </w:tcPr>
                <w:p w14:paraId="65C407C0">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3FDC62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vMerge w:val="continue"/>
                  <w:tcBorders>
                    <w:tl2br w:val="nil"/>
                    <w:tr2bl w:val="nil"/>
                  </w:tcBorders>
                  <w:vAlign w:val="center"/>
                </w:tcPr>
                <w:p w14:paraId="6BB44E11">
                  <w:pPr>
                    <w:pStyle w:val="52"/>
                    <w:snapToGrid w:val="0"/>
                    <w:spacing w:line="240" w:lineRule="auto"/>
                    <w:rPr>
                      <w:rFonts w:hint="default" w:ascii="Times New Roman" w:hAnsi="Times New Roman" w:eastAsia="宋体" w:cs="Times New Roman"/>
                      <w:color w:val="auto"/>
                      <w:sz w:val="21"/>
                      <w:szCs w:val="21"/>
                    </w:rPr>
                  </w:pPr>
                </w:p>
              </w:tc>
              <w:tc>
                <w:tcPr>
                  <w:tcW w:w="2159" w:type="pct"/>
                  <w:gridSpan w:val="2"/>
                  <w:tcBorders>
                    <w:tl2br w:val="nil"/>
                    <w:tr2bl w:val="nil"/>
                  </w:tcBorders>
                  <w:vAlign w:val="center"/>
                </w:tcPr>
                <w:p w14:paraId="0C9A5863">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（二）严格准入条件。禁止建设生产和使用高VOCs含量的涂料、油墨、胶粘剂等项目。</w:t>
                  </w:r>
                </w:p>
              </w:tc>
              <w:tc>
                <w:tcPr>
                  <w:tcW w:w="1529" w:type="pct"/>
                  <w:vMerge w:val="continue"/>
                  <w:tcBorders>
                    <w:tl2br w:val="nil"/>
                    <w:tr2bl w:val="nil"/>
                  </w:tcBorders>
                  <w:vAlign w:val="center"/>
                </w:tcPr>
                <w:p w14:paraId="19FC78E0">
                  <w:pPr>
                    <w:pStyle w:val="52"/>
                    <w:snapToGrid w:val="0"/>
                    <w:spacing w:line="240" w:lineRule="auto"/>
                    <w:rPr>
                      <w:rFonts w:hint="default" w:ascii="Times New Roman" w:hAnsi="Times New Roman" w:eastAsia="宋体" w:cs="Times New Roman"/>
                      <w:color w:val="auto"/>
                      <w:sz w:val="21"/>
                      <w:szCs w:val="21"/>
                    </w:rPr>
                  </w:pPr>
                </w:p>
              </w:tc>
              <w:tc>
                <w:tcPr>
                  <w:tcW w:w="587" w:type="pct"/>
                  <w:vMerge w:val="continue"/>
                  <w:tcBorders>
                    <w:tl2br w:val="nil"/>
                    <w:tr2bl w:val="nil"/>
                  </w:tcBorders>
                  <w:vAlign w:val="center"/>
                </w:tcPr>
                <w:p w14:paraId="6C7601EF">
                  <w:pPr>
                    <w:pStyle w:val="52"/>
                    <w:snapToGrid w:val="0"/>
                    <w:spacing w:line="240" w:lineRule="auto"/>
                    <w:rPr>
                      <w:rFonts w:hint="default" w:ascii="Times New Roman" w:hAnsi="Times New Roman" w:eastAsia="宋体" w:cs="Times New Roman"/>
                      <w:color w:val="auto"/>
                      <w:sz w:val="21"/>
                      <w:szCs w:val="21"/>
                    </w:rPr>
                  </w:pPr>
                </w:p>
              </w:tc>
            </w:tr>
            <w:tr w14:paraId="25EBDE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vMerge w:val="continue"/>
                  <w:tcBorders>
                    <w:tl2br w:val="nil"/>
                    <w:tr2bl w:val="nil"/>
                  </w:tcBorders>
                  <w:vAlign w:val="center"/>
                </w:tcPr>
                <w:p w14:paraId="28FA42D9">
                  <w:pPr>
                    <w:pStyle w:val="52"/>
                    <w:snapToGrid w:val="0"/>
                    <w:spacing w:line="240" w:lineRule="auto"/>
                    <w:rPr>
                      <w:rFonts w:hint="default" w:ascii="Times New Roman" w:hAnsi="Times New Roman" w:eastAsia="宋体" w:cs="Times New Roman"/>
                      <w:color w:val="auto"/>
                      <w:sz w:val="21"/>
                      <w:szCs w:val="21"/>
                    </w:rPr>
                  </w:pPr>
                </w:p>
              </w:tc>
              <w:tc>
                <w:tcPr>
                  <w:tcW w:w="2159" w:type="pct"/>
                  <w:gridSpan w:val="2"/>
                  <w:tcBorders>
                    <w:tl2br w:val="nil"/>
                    <w:tr2bl w:val="nil"/>
                  </w:tcBorders>
                  <w:vAlign w:val="center"/>
                </w:tcPr>
                <w:p w14:paraId="7B2241F4">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（三）强化排查整治。各地在推动182家企业……废气排放口达到国家及地方VOCs排放控制标准要求。</w:t>
                  </w:r>
                </w:p>
              </w:tc>
              <w:tc>
                <w:tcPr>
                  <w:tcW w:w="1529" w:type="pct"/>
                  <w:vMerge w:val="continue"/>
                  <w:tcBorders>
                    <w:tl2br w:val="nil"/>
                    <w:tr2bl w:val="nil"/>
                  </w:tcBorders>
                  <w:vAlign w:val="center"/>
                </w:tcPr>
                <w:p w14:paraId="0703C9D1">
                  <w:pPr>
                    <w:pStyle w:val="52"/>
                    <w:snapToGrid w:val="0"/>
                    <w:spacing w:line="240" w:lineRule="auto"/>
                    <w:rPr>
                      <w:rFonts w:hint="default" w:ascii="Times New Roman" w:hAnsi="Times New Roman" w:eastAsia="宋体" w:cs="Times New Roman"/>
                      <w:color w:val="auto"/>
                      <w:sz w:val="21"/>
                      <w:szCs w:val="21"/>
                    </w:rPr>
                  </w:pPr>
                </w:p>
              </w:tc>
              <w:tc>
                <w:tcPr>
                  <w:tcW w:w="587" w:type="pct"/>
                  <w:vMerge w:val="continue"/>
                  <w:tcBorders>
                    <w:tl2br w:val="nil"/>
                    <w:tr2bl w:val="nil"/>
                  </w:tcBorders>
                  <w:vAlign w:val="center"/>
                </w:tcPr>
                <w:p w14:paraId="067B7EC1">
                  <w:pPr>
                    <w:pStyle w:val="52"/>
                    <w:snapToGrid w:val="0"/>
                    <w:spacing w:line="240" w:lineRule="auto"/>
                    <w:rPr>
                      <w:rFonts w:hint="default" w:ascii="Times New Roman" w:hAnsi="Times New Roman" w:eastAsia="宋体" w:cs="Times New Roman"/>
                      <w:color w:val="auto"/>
                      <w:sz w:val="21"/>
                      <w:szCs w:val="21"/>
                    </w:rPr>
                  </w:pPr>
                </w:p>
              </w:tc>
            </w:tr>
            <w:tr w14:paraId="3253E0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vMerge w:val="continue"/>
                  <w:tcBorders>
                    <w:tl2br w:val="nil"/>
                    <w:tr2bl w:val="nil"/>
                  </w:tcBorders>
                  <w:vAlign w:val="center"/>
                </w:tcPr>
                <w:p w14:paraId="6D8FB253">
                  <w:pPr>
                    <w:pStyle w:val="52"/>
                    <w:snapToGrid w:val="0"/>
                    <w:spacing w:line="240" w:lineRule="auto"/>
                    <w:rPr>
                      <w:rFonts w:hint="default" w:ascii="Times New Roman" w:hAnsi="Times New Roman" w:eastAsia="宋体" w:cs="Times New Roman"/>
                      <w:color w:val="auto"/>
                      <w:sz w:val="21"/>
                      <w:szCs w:val="21"/>
                    </w:rPr>
                  </w:pPr>
                </w:p>
              </w:tc>
              <w:tc>
                <w:tcPr>
                  <w:tcW w:w="2159" w:type="pct"/>
                  <w:gridSpan w:val="2"/>
                  <w:tcBorders>
                    <w:tl2br w:val="nil"/>
                    <w:tr2bl w:val="nil"/>
                  </w:tcBorders>
                  <w:vAlign w:val="center"/>
                </w:tcPr>
                <w:p w14:paraId="2A603931">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（四）建立正面清单。各地要将全部生产水性、粉末、无溶剂、辐射固化涂料以及水性……源头替代示范性企业。</w:t>
                  </w:r>
                </w:p>
              </w:tc>
              <w:tc>
                <w:tcPr>
                  <w:tcW w:w="1529" w:type="pct"/>
                  <w:vMerge w:val="continue"/>
                  <w:tcBorders>
                    <w:tl2br w:val="nil"/>
                    <w:tr2bl w:val="nil"/>
                  </w:tcBorders>
                  <w:vAlign w:val="center"/>
                </w:tcPr>
                <w:p w14:paraId="6C46B0B9">
                  <w:pPr>
                    <w:pStyle w:val="52"/>
                    <w:snapToGrid w:val="0"/>
                    <w:spacing w:line="240" w:lineRule="auto"/>
                    <w:rPr>
                      <w:rFonts w:hint="default" w:ascii="Times New Roman" w:hAnsi="Times New Roman" w:eastAsia="宋体" w:cs="Times New Roman"/>
                      <w:color w:val="auto"/>
                      <w:sz w:val="21"/>
                      <w:szCs w:val="21"/>
                    </w:rPr>
                  </w:pPr>
                </w:p>
              </w:tc>
              <w:tc>
                <w:tcPr>
                  <w:tcW w:w="587" w:type="pct"/>
                  <w:vMerge w:val="continue"/>
                  <w:tcBorders>
                    <w:tl2br w:val="nil"/>
                    <w:tr2bl w:val="nil"/>
                  </w:tcBorders>
                  <w:vAlign w:val="center"/>
                </w:tcPr>
                <w:p w14:paraId="35C0B1A4">
                  <w:pPr>
                    <w:pStyle w:val="52"/>
                    <w:snapToGrid w:val="0"/>
                    <w:spacing w:line="240" w:lineRule="auto"/>
                    <w:rPr>
                      <w:rFonts w:hint="default" w:ascii="Times New Roman" w:hAnsi="Times New Roman" w:eastAsia="宋体" w:cs="Times New Roman"/>
                      <w:color w:val="auto"/>
                      <w:sz w:val="21"/>
                      <w:szCs w:val="21"/>
                    </w:rPr>
                  </w:pPr>
                </w:p>
              </w:tc>
            </w:tr>
            <w:tr w14:paraId="48CC74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tcBorders>
                    <w:tl2br w:val="nil"/>
                    <w:tr2bl w:val="nil"/>
                  </w:tcBorders>
                  <w:vAlign w:val="center"/>
                </w:tcPr>
                <w:p w14:paraId="5BD6E3F2">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《关于印发江苏省重点行业挥发性有机物污染整治方案的通知》（苏环办〔2015〕19号）、《江苏省挥发性有机物污染防治管理办法》（省政府令第119号）</w:t>
                  </w:r>
                </w:p>
              </w:tc>
              <w:tc>
                <w:tcPr>
                  <w:tcW w:w="2159" w:type="pct"/>
                  <w:gridSpan w:val="2"/>
                  <w:tcBorders>
                    <w:tl2br w:val="nil"/>
                    <w:tr2bl w:val="nil"/>
                  </w:tcBorders>
                  <w:vAlign w:val="center"/>
                </w:tcPr>
                <w:p w14:paraId="729AB25C">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管理办法规定：</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①排放挥发性有机物的生产经营者应当履行防治挥发性有机物污染的义务，根据国家和省相关标准以及防治技术指南，采用挥发性有机物污染控制技术，规范操作规程，组织生产经营管理，确保挥发性有机物的排放符合相应的排放标准。②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无法在密闭空间进行的生产经营活动应当采取有效措施，减少挥发性有机物排放量</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p>
              </w:tc>
              <w:tc>
                <w:tcPr>
                  <w:tcW w:w="1529" w:type="pct"/>
                  <w:tcBorders>
                    <w:tl2br w:val="nil"/>
                    <w:tr2bl w:val="nil"/>
                  </w:tcBorders>
                  <w:vAlign w:val="center"/>
                </w:tcPr>
                <w:p w14:paraId="64C5E7D5">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有机废气经集气罩收集</w:t>
                  </w:r>
                  <w:r>
                    <w:rPr>
                      <w:rFonts w:hint="default" w:ascii="Times New Roman" w:hAnsi="Times New Roman" w:eastAsia="宋体" w:cs="Times New Roman"/>
                      <w:color w:val="auto"/>
                      <w:sz w:val="21"/>
                      <w:szCs w:val="21"/>
                    </w:rPr>
                    <w:t>；通过严格落实污染防治措施，可做到污染可控。</w:t>
                  </w:r>
                </w:p>
              </w:tc>
              <w:tc>
                <w:tcPr>
                  <w:tcW w:w="587" w:type="pct"/>
                  <w:tcBorders>
                    <w:tl2br w:val="nil"/>
                    <w:tr2bl w:val="nil"/>
                  </w:tcBorders>
                  <w:vAlign w:val="center"/>
                </w:tcPr>
                <w:p w14:paraId="7720DCF0">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2A45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vMerge w:val="restart"/>
                  <w:tcBorders>
                    <w:tl2br w:val="nil"/>
                    <w:tr2bl w:val="nil"/>
                  </w:tcBorders>
                  <w:vAlign w:val="center"/>
                </w:tcPr>
                <w:p w14:paraId="5C9E0131">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《关于印发常州市2022年大气污染防治工作计划的通知》（常大气办〔2022〕1号）</w:t>
                  </w:r>
                </w:p>
              </w:tc>
              <w:tc>
                <w:tcPr>
                  <w:tcW w:w="810" w:type="pct"/>
                  <w:tcBorders>
                    <w:tl2br w:val="nil"/>
                    <w:tr2bl w:val="nil"/>
                  </w:tcBorders>
                  <w:vAlign w:val="center"/>
                </w:tcPr>
                <w:p w14:paraId="396ED69C">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（一）调整优化产业结构，推进产业绿色发展</w:t>
                  </w:r>
                </w:p>
              </w:tc>
              <w:tc>
                <w:tcPr>
                  <w:tcW w:w="1349" w:type="pct"/>
                  <w:tcBorders>
                    <w:tl2br w:val="nil"/>
                    <w:tr2bl w:val="nil"/>
                  </w:tcBorders>
                  <w:vAlign w:val="center"/>
                </w:tcPr>
                <w:p w14:paraId="182ADA91">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1、坚决遏制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两高</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项目盲目发展。……2、依法依规淘汰落后产能和化解过剩产能。……3、推进产业结构转型升级。……</w:t>
                  </w:r>
                </w:p>
              </w:tc>
              <w:tc>
                <w:tcPr>
                  <w:tcW w:w="1529" w:type="pct"/>
                  <w:tcBorders>
                    <w:tl2br w:val="nil"/>
                    <w:tr2bl w:val="nil"/>
                  </w:tcBorders>
                  <w:vAlign w:val="center"/>
                </w:tcPr>
                <w:p w14:paraId="70187452">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两高</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中限制的项目。</w:t>
                  </w:r>
                </w:p>
              </w:tc>
              <w:tc>
                <w:tcPr>
                  <w:tcW w:w="587" w:type="pct"/>
                  <w:tcBorders>
                    <w:tl2br w:val="nil"/>
                    <w:tr2bl w:val="nil"/>
                  </w:tcBorders>
                  <w:vAlign w:val="center"/>
                </w:tcPr>
                <w:p w14:paraId="39F8FFBB">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E4685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vMerge w:val="continue"/>
                  <w:tcBorders>
                    <w:tl2br w:val="nil"/>
                    <w:tr2bl w:val="nil"/>
                  </w:tcBorders>
                  <w:vAlign w:val="center"/>
                </w:tcPr>
                <w:p w14:paraId="74E2E2E4">
                  <w:pPr>
                    <w:pStyle w:val="52"/>
                    <w:snapToGrid w:val="0"/>
                    <w:spacing w:line="240" w:lineRule="auto"/>
                    <w:rPr>
                      <w:rFonts w:hint="default" w:ascii="Times New Roman" w:hAnsi="Times New Roman" w:eastAsia="宋体" w:cs="Times New Roman"/>
                      <w:color w:val="auto"/>
                      <w:sz w:val="21"/>
                      <w:szCs w:val="21"/>
                    </w:rPr>
                  </w:pPr>
                </w:p>
              </w:tc>
              <w:tc>
                <w:tcPr>
                  <w:tcW w:w="810" w:type="pct"/>
                  <w:tcBorders>
                    <w:tl2br w:val="nil"/>
                    <w:tr2bl w:val="nil"/>
                  </w:tcBorders>
                  <w:vAlign w:val="center"/>
                </w:tcPr>
                <w:p w14:paraId="070F583A">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（二）优化能源结构，推进能源清洁低碳发展</w:t>
                  </w:r>
                </w:p>
              </w:tc>
              <w:tc>
                <w:tcPr>
                  <w:tcW w:w="1349" w:type="pct"/>
                  <w:tcBorders>
                    <w:tl2br w:val="nil"/>
                    <w:tr2bl w:val="nil"/>
                  </w:tcBorders>
                  <w:vAlign w:val="center"/>
                </w:tcPr>
                <w:p w14:paraId="7C7562C6">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4、优化能源结构。有序淘汰煤电行业落后产能……5、大力发展清洁能源。……</w:t>
                  </w:r>
                </w:p>
              </w:tc>
              <w:tc>
                <w:tcPr>
                  <w:tcW w:w="1529" w:type="pct"/>
                  <w:tcBorders>
                    <w:tl2br w:val="nil"/>
                    <w:tr2bl w:val="nil"/>
                  </w:tcBorders>
                  <w:vAlign w:val="center"/>
                </w:tcPr>
                <w:p w14:paraId="5136C677">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本项目不使用煤炭，仅使用电能。</w:t>
                  </w:r>
                </w:p>
              </w:tc>
              <w:tc>
                <w:tcPr>
                  <w:tcW w:w="587" w:type="pct"/>
                  <w:tcBorders>
                    <w:tl2br w:val="nil"/>
                    <w:tr2bl w:val="nil"/>
                  </w:tcBorders>
                  <w:vAlign w:val="center"/>
                </w:tcPr>
                <w:p w14:paraId="253FE94F">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10B79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vMerge w:val="continue"/>
                  <w:tcBorders>
                    <w:tl2br w:val="nil"/>
                    <w:tr2bl w:val="nil"/>
                  </w:tcBorders>
                  <w:vAlign w:val="center"/>
                </w:tcPr>
                <w:p w14:paraId="1E90A3F9">
                  <w:pPr>
                    <w:pStyle w:val="52"/>
                    <w:snapToGrid w:val="0"/>
                    <w:spacing w:line="240" w:lineRule="auto"/>
                    <w:rPr>
                      <w:rFonts w:hint="default" w:ascii="Times New Roman" w:hAnsi="Times New Roman" w:eastAsia="宋体" w:cs="Times New Roman"/>
                      <w:color w:val="auto"/>
                      <w:sz w:val="21"/>
                      <w:szCs w:val="21"/>
                    </w:rPr>
                  </w:pPr>
                </w:p>
              </w:tc>
              <w:tc>
                <w:tcPr>
                  <w:tcW w:w="810" w:type="pct"/>
                  <w:tcBorders>
                    <w:tl2br w:val="nil"/>
                    <w:tr2bl w:val="nil"/>
                  </w:tcBorders>
                  <w:vAlign w:val="center"/>
                </w:tcPr>
                <w:p w14:paraId="2B5391A6">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（四）强化协同减排，切实降低VOCs和氮氧化物排放水平</w:t>
                  </w:r>
                </w:p>
              </w:tc>
              <w:tc>
                <w:tcPr>
                  <w:tcW w:w="1349" w:type="pct"/>
                  <w:tcBorders>
                    <w:tl2br w:val="nil"/>
                    <w:tr2bl w:val="nil"/>
                  </w:tcBorders>
                  <w:vAlign w:val="center"/>
                </w:tcPr>
                <w:p w14:paraId="0964DB03">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10、大力推进VOCs含量清洁原料替代。……11、强化VOCs全流程、全环节综合治理。……</w:t>
                  </w:r>
                </w:p>
              </w:tc>
              <w:tc>
                <w:tcPr>
                  <w:tcW w:w="1529" w:type="pct"/>
                  <w:tcBorders>
                    <w:tl2br w:val="nil"/>
                    <w:tr2bl w:val="nil"/>
                  </w:tcBorders>
                  <w:vAlign w:val="center"/>
                </w:tcPr>
                <w:p w14:paraId="2780C148">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本项目所使用的</w:t>
                  </w:r>
                  <w:r>
                    <w:rPr>
                      <w:rFonts w:hint="default" w:ascii="Times New Roman" w:hAnsi="Times New Roman" w:eastAsia="宋体" w:cs="Times New Roman"/>
                      <w:color w:val="auto"/>
                      <w:sz w:val="21"/>
                      <w:szCs w:val="21"/>
                      <w:lang w:val="en-US" w:eastAsia="zh-CN"/>
                    </w:rPr>
                    <w:t>碳氢清洗剂</w:t>
                  </w:r>
                  <w:r>
                    <w:rPr>
                      <w:rFonts w:hint="default" w:ascii="Times New Roman" w:hAnsi="Times New Roman" w:eastAsia="宋体" w:cs="Times New Roman"/>
                      <w:color w:val="auto"/>
                      <w:sz w:val="21"/>
                      <w:szCs w:val="21"/>
                    </w:rPr>
                    <w:t>符合</w:t>
                  </w:r>
                  <w:r>
                    <w:rPr>
                      <w:rFonts w:hint="default" w:ascii="Times New Roman" w:hAnsi="Times New Roman" w:eastAsia="宋体" w:cs="Times New Roman"/>
                      <w:color w:val="auto"/>
                      <w:sz w:val="21"/>
                      <w:szCs w:val="21"/>
                      <w:lang w:val="en-US" w:eastAsia="zh-CN"/>
                    </w:rPr>
                    <w:t>《清洗剂挥发性有机化合物含量限值》（GB 38508-2020</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中表1有机溶剂清洗剂限值要求（900g/L）</w:t>
                  </w:r>
                  <w:r>
                    <w:rPr>
                      <w:rFonts w:hint="default" w:ascii="Times New Roman" w:hAnsi="Times New Roman" w:eastAsia="宋体" w:cs="Times New Roman"/>
                      <w:color w:val="auto"/>
                      <w:sz w:val="21"/>
                      <w:szCs w:val="21"/>
                    </w:rPr>
                    <w:t>。</w:t>
                  </w:r>
                </w:p>
              </w:tc>
              <w:tc>
                <w:tcPr>
                  <w:tcW w:w="587" w:type="pct"/>
                  <w:tcBorders>
                    <w:tl2br w:val="nil"/>
                    <w:tr2bl w:val="nil"/>
                  </w:tcBorders>
                  <w:vAlign w:val="center"/>
                </w:tcPr>
                <w:p w14:paraId="13326EC0">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D949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tcBorders>
                    <w:tl2br w:val="nil"/>
                    <w:tr2bl w:val="nil"/>
                  </w:tcBorders>
                  <w:vAlign w:val="center"/>
                </w:tcPr>
                <w:p w14:paraId="07676CE9">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《江苏省大气污染防治条例》（江苏省人民代表大会公告第2号）</w:t>
                  </w:r>
                </w:p>
              </w:tc>
              <w:tc>
                <w:tcPr>
                  <w:tcW w:w="2159" w:type="pct"/>
                  <w:gridSpan w:val="2"/>
                  <w:tcBorders>
                    <w:tl2br w:val="nil"/>
                    <w:tr2bl w:val="nil"/>
                  </w:tcBorders>
                  <w:vAlign w:val="center"/>
                </w:tcPr>
                <w:p w14:paraId="5076EF70">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十八条在生产经营过程中产生有毒有害大气污染物的，排污单位应当安装收集净化装置或者采取其他措施，达到国家和省规定的排放标准或者其他相关要求。禁止直接排放有毒有害大气污染物。运输、装卸、贮存可能散发有毒有害大气污染物的物料，应当采取密闭措施或者其他防护措施。</w:t>
                  </w:r>
                </w:p>
                <w:p w14:paraId="48836F27">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条例规定：</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产生挥发性有机物废气的生产经营活动，应当在密闭空间或者设备中进行，并设置废气收集和处理系统等污染防治设施，保持其正常使用；造船等无法在密闭空间进行的生产经营活动，应当采取有效措施，减少挥发性有机物排放量</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p>
              </w:tc>
              <w:tc>
                <w:tcPr>
                  <w:tcW w:w="1529" w:type="pct"/>
                  <w:tcBorders>
                    <w:tl2br w:val="nil"/>
                    <w:tr2bl w:val="nil"/>
                  </w:tcBorders>
                  <w:vAlign w:val="center"/>
                </w:tcPr>
                <w:p w14:paraId="7560DC75">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本项目生产车间设置废气收集装置以及处理装置，经有效措施处理后有组织排放，减少挥发性有机物的排放；通过严格落实污染防治措施，可做到污染可控。</w:t>
                  </w:r>
                </w:p>
              </w:tc>
              <w:tc>
                <w:tcPr>
                  <w:tcW w:w="587" w:type="pct"/>
                  <w:tcBorders>
                    <w:tl2br w:val="nil"/>
                    <w:tr2bl w:val="nil"/>
                  </w:tcBorders>
                  <w:vAlign w:val="center"/>
                </w:tcPr>
                <w:p w14:paraId="63CC1F0B">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C1F14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tcBorders>
                    <w:tl2br w:val="nil"/>
                    <w:tr2bl w:val="nil"/>
                  </w:tcBorders>
                  <w:vAlign w:val="center"/>
                </w:tcPr>
                <w:p w14:paraId="2D1957B1">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《关于印发江苏省重点行业挥发性有机物污染控制指南的通知》（苏环办〔2014〕128号）</w:t>
                  </w:r>
                </w:p>
              </w:tc>
              <w:tc>
                <w:tcPr>
                  <w:tcW w:w="2159" w:type="pct"/>
                  <w:gridSpan w:val="2"/>
                  <w:tcBorders>
                    <w:tl2br w:val="nil"/>
                    <w:tr2bl w:val="nil"/>
                  </w:tcBorders>
                  <w:vAlign w:val="center"/>
                </w:tcPr>
                <w:p w14:paraId="4B678B50">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①所有产生有机废气污染的企业，应优先采用环保型原辅料、生产工艺和装备，对相应生产单元或设施进行密闭，从源头控制VOCs的产生，减少废气污染物排放。②鼓励对排放的VOCs进行回收利用，并优先在生产系统内回用。对浓度、性状差异较大的废气应分类收集，并采用适宜的方式进行有效处理，确保VOCs总去除率满足管理要求，其中有机化工、医药化工、橡胶和塑料制品（有机溶剂浸胶工艺）、溶剂型涂料表面涂装、包装印刷业的VOCs总收集、净化处理率均不低于90%，其他行业原则上不低于75%。</w:t>
                  </w:r>
                </w:p>
              </w:tc>
              <w:tc>
                <w:tcPr>
                  <w:tcW w:w="1529" w:type="pct"/>
                  <w:tcBorders>
                    <w:tl2br w:val="nil"/>
                    <w:tr2bl w:val="nil"/>
                  </w:tcBorders>
                  <w:vAlign w:val="center"/>
                </w:tcPr>
                <w:p w14:paraId="61827F41">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拟采用环保型原辅料、生产工艺和装备，对相应生产单元或设施已进行密闭；各工段产生的有机废气收集后经二级活性炭吸附处理后通过排气筒排放，处理效率取90%；各原辅料均按规定存储在原辅料仓库中。</w:t>
                  </w:r>
                </w:p>
              </w:tc>
              <w:tc>
                <w:tcPr>
                  <w:tcW w:w="587" w:type="pct"/>
                  <w:tcBorders>
                    <w:tl2br w:val="nil"/>
                    <w:tr2bl w:val="nil"/>
                  </w:tcBorders>
                  <w:vAlign w:val="center"/>
                </w:tcPr>
                <w:p w14:paraId="0C807B37">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F013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vMerge w:val="restart"/>
                  <w:tcBorders>
                    <w:tl2br w:val="nil"/>
                    <w:tr2bl w:val="nil"/>
                  </w:tcBorders>
                  <w:vAlign w:val="center"/>
                </w:tcPr>
                <w:p w14:paraId="7F7CA6EB">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《关于印发江苏省2020年挥发性有机物专项治理工作方案的通知》（苏大气办〔2020〕33号）</w:t>
                  </w:r>
                </w:p>
              </w:tc>
              <w:tc>
                <w:tcPr>
                  <w:tcW w:w="2159" w:type="pct"/>
                  <w:gridSpan w:val="2"/>
                  <w:tcBorders>
                    <w:tl2br w:val="nil"/>
                    <w:tr2bl w:val="nil"/>
                  </w:tcBorders>
                  <w:vAlign w:val="center"/>
                </w:tcPr>
                <w:p w14:paraId="0719F35D">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大力推进源头替代，有效减少VOCs产生；全面落实标准要求，强化无组织排放控制；聚焦治污设施</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三率</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，提升综合治理效率。</w:t>
                  </w:r>
                </w:p>
              </w:tc>
              <w:tc>
                <w:tcPr>
                  <w:tcW w:w="1529" w:type="pct"/>
                  <w:tcBorders>
                    <w:tl2br w:val="nil"/>
                    <w:tr2bl w:val="nil"/>
                  </w:tcBorders>
                  <w:vAlign w:val="center"/>
                </w:tcPr>
                <w:p w14:paraId="7B40E4A5">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本项目拟采用环保型原辅料、生产工艺和装备，对相应生产单元或设施已进行密闭。</w:t>
                  </w:r>
                </w:p>
              </w:tc>
              <w:tc>
                <w:tcPr>
                  <w:tcW w:w="587" w:type="pct"/>
                  <w:tcBorders>
                    <w:tl2br w:val="nil"/>
                    <w:tr2bl w:val="nil"/>
                  </w:tcBorders>
                  <w:vAlign w:val="center"/>
                </w:tcPr>
                <w:p w14:paraId="6D8AE862">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9A22F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vMerge w:val="continue"/>
                  <w:tcBorders>
                    <w:tl2br w:val="nil"/>
                    <w:tr2bl w:val="nil"/>
                  </w:tcBorders>
                  <w:vAlign w:val="center"/>
                </w:tcPr>
                <w:p w14:paraId="32C02151">
                  <w:pPr>
                    <w:pStyle w:val="52"/>
                    <w:snapToGrid w:val="0"/>
                    <w:spacing w:line="240" w:lineRule="auto"/>
                    <w:rPr>
                      <w:rFonts w:hint="default" w:ascii="Times New Roman" w:hAnsi="Times New Roman" w:eastAsia="宋体" w:cs="Times New Roman"/>
                      <w:color w:val="auto"/>
                      <w:sz w:val="21"/>
                      <w:szCs w:val="21"/>
                    </w:rPr>
                  </w:pPr>
                </w:p>
              </w:tc>
              <w:tc>
                <w:tcPr>
                  <w:tcW w:w="2159" w:type="pct"/>
                  <w:gridSpan w:val="2"/>
                  <w:tcBorders>
                    <w:tl2br w:val="nil"/>
                    <w:tr2bl w:val="nil"/>
                  </w:tcBorders>
                  <w:vAlign w:val="center"/>
                </w:tcPr>
                <w:p w14:paraId="477B7F38">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在无组织排放排查整治过程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吸附剂等通过加盖、封装等方式密闭，妥善存放，不得随意丢弃，7月15日前集中清运一次，交有资质的单位处置；</w:t>
                  </w:r>
                </w:p>
              </w:tc>
              <w:tc>
                <w:tcPr>
                  <w:tcW w:w="1529" w:type="pct"/>
                  <w:tcBorders>
                    <w:tl2br w:val="nil"/>
                    <w:tr2bl w:val="nil"/>
                  </w:tcBorders>
                  <w:vAlign w:val="center"/>
                </w:tcPr>
                <w:p w14:paraId="1277352B">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本项目含VOCs的各原辅料均按规定存储在原辅料仓库中，在非取用状态时应加盖、封口，保持密闭；在废气处理过程中产生的废活性炭密闭存储于危废仓库中。</w:t>
                  </w:r>
                </w:p>
              </w:tc>
              <w:tc>
                <w:tcPr>
                  <w:tcW w:w="587" w:type="pct"/>
                  <w:tcBorders>
                    <w:tl2br w:val="nil"/>
                    <w:tr2bl w:val="nil"/>
                  </w:tcBorders>
                  <w:vAlign w:val="center"/>
                </w:tcPr>
                <w:p w14:paraId="1787A2B3">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1C5E5F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vMerge w:val="continue"/>
                  <w:tcBorders>
                    <w:tl2br w:val="nil"/>
                    <w:tr2bl w:val="nil"/>
                  </w:tcBorders>
                  <w:vAlign w:val="center"/>
                </w:tcPr>
                <w:p w14:paraId="45E7886E">
                  <w:pPr>
                    <w:pStyle w:val="52"/>
                    <w:snapToGrid w:val="0"/>
                    <w:spacing w:line="240" w:lineRule="auto"/>
                    <w:rPr>
                      <w:rFonts w:hint="default" w:ascii="Times New Roman" w:hAnsi="Times New Roman" w:eastAsia="宋体" w:cs="Times New Roman"/>
                      <w:color w:val="auto"/>
                      <w:sz w:val="21"/>
                      <w:szCs w:val="21"/>
                    </w:rPr>
                  </w:pPr>
                </w:p>
              </w:tc>
              <w:tc>
                <w:tcPr>
                  <w:tcW w:w="2159" w:type="pct"/>
                  <w:gridSpan w:val="2"/>
                  <w:tcBorders>
                    <w:tl2br w:val="nil"/>
                    <w:tr2bl w:val="nil"/>
                  </w:tcBorders>
                  <w:vAlign w:val="center"/>
                </w:tcPr>
                <w:p w14:paraId="0475CAA1">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污染源监测能力建设，将排气口高度超过45米的高架源，以及石化、化工、包装印刷、工业涂装等VOCs排放重点源，依法纳入重点排污单位名录，全面完成烟气排放自动监控设施安装并与生态环境部门联网。加强对企业自行监测及第三方检测机构的监督管理，提高企业自行监测数据质量。</w:t>
                  </w:r>
                </w:p>
              </w:tc>
              <w:tc>
                <w:tcPr>
                  <w:tcW w:w="1529" w:type="pct"/>
                  <w:tcBorders>
                    <w:tl2br w:val="nil"/>
                    <w:tr2bl w:val="nil"/>
                  </w:tcBorders>
                  <w:vAlign w:val="center"/>
                </w:tcPr>
                <w:p w14:paraId="3041D348">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本项目不属于VOCs排放重点源，本项目已按照《排污单位自行监测技术指南》等相关技术规范设定了污染物自行监测计划。</w:t>
                  </w:r>
                </w:p>
              </w:tc>
              <w:tc>
                <w:tcPr>
                  <w:tcW w:w="587" w:type="pct"/>
                  <w:tcBorders>
                    <w:tl2br w:val="nil"/>
                    <w:tr2bl w:val="nil"/>
                  </w:tcBorders>
                  <w:vAlign w:val="center"/>
                </w:tcPr>
                <w:p w14:paraId="6BF16F4C">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3AF59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tcBorders>
                    <w:tl2br w:val="nil"/>
                    <w:tr2bl w:val="nil"/>
                  </w:tcBorders>
                  <w:vAlign w:val="center"/>
                </w:tcPr>
                <w:p w14:paraId="30B5E3CB">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《关于印发重点行业挥发性有机物综合治理方案的通知》（环大气〔2019〕53号）</w:t>
                  </w:r>
                </w:p>
              </w:tc>
              <w:tc>
                <w:tcPr>
                  <w:tcW w:w="2159" w:type="pct"/>
                  <w:gridSpan w:val="2"/>
                  <w:tcBorders>
                    <w:tl2br w:val="nil"/>
                    <w:tr2bl w:val="nil"/>
                  </w:tcBorders>
                  <w:vAlign w:val="center"/>
                </w:tcPr>
                <w:p w14:paraId="76DE9468">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全面加强无组织排放控制。加强设备与场所密闭管理。含VOCs物料应储存于密闭容器、包装袋，高效密封储罐，封闭式储库、料仓等。含VOCs物料转移和输送，应采用密闭管道或密闭容器、罐车等。高VOCs含量废水（废水液面上方100毫米处VOCs检测浓度超过200ppm，其中，重点区域超过100ppm，以碳计）的集输、储存和处理过程，应加盖密闭。含VOCs物料生产和使用过程，应采取有效收集措施或在密闭空间中操作。</w:t>
                  </w:r>
                </w:p>
                <w:p w14:paraId="798CF47F">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提高废气收集率。遵循</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应收尽收、分质收集</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1529" w:type="pct"/>
                  <w:tcBorders>
                    <w:tl2br w:val="nil"/>
                    <w:tr2bl w:val="nil"/>
                  </w:tcBorders>
                  <w:vAlign w:val="center"/>
                </w:tcPr>
                <w:p w14:paraId="30F713AB">
                  <w:pPr>
                    <w:jc w:val="left"/>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含VOCs的各原辅料均按规定存储在原辅料仓库中，在非取用状态时应加盖、封口，保持密闭；各工段产生的有机废气收集后经二级活性炭吸附处理后通过排气筒排放，处理效率取90%；在废气处理过程中产生的废活性炭密闭存储于危废仓库中。</w:t>
                  </w:r>
                </w:p>
              </w:tc>
              <w:tc>
                <w:tcPr>
                  <w:tcW w:w="587" w:type="pct"/>
                  <w:tcBorders>
                    <w:tl2br w:val="nil"/>
                    <w:tr2bl w:val="nil"/>
                  </w:tcBorders>
                  <w:vAlign w:val="center"/>
                </w:tcPr>
                <w:p w14:paraId="60AD21AD">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7EE3D4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723" w:type="pct"/>
                  <w:tcBorders>
                    <w:tl2br w:val="nil"/>
                    <w:tr2bl w:val="nil"/>
                  </w:tcBorders>
                  <w:vAlign w:val="center"/>
                </w:tcPr>
                <w:p w14:paraId="7099E1FC">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《关于切实加强产业园区规划环境影响评价工作的通知》（苏环办〔2017〕140号）</w:t>
                  </w:r>
                </w:p>
              </w:tc>
              <w:tc>
                <w:tcPr>
                  <w:tcW w:w="2159" w:type="pct"/>
                  <w:gridSpan w:val="2"/>
                  <w:tcBorders>
                    <w:tl2br w:val="nil"/>
                    <w:tr2bl w:val="nil"/>
                  </w:tcBorders>
                  <w:vAlign w:val="center"/>
                </w:tcPr>
                <w:p w14:paraId="5256233D">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根据《关于切实加强产业园区规划环境影响评价工作的通知》（苏环办〔2017〕140号）中要求</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规划环评要作为规划所包含项目环评的重要依据，对于不符合规划环评结论及审查意见的项目环评，依法不予审批</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p>
              </w:tc>
              <w:tc>
                <w:tcPr>
                  <w:tcW w:w="1529" w:type="pct"/>
                  <w:tcBorders>
                    <w:tl2br w:val="nil"/>
                    <w:tr2bl w:val="nil"/>
                  </w:tcBorders>
                  <w:vAlign w:val="center"/>
                </w:tcPr>
                <w:p w14:paraId="614554D8">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本项目符合园区规划</w:t>
                  </w:r>
                </w:p>
              </w:tc>
              <w:tc>
                <w:tcPr>
                  <w:tcW w:w="587" w:type="pct"/>
                  <w:tcBorders>
                    <w:tl2br w:val="nil"/>
                    <w:tr2bl w:val="nil"/>
                  </w:tcBorders>
                  <w:vAlign w:val="center"/>
                </w:tcPr>
                <w:p w14:paraId="476156F6">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2A915A82">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5、项目与《省生态环境厅关于进一步做好建设项目环评审批工作的通知》（苏环办〔2019〕36号）相符性，分析如下。</w:t>
            </w:r>
          </w:p>
          <w:p w14:paraId="3AB594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 xml:space="preserve">表1-9  </w:t>
            </w:r>
            <w:r>
              <w:rPr>
                <w:rFonts w:hint="default" w:ascii="Times New Roman" w:hAnsi="Times New Roman" w:eastAsia="宋体" w:cs="Times New Roman"/>
                <w:b/>
                <w:bCs/>
                <w:color w:val="auto"/>
                <w:sz w:val="24"/>
                <w:szCs w:val="24"/>
              </w:rPr>
              <w:t>与省生态环境厅关于进一步做好建设项目环评审批工作的通知相符性对照分析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3726"/>
              <w:gridCol w:w="1515"/>
              <w:gridCol w:w="909"/>
            </w:tblGrid>
            <w:tr w14:paraId="38AE70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2" w:type="pct"/>
                  <w:tcBorders>
                    <w:tl2br w:val="nil"/>
                    <w:tr2bl w:val="nil"/>
                  </w:tcBorders>
                  <w:shd w:val="clear" w:color="auto" w:fill="auto"/>
                  <w:vAlign w:val="center"/>
                </w:tcPr>
                <w:p w14:paraId="75789D6A">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相关文献</w:t>
                  </w:r>
                </w:p>
              </w:tc>
              <w:tc>
                <w:tcPr>
                  <w:tcW w:w="2427" w:type="pct"/>
                  <w:tcBorders>
                    <w:tl2br w:val="nil"/>
                    <w:tr2bl w:val="nil"/>
                  </w:tcBorders>
                  <w:shd w:val="clear" w:color="auto" w:fill="auto"/>
                  <w:vAlign w:val="center"/>
                </w:tcPr>
                <w:p w14:paraId="2EE410D5">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通知内容</w:t>
                  </w:r>
                </w:p>
              </w:tc>
              <w:tc>
                <w:tcPr>
                  <w:tcW w:w="987" w:type="pct"/>
                  <w:tcBorders>
                    <w:tl2br w:val="nil"/>
                    <w:tr2bl w:val="nil"/>
                  </w:tcBorders>
                  <w:shd w:val="clear" w:color="auto" w:fill="auto"/>
                  <w:vAlign w:val="center"/>
                </w:tcPr>
                <w:p w14:paraId="2C089EF9">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592" w:type="pct"/>
                  <w:tcBorders>
                    <w:tl2br w:val="nil"/>
                    <w:tr2bl w:val="nil"/>
                  </w:tcBorders>
                  <w:shd w:val="clear" w:color="auto" w:fill="auto"/>
                  <w:vAlign w:val="center"/>
                </w:tcPr>
                <w:p w14:paraId="0F3FC40E">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相符性论证</w:t>
                  </w:r>
                </w:p>
              </w:tc>
            </w:tr>
            <w:tr w14:paraId="549AFD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2" w:type="pct"/>
                  <w:tcBorders>
                    <w:tl2br w:val="nil"/>
                    <w:tr2bl w:val="nil"/>
                  </w:tcBorders>
                  <w:shd w:val="clear" w:color="auto" w:fill="auto"/>
                  <w:vAlign w:val="center"/>
                </w:tcPr>
                <w:p w14:paraId="438B08F1">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《建设项目环境保护管理条例》</w:t>
                  </w:r>
                </w:p>
              </w:tc>
              <w:tc>
                <w:tcPr>
                  <w:tcW w:w="2427" w:type="pct"/>
                  <w:tcBorders>
                    <w:tl2br w:val="nil"/>
                    <w:tr2bl w:val="nil"/>
                  </w:tcBorders>
                  <w:shd w:val="clear" w:color="auto" w:fill="auto"/>
                  <w:vAlign w:val="center"/>
                </w:tcPr>
                <w:p w14:paraId="3CA3A1E3">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w:t>
                  </w:r>
                  <w:r>
                    <w:rPr>
                      <w:rFonts w:hint="eastAsia" w:ascii="Times New Roman" w:hAnsi="Times New Roman" w:eastAsia="宋体" w:cs="Times New Roman"/>
                      <w:color w:val="auto"/>
                      <w:sz w:val="21"/>
                      <w:szCs w:val="21"/>
                      <w:lang w:val="en-US" w:eastAsia="zh-CN"/>
                    </w:rPr>
                    <w:t>防治</w:t>
                  </w:r>
                  <w:r>
                    <w:rPr>
                      <w:rFonts w:hint="default" w:ascii="Times New Roman" w:hAnsi="Times New Roman" w:eastAsia="宋体" w:cs="Times New Roman"/>
                      <w:color w:val="auto"/>
                      <w:sz w:val="21"/>
                      <w:szCs w:val="21"/>
                    </w:rPr>
                    <w:t>措施；（5）建设项目的环境影响报告书、环境影响报告表的基础资料数据明显不实，内容存在重大缺陷、遗漏，或者环境影响评价结论不明确、不合理。</w:t>
                  </w:r>
                </w:p>
              </w:tc>
              <w:tc>
                <w:tcPr>
                  <w:tcW w:w="987" w:type="pct"/>
                  <w:tcBorders>
                    <w:tl2br w:val="nil"/>
                    <w:tr2bl w:val="nil"/>
                  </w:tcBorders>
                  <w:shd w:val="clear" w:color="auto" w:fill="auto"/>
                  <w:vAlign w:val="center"/>
                </w:tcPr>
                <w:p w14:paraId="2C906CE0">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设项目类型及其选址、布局、规模等符合环境保护法律法规和相关法定规划；（2）项目所在地金坛区为环境质量不达标区，项目拟采取的措施满足现有环保要求；（3）建设项目采取的污染防治措施确保污染物排放达到国家和地方排放标准。</w:t>
                  </w:r>
                </w:p>
              </w:tc>
              <w:tc>
                <w:tcPr>
                  <w:tcW w:w="592" w:type="pct"/>
                  <w:tcBorders>
                    <w:tl2br w:val="nil"/>
                    <w:tr2bl w:val="nil"/>
                  </w:tcBorders>
                  <w:shd w:val="clear" w:color="auto" w:fill="auto"/>
                  <w:vAlign w:val="center"/>
                </w:tcPr>
                <w:p w14:paraId="01F28FA9">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92B9C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2" w:type="pct"/>
                  <w:tcBorders>
                    <w:tl2br w:val="nil"/>
                    <w:tr2bl w:val="nil"/>
                  </w:tcBorders>
                  <w:shd w:val="clear" w:color="auto" w:fill="auto"/>
                  <w:vAlign w:val="center"/>
                </w:tcPr>
                <w:p w14:paraId="6272BCD4">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《农用地土壤环境管理办法（试行）》（环境保护部 农业部令第46号）</w:t>
                  </w:r>
                </w:p>
              </w:tc>
              <w:tc>
                <w:tcPr>
                  <w:tcW w:w="2427" w:type="pct"/>
                  <w:tcBorders>
                    <w:tl2br w:val="nil"/>
                    <w:tr2bl w:val="nil"/>
                  </w:tcBorders>
                  <w:shd w:val="clear" w:color="auto" w:fill="auto"/>
                  <w:vAlign w:val="center"/>
                </w:tcPr>
                <w:p w14:paraId="689F2A72">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987" w:type="pct"/>
                  <w:tcBorders>
                    <w:tl2br w:val="nil"/>
                    <w:tr2bl w:val="nil"/>
                  </w:tcBorders>
                  <w:shd w:val="clear" w:color="auto" w:fill="auto"/>
                  <w:vAlign w:val="center"/>
                </w:tcPr>
                <w:p w14:paraId="609D962C">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本项目用地性质是工业用地，不属于优先保护类耕地集中区域。</w:t>
                  </w:r>
                </w:p>
              </w:tc>
              <w:tc>
                <w:tcPr>
                  <w:tcW w:w="592" w:type="pct"/>
                  <w:tcBorders>
                    <w:tl2br w:val="nil"/>
                    <w:tr2bl w:val="nil"/>
                  </w:tcBorders>
                  <w:shd w:val="clear" w:color="auto" w:fill="auto"/>
                  <w:vAlign w:val="center"/>
                </w:tcPr>
                <w:p w14:paraId="74D452D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08A6A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2" w:type="pct"/>
                  <w:tcBorders>
                    <w:tl2br w:val="nil"/>
                    <w:tr2bl w:val="nil"/>
                  </w:tcBorders>
                  <w:shd w:val="clear" w:color="auto" w:fill="auto"/>
                  <w:vAlign w:val="center"/>
                </w:tcPr>
                <w:p w14:paraId="3068AAA9">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《关于印发&lt;建设项目主要污染物排放总量指标审核及管理暂行办法&gt;的通知》（环发〔2014〕197号）</w:t>
                  </w:r>
                </w:p>
              </w:tc>
              <w:tc>
                <w:tcPr>
                  <w:tcW w:w="2427" w:type="pct"/>
                  <w:tcBorders>
                    <w:tl2br w:val="nil"/>
                    <w:tr2bl w:val="nil"/>
                  </w:tcBorders>
                  <w:shd w:val="clear" w:color="auto" w:fill="auto"/>
                  <w:vAlign w:val="center"/>
                </w:tcPr>
                <w:p w14:paraId="42E4EE80">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987" w:type="pct"/>
                  <w:tcBorders>
                    <w:tl2br w:val="nil"/>
                    <w:tr2bl w:val="nil"/>
                  </w:tcBorders>
                  <w:shd w:val="clear" w:color="auto" w:fill="auto"/>
                  <w:vAlign w:val="center"/>
                </w:tcPr>
                <w:p w14:paraId="0ADFE670">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目前，本项目处于环评编制阶段，在环评审批前将严格落实主要污染物排放总量指标控制制度，取得主要污染物排放总量的控制指标和平衡方案。</w:t>
                  </w:r>
                </w:p>
              </w:tc>
              <w:tc>
                <w:tcPr>
                  <w:tcW w:w="592" w:type="pct"/>
                  <w:tcBorders>
                    <w:tl2br w:val="nil"/>
                    <w:tr2bl w:val="nil"/>
                  </w:tcBorders>
                  <w:shd w:val="clear" w:color="auto" w:fill="auto"/>
                  <w:vAlign w:val="center"/>
                </w:tcPr>
                <w:p w14:paraId="5C2F43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65738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2" w:type="pct"/>
                  <w:tcBorders>
                    <w:tl2br w:val="nil"/>
                    <w:tr2bl w:val="nil"/>
                  </w:tcBorders>
                  <w:shd w:val="clear" w:color="auto" w:fill="auto"/>
                  <w:vAlign w:val="center"/>
                </w:tcPr>
                <w:p w14:paraId="0050C542">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《关于以改善环境质量为核心加强环境影响评价管理的通知》（环环评〔2016〕150号）</w:t>
                  </w:r>
                </w:p>
              </w:tc>
              <w:tc>
                <w:tcPr>
                  <w:tcW w:w="2427" w:type="pct"/>
                  <w:tcBorders>
                    <w:tl2br w:val="nil"/>
                    <w:tr2bl w:val="nil"/>
                  </w:tcBorders>
                  <w:shd w:val="clear" w:color="auto" w:fill="auto"/>
                  <w:vAlign w:val="center"/>
                </w:tcPr>
                <w:p w14:paraId="67E9BA79">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987" w:type="pct"/>
                  <w:tcBorders>
                    <w:tl2br w:val="nil"/>
                    <w:tr2bl w:val="nil"/>
                  </w:tcBorders>
                  <w:shd w:val="clear" w:color="auto" w:fill="auto"/>
                  <w:vAlign w:val="center"/>
                </w:tcPr>
                <w:p w14:paraId="6454172D">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本项目建设内容符合所在园区规划环评结论及审查意见，且不在生态保护红线范围内；（2）项目所在地金坛区为不达标区，本项目废气经过处置设施处理后排放，各废气因子排放量较小，对周围保护目标影响均较小，均未超过各因子的环境质量标准。因此，项目排放的大气污染物对周围空气环境影响较小。</w:t>
                  </w:r>
                </w:p>
              </w:tc>
              <w:tc>
                <w:tcPr>
                  <w:tcW w:w="592" w:type="pct"/>
                  <w:tcBorders>
                    <w:tl2br w:val="nil"/>
                    <w:tr2bl w:val="nil"/>
                  </w:tcBorders>
                  <w:shd w:val="clear" w:color="auto" w:fill="auto"/>
                  <w:vAlign w:val="center"/>
                </w:tcPr>
                <w:p w14:paraId="095739F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0B867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2" w:type="pct"/>
                  <w:tcBorders>
                    <w:tl2br w:val="nil"/>
                    <w:tr2bl w:val="nil"/>
                  </w:tcBorders>
                  <w:shd w:val="clear" w:color="auto" w:fill="auto"/>
                  <w:vAlign w:val="center"/>
                </w:tcPr>
                <w:p w14:paraId="12E79F1F">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《关于全面加强生态环境保护坚决打好污染防治攻坚战的实施意见》（苏发〔2018〕24号）</w:t>
                  </w:r>
                </w:p>
              </w:tc>
              <w:tc>
                <w:tcPr>
                  <w:tcW w:w="2427" w:type="pct"/>
                  <w:tcBorders>
                    <w:tl2br w:val="nil"/>
                    <w:tr2bl w:val="nil"/>
                  </w:tcBorders>
                  <w:shd w:val="clear" w:color="auto" w:fill="auto"/>
                  <w:vAlign w:val="center"/>
                </w:tcPr>
                <w:p w14:paraId="5FF82890">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987" w:type="pct"/>
                  <w:tcBorders>
                    <w:tl2br w:val="nil"/>
                    <w:tr2bl w:val="nil"/>
                  </w:tcBorders>
                  <w:shd w:val="clear" w:color="auto" w:fill="auto"/>
                  <w:vAlign w:val="center"/>
                </w:tcPr>
                <w:p w14:paraId="57AB96B1">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本项目不在长江干流及主要支流岸线1公里范围内，且不属于化工企业。</w:t>
                  </w:r>
                </w:p>
              </w:tc>
              <w:tc>
                <w:tcPr>
                  <w:tcW w:w="592" w:type="pct"/>
                  <w:tcBorders>
                    <w:tl2br w:val="nil"/>
                    <w:tr2bl w:val="nil"/>
                  </w:tcBorders>
                  <w:shd w:val="clear" w:color="auto" w:fill="auto"/>
                  <w:vAlign w:val="center"/>
                </w:tcPr>
                <w:p w14:paraId="649110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4E870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2" w:type="pct"/>
                  <w:tcBorders>
                    <w:tl2br w:val="nil"/>
                    <w:tr2bl w:val="nil"/>
                  </w:tcBorders>
                  <w:shd w:val="clear" w:color="auto" w:fill="auto"/>
                  <w:vAlign w:val="center"/>
                </w:tcPr>
                <w:p w14:paraId="4D7531F2">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《省政府关于印发江苏省国家级生态保护红线规划的通知》（苏政发〔2018〕74号）</w:t>
                  </w:r>
                </w:p>
              </w:tc>
              <w:tc>
                <w:tcPr>
                  <w:tcW w:w="2427" w:type="pct"/>
                  <w:tcBorders>
                    <w:tl2br w:val="nil"/>
                    <w:tr2bl w:val="nil"/>
                  </w:tcBorders>
                  <w:shd w:val="clear" w:color="auto" w:fill="auto"/>
                  <w:vAlign w:val="center"/>
                </w:tcPr>
                <w:p w14:paraId="7E58CAC4">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生态保护红线原则上按禁止开发区域的要求进行管理，严禁不符合主体功能定位的各类开发活动，严禁任意改变用途。</w:t>
                  </w:r>
                </w:p>
              </w:tc>
              <w:tc>
                <w:tcPr>
                  <w:tcW w:w="987" w:type="pct"/>
                  <w:tcBorders>
                    <w:tl2br w:val="nil"/>
                    <w:tr2bl w:val="nil"/>
                  </w:tcBorders>
                  <w:shd w:val="clear" w:color="auto" w:fill="auto"/>
                  <w:vAlign w:val="center"/>
                </w:tcPr>
                <w:p w14:paraId="06E95502">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本项目不涉及生态保护红线。</w:t>
                  </w:r>
                </w:p>
              </w:tc>
              <w:tc>
                <w:tcPr>
                  <w:tcW w:w="592" w:type="pct"/>
                  <w:tcBorders>
                    <w:tl2br w:val="nil"/>
                    <w:tr2bl w:val="nil"/>
                  </w:tcBorders>
                  <w:shd w:val="clear" w:color="auto" w:fill="auto"/>
                  <w:vAlign w:val="center"/>
                </w:tcPr>
                <w:p w14:paraId="0792FFE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1CAA5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2" w:type="pct"/>
                  <w:tcBorders>
                    <w:tl2br w:val="nil"/>
                    <w:tr2bl w:val="nil"/>
                  </w:tcBorders>
                  <w:shd w:val="clear" w:color="auto" w:fill="auto"/>
                  <w:vAlign w:val="center"/>
                </w:tcPr>
                <w:p w14:paraId="4ABED317">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《省政府办公厅关于加强危险废物污染防治工作的意见》（苏政办发〔2018〕91号）</w:t>
                  </w:r>
                </w:p>
              </w:tc>
              <w:tc>
                <w:tcPr>
                  <w:tcW w:w="2427" w:type="pct"/>
                  <w:tcBorders>
                    <w:tl2br w:val="nil"/>
                    <w:tr2bl w:val="nil"/>
                  </w:tcBorders>
                  <w:shd w:val="clear" w:color="auto" w:fill="auto"/>
                  <w:vAlign w:val="center"/>
                </w:tcPr>
                <w:p w14:paraId="4AA600C9">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禁止审批无法落实危险废物利用、处置途径的项目，从严审批危险废物产生量大、本地无配套利用处置能力、且需设区市统筹解决的项目。</w:t>
                  </w:r>
                </w:p>
              </w:tc>
              <w:tc>
                <w:tcPr>
                  <w:tcW w:w="987" w:type="pct"/>
                  <w:tcBorders>
                    <w:tl2br w:val="nil"/>
                    <w:tr2bl w:val="nil"/>
                  </w:tcBorders>
                  <w:shd w:val="clear" w:color="auto" w:fill="auto"/>
                  <w:vAlign w:val="center"/>
                </w:tcPr>
                <w:p w14:paraId="7EC6853C">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本项目危险废物合理合法利用、处置。固废处置率100%。</w:t>
                  </w:r>
                </w:p>
              </w:tc>
              <w:tc>
                <w:tcPr>
                  <w:tcW w:w="592" w:type="pct"/>
                  <w:tcBorders>
                    <w:tl2br w:val="nil"/>
                    <w:tr2bl w:val="nil"/>
                  </w:tcBorders>
                  <w:shd w:val="clear" w:color="auto" w:fill="auto"/>
                  <w:vAlign w:val="center"/>
                </w:tcPr>
                <w:p w14:paraId="0C46160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ED74B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2" w:type="pct"/>
                  <w:tcBorders>
                    <w:tl2br w:val="nil"/>
                    <w:tr2bl w:val="nil"/>
                  </w:tcBorders>
                  <w:vAlign w:val="center"/>
                </w:tcPr>
                <w:p w14:paraId="0E9043A6">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《关于印发&lt;长江经济带发展负面清单指南&gt;（试行，2022年版）的通知》（长江办〔2022〕7号）</w:t>
                  </w:r>
                </w:p>
              </w:tc>
              <w:tc>
                <w:tcPr>
                  <w:tcW w:w="2427" w:type="pct"/>
                  <w:tcBorders>
                    <w:tl2br w:val="nil"/>
                    <w:tr2bl w:val="nil"/>
                  </w:tcBorders>
                  <w:vAlign w:val="center"/>
                </w:tcPr>
                <w:p w14:paraId="2F94B7A4">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关于印发&lt;长江经济带发展负面清单指南&gt;（试行，2022年版）的通知》（长江办〔2022〕7号）：①禁止建设不符合全国和省级港口布局规划以及港口总体规划的码头项目，禁止建设不符合《长江干线过江通道布局规划》的过长江通道项目。②禁止在自然保护区核心区、缓冲区的岸线和河段范围内投资建设旅游和生产经营项目。禁止在风景名胜区核心景区的岸线和河段范围内投资建设与风景名胜资源保护无关的项目。③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④禁止在水产种质资源保护区的岸线和河段范围内新建围湖造田、围海造地或围填海等投资建设项目。禁止在国家湿地公园的岸线和河段范围内挖沙、采矿，以及任何不符合主体功能定位的投资建设项目。⑤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⑥禁止未经许可在长江干支流及湖泊新设、改设或扩大排污口。⑦禁止在</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一江一口两湖七河</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和332个水生生物保护区开展生产性捕捞。⑧禁止在长江</w:t>
                  </w:r>
                  <w:r>
                    <w:rPr>
                      <w:rFonts w:hint="eastAsia" w:ascii="Times New Roman" w:hAnsi="Times New Roman" w:eastAsia="宋体" w:cs="Times New Roman"/>
                      <w:color w:val="auto"/>
                      <w:sz w:val="21"/>
                      <w:szCs w:val="21"/>
                      <w:lang w:val="en-US" w:eastAsia="zh-CN"/>
                    </w:rPr>
                    <w:t>干</w:t>
                  </w:r>
                  <w:r>
                    <w:rPr>
                      <w:rFonts w:hint="default" w:ascii="Times New Roman" w:hAnsi="Times New Roman" w:eastAsia="宋体" w:cs="Times New Roman"/>
                      <w:color w:val="auto"/>
                      <w:sz w:val="21"/>
                      <w:szCs w:val="21"/>
                    </w:rPr>
                    <w:t>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⑨禁止在合规园区外新建、扩建钢铁、石化、化工、焦化、建材、有色、制浆造纸等高污染项目。⑩禁止新建、扩建不符合国家石化、现代煤化工等产业布局规划的项目。⑪禁止新建、扩建法律法规和相关政策明令禁止的落后产能项目。禁止新建、扩建不符合国家产能置换要求的严重过剩产能行业的项目。禁止新建、扩建不符合要求的高耗能高排放项目。⑫法律法规及相关政策文件有更加严格规定的从其规定。</w:t>
                  </w:r>
                </w:p>
              </w:tc>
              <w:tc>
                <w:tcPr>
                  <w:tcW w:w="987" w:type="pct"/>
                  <w:tcBorders>
                    <w:tl2br w:val="nil"/>
                    <w:tr2bl w:val="nil"/>
                  </w:tcBorders>
                  <w:shd w:val="clear" w:color="auto" w:fill="auto"/>
                  <w:vAlign w:val="center"/>
                </w:tcPr>
                <w:p w14:paraId="06BD8635">
                  <w:pP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本项目不属于《关于印发&lt;长江经济带发展负面清单指南&gt;（试行，2022年版）的通知》（长江办〔2022〕7号）中</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禁止类</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w:t>
                  </w:r>
                </w:p>
              </w:tc>
              <w:tc>
                <w:tcPr>
                  <w:tcW w:w="592" w:type="pct"/>
                  <w:tcBorders>
                    <w:tl2br w:val="nil"/>
                    <w:tr2bl w:val="nil"/>
                  </w:tcBorders>
                  <w:shd w:val="clear" w:color="auto" w:fill="auto"/>
                  <w:vAlign w:val="center"/>
                </w:tcPr>
                <w:p w14:paraId="07572E0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22EF578B">
            <w:pPr>
              <w:spacing w:line="500" w:lineRule="exact"/>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注：*根据《省生态环境厅关于进一步做好建设项目环评审批工作的通知》（苏环办〔2019〕36号），应对照《关于发布长江经济带发展负面清单指南（试行）的通知》（推动长江经济带发展领导小组办公室文件第89号），因该文已废止，故对照新发布的《关于印发长江经济带发展负面清单指南（试行，2022年版）的通知》（长江办〔2022〕7号）。</w:t>
            </w:r>
          </w:p>
          <w:p w14:paraId="3BF6E95F">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6、项目与《省生态环境厅关于进一步加强建设项目环评审批和服务工作的指导意见》（苏环办〔2020〕225号）相符性，分析如下。</w:t>
            </w:r>
          </w:p>
          <w:p w14:paraId="631C1E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 xml:space="preserve">表1-10  </w:t>
            </w:r>
            <w:r>
              <w:rPr>
                <w:rFonts w:hint="default" w:ascii="Times New Roman" w:hAnsi="Times New Roman" w:eastAsia="宋体" w:cs="Times New Roman"/>
                <w:b/>
                <w:bCs/>
                <w:color w:val="auto"/>
                <w:sz w:val="24"/>
                <w:szCs w:val="24"/>
              </w:rPr>
              <w:t>与《省生态环境厅关于进一步加强建设项目环评审批和服务工作的指导意见》相符性对照分析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3450"/>
              <w:gridCol w:w="2898"/>
              <w:gridCol w:w="634"/>
            </w:tblGrid>
            <w:tr w14:paraId="735EB0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0" w:type="pct"/>
                  <w:tcBorders>
                    <w:tl2br w:val="nil"/>
                    <w:tr2bl w:val="nil"/>
                  </w:tcBorders>
                  <w:vAlign w:val="center"/>
                </w:tcPr>
                <w:p w14:paraId="6E0EF812">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2247" w:type="pct"/>
                  <w:tcBorders>
                    <w:tl2br w:val="nil"/>
                    <w:tr2bl w:val="nil"/>
                  </w:tcBorders>
                  <w:vAlign w:val="center"/>
                </w:tcPr>
                <w:p w14:paraId="1ACC1CC7">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标准要求</w:t>
                  </w:r>
                </w:p>
              </w:tc>
              <w:tc>
                <w:tcPr>
                  <w:tcW w:w="1887" w:type="pct"/>
                  <w:tcBorders>
                    <w:tl2br w:val="nil"/>
                    <w:tr2bl w:val="nil"/>
                  </w:tcBorders>
                  <w:vAlign w:val="center"/>
                </w:tcPr>
                <w:p w14:paraId="58FCEBAD">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本项目概况</w:t>
                  </w:r>
                </w:p>
              </w:tc>
              <w:tc>
                <w:tcPr>
                  <w:tcW w:w="413" w:type="pct"/>
                  <w:tcBorders>
                    <w:tl2br w:val="nil"/>
                    <w:tr2bl w:val="nil"/>
                  </w:tcBorders>
                  <w:vAlign w:val="center"/>
                </w:tcPr>
                <w:p w14:paraId="71FA13D7">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是否相符</w:t>
                  </w:r>
                </w:p>
              </w:tc>
            </w:tr>
            <w:tr w14:paraId="3205C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0" w:type="pct"/>
                  <w:vMerge w:val="restart"/>
                  <w:tcBorders>
                    <w:tl2br w:val="nil"/>
                    <w:tr2bl w:val="nil"/>
                  </w:tcBorders>
                  <w:vAlign w:val="center"/>
                </w:tcPr>
                <w:p w14:paraId="76DC4220">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严守生态环境质量底线</w:t>
                  </w:r>
                </w:p>
              </w:tc>
              <w:tc>
                <w:tcPr>
                  <w:tcW w:w="2247" w:type="pct"/>
                  <w:tcBorders>
                    <w:tl2br w:val="nil"/>
                    <w:tr2bl w:val="nil"/>
                  </w:tcBorders>
                  <w:vAlign w:val="center"/>
                </w:tcPr>
                <w:p w14:paraId="546AB320">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（一）建设项目所在区域环境质量未达标国家或地方环境质量标准，且项目拟采取的污染防治措施不能满足区域环境质量改善目标管理要求的，一律不得审批。</w:t>
                  </w:r>
                </w:p>
              </w:tc>
              <w:tc>
                <w:tcPr>
                  <w:tcW w:w="1887" w:type="pct"/>
                  <w:tcBorders>
                    <w:tl2br w:val="nil"/>
                    <w:tr2bl w:val="nil"/>
                  </w:tcBorders>
                  <w:vAlign w:val="center"/>
                </w:tcPr>
                <w:p w14:paraId="49D05EBC">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项目所在地为大气污染物O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环境质量不达标区，本项目废气经过处置设施处理后排放，各废气因子排放量较小，对周围保护目标影响均较小，均未超过各因子的环境质量标准。</w:t>
                  </w:r>
                </w:p>
              </w:tc>
              <w:tc>
                <w:tcPr>
                  <w:tcW w:w="413" w:type="pct"/>
                  <w:tcBorders>
                    <w:tl2br w:val="nil"/>
                    <w:tr2bl w:val="nil"/>
                  </w:tcBorders>
                  <w:vAlign w:val="center"/>
                </w:tcPr>
                <w:p w14:paraId="7EA180B7">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6CB934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0" w:type="pct"/>
                  <w:vMerge w:val="continue"/>
                  <w:tcBorders>
                    <w:tl2br w:val="nil"/>
                    <w:tr2bl w:val="nil"/>
                  </w:tcBorders>
                  <w:vAlign w:val="center"/>
                </w:tcPr>
                <w:p w14:paraId="407DA8B0">
                  <w:pPr>
                    <w:pStyle w:val="52"/>
                    <w:snapToGrid w:val="0"/>
                    <w:spacing w:line="240" w:lineRule="auto"/>
                    <w:rPr>
                      <w:rFonts w:hint="default" w:ascii="Times New Roman" w:hAnsi="Times New Roman" w:eastAsia="宋体" w:cs="Times New Roman"/>
                      <w:color w:val="auto"/>
                      <w:sz w:val="21"/>
                      <w:szCs w:val="21"/>
                    </w:rPr>
                  </w:pPr>
                </w:p>
              </w:tc>
              <w:tc>
                <w:tcPr>
                  <w:tcW w:w="2247" w:type="pct"/>
                  <w:tcBorders>
                    <w:tl2br w:val="nil"/>
                    <w:tr2bl w:val="nil"/>
                  </w:tcBorders>
                  <w:vAlign w:val="center"/>
                </w:tcPr>
                <w:p w14:paraId="13883B78">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（二）加强规划环评与建设项目环评联动，对不符合规划环评结论及审查意见的项目环评，依法不予审批。规划所包含项目的环评内容，可根据规划环评结论和审查意见予以简化。</w:t>
                  </w:r>
                </w:p>
              </w:tc>
              <w:tc>
                <w:tcPr>
                  <w:tcW w:w="1887" w:type="pct"/>
                  <w:tcBorders>
                    <w:tl2br w:val="nil"/>
                    <w:tr2bl w:val="nil"/>
                  </w:tcBorders>
                  <w:vAlign w:val="center"/>
                </w:tcPr>
                <w:p w14:paraId="0A2A5676">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本项目建设内容及其选址、布局、规模等均符合环境保护法律法规和相关法定规划内容。</w:t>
                  </w:r>
                </w:p>
              </w:tc>
              <w:tc>
                <w:tcPr>
                  <w:tcW w:w="413" w:type="pct"/>
                  <w:tcBorders>
                    <w:tl2br w:val="nil"/>
                    <w:tr2bl w:val="nil"/>
                  </w:tcBorders>
                  <w:vAlign w:val="center"/>
                </w:tcPr>
                <w:p w14:paraId="41A20B96">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01FFB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0" w:type="pct"/>
                  <w:vMerge w:val="continue"/>
                  <w:tcBorders>
                    <w:tl2br w:val="nil"/>
                    <w:tr2bl w:val="nil"/>
                  </w:tcBorders>
                  <w:vAlign w:val="center"/>
                </w:tcPr>
                <w:p w14:paraId="3FF9A281">
                  <w:pPr>
                    <w:pStyle w:val="52"/>
                    <w:snapToGrid w:val="0"/>
                    <w:spacing w:line="240" w:lineRule="auto"/>
                    <w:rPr>
                      <w:rFonts w:hint="default" w:ascii="Times New Roman" w:hAnsi="Times New Roman" w:eastAsia="宋体" w:cs="Times New Roman"/>
                      <w:color w:val="auto"/>
                      <w:sz w:val="21"/>
                      <w:szCs w:val="21"/>
                    </w:rPr>
                  </w:pPr>
                </w:p>
              </w:tc>
              <w:tc>
                <w:tcPr>
                  <w:tcW w:w="2247" w:type="pct"/>
                  <w:tcBorders>
                    <w:tl2br w:val="nil"/>
                    <w:tr2bl w:val="nil"/>
                  </w:tcBorders>
                  <w:vAlign w:val="center"/>
                </w:tcPr>
                <w:p w14:paraId="47E3783E">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（三）切实加强区域环境容量、环境承载力研究，不得审批突破环境容量和环境承载力的建设项目。</w:t>
                  </w:r>
                </w:p>
              </w:tc>
              <w:tc>
                <w:tcPr>
                  <w:tcW w:w="1887" w:type="pct"/>
                  <w:tcBorders>
                    <w:tl2br w:val="nil"/>
                    <w:tr2bl w:val="nil"/>
                  </w:tcBorders>
                  <w:vAlign w:val="center"/>
                </w:tcPr>
                <w:p w14:paraId="6D2757AF">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本项目废气和生活污水排放的污染物不突破环境容量和环境承载力。</w:t>
                  </w:r>
                </w:p>
              </w:tc>
              <w:tc>
                <w:tcPr>
                  <w:tcW w:w="413" w:type="pct"/>
                  <w:tcBorders>
                    <w:tl2br w:val="nil"/>
                    <w:tr2bl w:val="nil"/>
                  </w:tcBorders>
                  <w:vAlign w:val="center"/>
                </w:tcPr>
                <w:p w14:paraId="4B5EAC8C">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r w14:paraId="42A7FB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0" w:type="pct"/>
                  <w:vMerge w:val="continue"/>
                  <w:tcBorders>
                    <w:tl2br w:val="nil"/>
                    <w:tr2bl w:val="nil"/>
                  </w:tcBorders>
                  <w:vAlign w:val="center"/>
                </w:tcPr>
                <w:p w14:paraId="29495493">
                  <w:pPr>
                    <w:pStyle w:val="52"/>
                    <w:snapToGrid w:val="0"/>
                    <w:spacing w:line="240" w:lineRule="auto"/>
                    <w:rPr>
                      <w:rFonts w:hint="default" w:ascii="Times New Roman" w:hAnsi="Times New Roman" w:eastAsia="宋体" w:cs="Times New Roman"/>
                      <w:color w:val="auto"/>
                      <w:sz w:val="21"/>
                      <w:szCs w:val="21"/>
                    </w:rPr>
                  </w:pPr>
                </w:p>
              </w:tc>
              <w:tc>
                <w:tcPr>
                  <w:tcW w:w="2247" w:type="pct"/>
                  <w:tcBorders>
                    <w:tl2br w:val="nil"/>
                    <w:tr2bl w:val="nil"/>
                  </w:tcBorders>
                  <w:vAlign w:val="center"/>
                </w:tcPr>
                <w:p w14:paraId="5B067931">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（四）应将"三线一单"作为建设项目环评审批的重要依据，严格落实生态环境分区管控要求，从严把好环境准入关。</w:t>
                  </w:r>
                </w:p>
              </w:tc>
              <w:tc>
                <w:tcPr>
                  <w:tcW w:w="1887" w:type="pct"/>
                  <w:tcBorders>
                    <w:tl2br w:val="nil"/>
                    <w:tr2bl w:val="nil"/>
                  </w:tcBorders>
                  <w:vAlign w:val="center"/>
                </w:tcPr>
                <w:p w14:paraId="34B761EB">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本项目符合</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相关要求。</w:t>
                  </w:r>
                </w:p>
              </w:tc>
              <w:tc>
                <w:tcPr>
                  <w:tcW w:w="413" w:type="pct"/>
                  <w:tcBorders>
                    <w:tl2br w:val="nil"/>
                    <w:tr2bl w:val="nil"/>
                  </w:tcBorders>
                  <w:vAlign w:val="center"/>
                </w:tcPr>
                <w:p w14:paraId="4E03AA2D">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bl>
          <w:p w14:paraId="44B983B2">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7、项目与《市生态环境局关于建设项目的审批指导意见（试行）》相符性，分析如下。</w:t>
            </w:r>
          </w:p>
          <w:p w14:paraId="38E9A2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 xml:space="preserve">表1-11  </w:t>
            </w:r>
            <w:r>
              <w:rPr>
                <w:rFonts w:hint="default" w:ascii="Times New Roman" w:hAnsi="Times New Roman" w:eastAsia="宋体" w:cs="Times New Roman"/>
                <w:b/>
                <w:bCs/>
                <w:color w:val="auto"/>
                <w:sz w:val="24"/>
                <w:szCs w:val="24"/>
              </w:rPr>
              <w:t>与《市生态环境局关于建设项目的审批指导意见（试行）》相符性对照分析</w:t>
            </w:r>
          </w:p>
          <w:tbl>
            <w:tblPr>
              <w:tblStyle w:val="27"/>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866"/>
              <w:gridCol w:w="2714"/>
              <w:gridCol w:w="1091"/>
            </w:tblGrid>
            <w:tr w14:paraId="5EA468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19" w:type="pct"/>
                  <w:tcBorders>
                    <w:tl2br w:val="nil"/>
                    <w:tr2bl w:val="nil"/>
                  </w:tcBorders>
                  <w:vAlign w:val="center"/>
                </w:tcPr>
                <w:p w14:paraId="60139F81">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标准要求</w:t>
                  </w:r>
                </w:p>
              </w:tc>
              <w:tc>
                <w:tcPr>
                  <w:tcW w:w="1768" w:type="pct"/>
                  <w:tcBorders>
                    <w:tl2br w:val="nil"/>
                    <w:tr2bl w:val="nil"/>
                  </w:tcBorders>
                  <w:vAlign w:val="center"/>
                </w:tcPr>
                <w:p w14:paraId="170F182B">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本项目概况</w:t>
                  </w:r>
                </w:p>
              </w:tc>
              <w:tc>
                <w:tcPr>
                  <w:tcW w:w="711" w:type="pct"/>
                  <w:tcBorders>
                    <w:tl2br w:val="nil"/>
                    <w:tr2bl w:val="nil"/>
                  </w:tcBorders>
                  <w:vAlign w:val="center"/>
                </w:tcPr>
                <w:p w14:paraId="551999AE">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是否</w:t>
                  </w:r>
                </w:p>
                <w:p w14:paraId="36C1034A">
                  <w:pPr>
                    <w:pStyle w:val="52"/>
                    <w:snapToGrid w:val="0"/>
                    <w:spacing w:line="240" w:lineRule="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w:t>
                  </w:r>
                </w:p>
              </w:tc>
            </w:tr>
            <w:tr w14:paraId="283750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19" w:type="pct"/>
                  <w:tcBorders>
                    <w:tl2br w:val="nil"/>
                    <w:tr2bl w:val="nil"/>
                  </w:tcBorders>
                  <w:vAlign w:val="center"/>
                </w:tcPr>
                <w:p w14:paraId="177D97D5">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1、严格项目总量。实施建设项目大气污染物总量负增长原则，即重点区域内建设项目使用大气污染物总量，原则上在重点区域范围内实施总量平衡，且必须实行总量2倍减量替代。</w:t>
                  </w:r>
                </w:p>
                <w:p w14:paraId="18D8A74A">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2、强化环评审批。对重点区域内新上的大气污染物排放的建设项目及全市范围内新上高能耗项目，审批部门对其环评文本应实施质量评估。</w:t>
                  </w:r>
                </w:p>
                <w:p w14:paraId="15FA3626">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3、推进减污降碳。对重点区域内新上的涉及大气污染物排放的建设项目及全市范围内新上高能耗建设项目的严格审批，区级审批部门审批前需向市生态环境局报备，审批部门方可出具审批文件。</w:t>
                  </w:r>
                </w:p>
              </w:tc>
              <w:tc>
                <w:tcPr>
                  <w:tcW w:w="1768" w:type="pct"/>
                  <w:tcBorders>
                    <w:tl2br w:val="nil"/>
                    <w:tr2bl w:val="nil"/>
                  </w:tcBorders>
                  <w:vAlign w:val="center"/>
                </w:tcPr>
                <w:p w14:paraId="3CBD494D">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目前，本项目处于环评编制阶段，不在重点区域内，在环评审批前将严格落实主要污染物排放总量指标控制制度，取得主要污染物排放总量的控制指标和平衡方案，故符合文件要求。</w:t>
                  </w:r>
                </w:p>
                <w:p w14:paraId="29E4EAB9">
                  <w:pPr>
                    <w:pStyle w:val="52"/>
                    <w:snapToGrid w:val="0"/>
                    <w:spacing w:line="240" w:lineRule="auto"/>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对照《高耗能行业重点领域能效标杆水平和基准水平（2021年版）》、《关于加强高耗能、高排放建设项目生态环境源头防控的指导意见》（环环评〔2021〕45号），本项目不属于高能耗项目。</w:t>
                  </w:r>
                </w:p>
              </w:tc>
              <w:tc>
                <w:tcPr>
                  <w:tcW w:w="711" w:type="pct"/>
                  <w:tcBorders>
                    <w:tl2br w:val="nil"/>
                    <w:tr2bl w:val="nil"/>
                  </w:tcBorders>
                  <w:vAlign w:val="center"/>
                </w:tcPr>
                <w:p w14:paraId="7B0875CB">
                  <w:pPr>
                    <w:pStyle w:val="52"/>
                    <w:snapToGrid w:val="0"/>
                    <w:spacing w:line="240"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相符</w:t>
                  </w:r>
                </w:p>
              </w:tc>
            </w:tr>
          </w:tbl>
          <w:p w14:paraId="27717341">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8、与省大气办《关于印发江苏省挥发性有机物清洁原料替代工作方案的通知》（苏大气办〔2021〕2号）相符性分析</w:t>
            </w:r>
          </w:p>
          <w:p w14:paraId="47E161AE">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 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p w14:paraId="08197959">
            <w:pPr>
              <w:spacing w:line="500" w:lineRule="exact"/>
              <w:ind w:firstLine="482" w:firstLineChars="200"/>
              <w:rPr>
                <w:rFonts w:hint="default" w:ascii="Times New Roman" w:hAnsi="Times New Roman" w:eastAsia="宋体" w:cs="Times New Roman"/>
                <w:bCs/>
                <w:color w:val="auto"/>
                <w:sz w:val="24"/>
              </w:rPr>
            </w:pPr>
            <w:r>
              <w:rPr>
                <w:rFonts w:hint="default" w:ascii="Times New Roman" w:hAnsi="Times New Roman" w:eastAsia="宋体" w:cs="Times New Roman"/>
                <w:b/>
                <w:bCs/>
                <w:color w:val="auto"/>
                <w:sz w:val="24"/>
              </w:rPr>
              <w:t>对照分析：</w:t>
            </w:r>
            <w:r>
              <w:rPr>
                <w:rFonts w:hint="default" w:ascii="Times New Roman" w:hAnsi="Times New Roman" w:eastAsia="宋体" w:cs="Times New Roman"/>
                <w:bCs/>
                <w:color w:val="auto"/>
                <w:sz w:val="24"/>
              </w:rPr>
              <w:t>本项目使用的</w:t>
            </w:r>
            <w:r>
              <w:rPr>
                <w:rFonts w:hint="default" w:ascii="Times New Roman" w:hAnsi="Times New Roman" w:eastAsia="宋体" w:cs="Times New Roman"/>
                <w:bCs/>
                <w:color w:val="auto"/>
                <w:sz w:val="24"/>
                <w:lang w:val="en-US" w:eastAsia="zh-CN"/>
              </w:rPr>
              <w:t>碳氢清洗剂</w:t>
            </w:r>
            <w:r>
              <w:rPr>
                <w:rFonts w:hint="default" w:ascii="Times New Roman" w:hAnsi="Times New Roman" w:eastAsia="宋体" w:cs="Times New Roman"/>
                <w:bCs/>
                <w:color w:val="auto"/>
                <w:sz w:val="24"/>
              </w:rPr>
              <w:t>符合</w:t>
            </w:r>
            <w:r>
              <w:rPr>
                <w:rFonts w:hint="default" w:ascii="Times New Roman" w:hAnsi="Times New Roman" w:eastAsia="宋体" w:cs="Times New Roman"/>
                <w:bCs/>
                <w:color w:val="auto"/>
                <w:sz w:val="24"/>
                <w:lang w:val="en-US" w:eastAsia="zh-CN"/>
              </w:rPr>
              <w:t>《清洗剂挥发性有机化合物含量限值》（GB 38508-2020</w:t>
            </w:r>
            <w:r>
              <w:rPr>
                <w:rFonts w:hint="eastAsia" w:ascii="Times New Roman" w:hAnsi="Times New Roman" w:eastAsia="宋体" w:cs="Times New Roman"/>
                <w:bCs/>
                <w:color w:val="auto"/>
                <w:sz w:val="24"/>
                <w:lang w:val="en-US" w:eastAsia="zh-CN"/>
              </w:rPr>
              <w:t>）</w:t>
            </w:r>
            <w:r>
              <w:rPr>
                <w:rFonts w:hint="default" w:ascii="Times New Roman" w:hAnsi="Times New Roman" w:eastAsia="宋体" w:cs="Times New Roman"/>
                <w:bCs/>
                <w:color w:val="auto"/>
                <w:sz w:val="24"/>
                <w:lang w:val="en-US" w:eastAsia="zh-CN"/>
              </w:rPr>
              <w:t>中表1有机溶剂清洗剂限值要求（900g/L）</w:t>
            </w:r>
            <w:r>
              <w:rPr>
                <w:rFonts w:hint="default" w:ascii="Times New Roman" w:hAnsi="Times New Roman" w:eastAsia="宋体" w:cs="Times New Roman"/>
                <w:bCs/>
                <w:color w:val="auto"/>
                <w:sz w:val="24"/>
              </w:rPr>
              <w:t>。</w:t>
            </w:r>
          </w:p>
          <w:p w14:paraId="61AEF22A">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9、与《省生态环境厅关于深入开展涉VOCs治理重点工作核查的通知》（苏环办〔2022〕218号）相符性分析</w:t>
            </w:r>
          </w:p>
          <w:p w14:paraId="2DCF8C90">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根据《省生态环境厅关于深入开展涉VOCs治理重点工作核查的通知》，为遏制臭氧污染严峻形势，进一步压降我省VOCs排放总量，切实解决涉气企业在使用活性炭处理工艺存在的设计不规范、以次充好、填充量不足、更换不及时等实际问题，强化排污单位废气治理规范化，省厅决定开展涉VOCs治理重点工作入户核查工作。</w:t>
            </w:r>
          </w:p>
          <w:p w14:paraId="2C18C6BC">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①全面开展入户核查。各级生态环境部门要组织第三方专家团队，对辖区内采用活性炭吸附处理工艺的企业进行一轮入户核查。对照《活性炭吸附装置入户核查要求》，从设计风量、设备质量、气体流速、活性炭质量及填充量等六个方面进行现场核查，并使用省厅云桌面移动端（政府</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环保脸谱</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App）逐一录入相关信息，录入时间另行通知。对于其中有一项或多项指标不达标的，要求企业按照相关标准规范逐项整改，并给出整改期限。有条件的城市可以对第三方治理单位开展评估，对问题企业予以曝光；对发现涉及活性炭产品质量问题线索，及时移交同级市场监管部门。</w:t>
            </w:r>
          </w:p>
          <w:p w14:paraId="3C846E17">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②健全制度规范管理。活性炭吸附处理装置应先于产生废气的生产工艺设备开启、晚于生产工艺设备停机，鼓励有条件的实现与生产装置的连锁控制。所有活性炭吸附装置应设置铭牌并张贴在装置醒目位置（可参照排污口设置规范），包含环保产品名称、型号、风量、活性炭名称、装填量、装填方式、活性炭碘值、比表面积等内容。企业应做好活性炭吸附日常运行维护台账记录，主要包括设备运行启停时间、设备运行参数、耗材消耗（采购量、使用量、装填量、更换量和更换时间、处置记录等）及能源消耗（电耗）等，台账记录保存期限不得少于5年。</w:t>
            </w:r>
          </w:p>
          <w:p w14:paraId="2A5441EB">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③建立长效管理机制。各地要组织企业登录江苏省污染源</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一企一档</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管理系统（企业</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环保脸谱</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）录入活性炭吸附设施相关信息、定期上传设施运行维护记录、签收活性炭状态预警及超期信息，录入时间另行通知。各级生态环境工作人员要及时在省厅云桌面电脑端（政府</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环保脸谱</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管理端）内查看活性炭状态预警及超期信息，督促企业定期、规范更换优质活性炭。一旦发现企业不及时整改，或整改后预警信息仍然存在等情况，应及时组织执法人员开展现场检查。</w:t>
            </w:r>
          </w:p>
          <w:p w14:paraId="07393639">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④加强领导和业务指导。各地要充分认识当前臭氧污染防治的严峻形势，牢固树立求真务实、严谨细致的工作作风扎扎实实深入一线，切实增强紧迫感、责任感，主动指导企业运行维护好活性炭吸附装置。各地要提前谋划，组织有大气污染治理工程经验的专家成立专家团队，制定周密具体、操作性强的工作方案，明确入户核查的工作任务、人员分工和时间安排。通过现场核查、专题培训、帮扶指导、新媒体信息推送等多种方式，解决一批活性炭吸附装置管理工作中存在的普遍性问题，确保污染物稳定达标排放。省厅将就</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环保脸谱</w:t>
            </w:r>
            <w:r>
              <w:rPr>
                <w:rFonts w:hint="eastAsia" w:ascii="Times New Roman" w:hAnsi="Times New Roman" w:eastAsia="宋体" w:cs="Times New Roman"/>
                <w:bCs/>
                <w:color w:val="auto"/>
                <w:sz w:val="24"/>
                <w:lang w:eastAsia="zh-CN"/>
              </w:rPr>
              <w:t>”</w:t>
            </w:r>
            <w:r>
              <w:rPr>
                <w:rFonts w:hint="default" w:ascii="Times New Roman" w:hAnsi="Times New Roman" w:eastAsia="宋体" w:cs="Times New Roman"/>
                <w:bCs/>
                <w:color w:val="auto"/>
                <w:sz w:val="24"/>
              </w:rPr>
              <w:t>的使用及填报要求进行培训。各地在对活性炭吸附装置开展入户核查的同时，同步对辖区涉VOCs企业末端治理设施开展入户摸底排查。对未配套建设废气治理设施的企业依法责令停产，限期整改;除恶臭异味治理外，新建企业一律不得采用单一低温等离子、光催化、光氧化、水喷淋等低效末端治理技术，对于已建企业应采用组合式或其他高效治理工艺进行改造，各地根据实际情况确定各企业改造时间，最长不超过3个月。</w:t>
            </w:r>
          </w:p>
          <w:p w14:paraId="01E12999">
            <w:pPr>
              <w:spacing w:line="500" w:lineRule="exact"/>
              <w:ind w:firstLine="482" w:firstLineChars="200"/>
              <w:rPr>
                <w:rFonts w:hint="default" w:ascii="Times New Roman" w:hAnsi="Times New Roman" w:eastAsia="宋体" w:cs="Times New Roman"/>
                <w:bCs/>
                <w:color w:val="auto"/>
                <w:sz w:val="24"/>
              </w:rPr>
            </w:pPr>
            <w:r>
              <w:rPr>
                <w:rFonts w:hint="default" w:ascii="Times New Roman" w:hAnsi="Times New Roman" w:eastAsia="宋体" w:cs="Times New Roman"/>
                <w:b/>
                <w:bCs/>
                <w:color w:val="auto"/>
                <w:sz w:val="24"/>
              </w:rPr>
              <w:t>对照分析：</w:t>
            </w:r>
            <w:r>
              <w:rPr>
                <w:rFonts w:hint="default" w:ascii="Times New Roman" w:hAnsi="Times New Roman" w:eastAsia="宋体" w:cs="Times New Roman"/>
                <w:bCs/>
                <w:color w:val="auto"/>
                <w:sz w:val="24"/>
              </w:rPr>
              <w:t>本项目建成后将针对活性炭处理工艺设计风量、设备质量、气体流速、活性炭质量及填充量等方面进行完善，强化废气治理规范化。本项目活性炭每</w:t>
            </w:r>
            <w:r>
              <w:rPr>
                <w:rFonts w:hint="eastAsia" w:ascii="Times New Roman" w:hAnsi="Times New Roman" w:eastAsia="宋体" w:cs="Times New Roman"/>
                <w:bCs/>
                <w:color w:val="auto"/>
                <w:sz w:val="24"/>
                <w:lang w:val="en-US" w:eastAsia="zh-CN"/>
              </w:rPr>
              <w:t>37d</w:t>
            </w:r>
            <w:r>
              <w:rPr>
                <w:rFonts w:hint="default" w:ascii="Times New Roman" w:hAnsi="Times New Roman" w:eastAsia="宋体" w:cs="Times New Roman"/>
                <w:bCs/>
                <w:color w:val="auto"/>
                <w:sz w:val="24"/>
              </w:rPr>
              <w:t>更换一次，满足上述不超过3个月的要求。</w:t>
            </w:r>
          </w:p>
          <w:p w14:paraId="0D42EEEF">
            <w:pPr>
              <w:spacing w:line="500" w:lineRule="exact"/>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综上所述，本项目与区域规划、规划环评相符，基础设施完备，选址合理，且项目正常排放的废气、废水、噪声、固废对周围环境及敏感点的影响均较小。同时建设单位必须加强管理，确保各污染物稳定达标排放，防止各类污染事故的发生，同时作好应急措施。因此，本项目选址合理。</w:t>
            </w:r>
          </w:p>
          <w:p w14:paraId="2E26D44E">
            <w:pPr>
              <w:spacing w:line="500" w:lineRule="exact"/>
              <w:ind w:firstLine="480" w:firstLineChars="200"/>
              <w:rPr>
                <w:rFonts w:hint="default" w:ascii="Times New Roman" w:hAnsi="Times New Roman" w:eastAsia="宋体" w:cs="Times New Roman"/>
                <w:bCs/>
                <w:color w:val="auto"/>
                <w:sz w:val="24"/>
              </w:rPr>
            </w:pPr>
          </w:p>
          <w:p w14:paraId="6BCA2D61">
            <w:pPr>
              <w:spacing w:line="500" w:lineRule="exact"/>
              <w:ind w:firstLine="480" w:firstLineChars="200"/>
              <w:rPr>
                <w:rFonts w:hint="default" w:ascii="Times New Roman" w:hAnsi="Times New Roman" w:eastAsia="宋体" w:cs="Times New Roman"/>
                <w:bCs/>
                <w:color w:val="auto"/>
                <w:sz w:val="24"/>
              </w:rPr>
            </w:pPr>
          </w:p>
          <w:p w14:paraId="6EF09527">
            <w:pPr>
              <w:spacing w:line="500" w:lineRule="exact"/>
              <w:ind w:firstLine="480" w:firstLineChars="200"/>
              <w:rPr>
                <w:rFonts w:hint="default" w:ascii="Times New Roman" w:hAnsi="Times New Roman" w:eastAsia="宋体" w:cs="Times New Roman"/>
                <w:bCs/>
                <w:color w:val="auto"/>
                <w:sz w:val="24"/>
              </w:rPr>
            </w:pPr>
          </w:p>
          <w:p w14:paraId="530E3087">
            <w:pPr>
              <w:spacing w:line="500" w:lineRule="exact"/>
              <w:ind w:firstLine="480" w:firstLineChars="200"/>
              <w:rPr>
                <w:rFonts w:hint="default" w:ascii="Times New Roman" w:hAnsi="Times New Roman" w:eastAsia="宋体" w:cs="Times New Roman"/>
                <w:bCs/>
                <w:color w:val="auto"/>
                <w:sz w:val="24"/>
              </w:rPr>
            </w:pPr>
          </w:p>
          <w:p w14:paraId="0BAD5D3A">
            <w:pPr>
              <w:spacing w:line="500" w:lineRule="exact"/>
              <w:ind w:firstLine="480" w:firstLineChars="200"/>
              <w:rPr>
                <w:rFonts w:hint="default" w:ascii="Times New Roman" w:hAnsi="Times New Roman" w:eastAsia="宋体" w:cs="Times New Roman"/>
                <w:bCs/>
                <w:color w:val="auto"/>
                <w:sz w:val="24"/>
              </w:rPr>
            </w:pPr>
          </w:p>
          <w:p w14:paraId="65B0016D">
            <w:pPr>
              <w:spacing w:line="500" w:lineRule="exact"/>
              <w:rPr>
                <w:rFonts w:hint="default" w:ascii="Times New Roman" w:hAnsi="Times New Roman" w:eastAsia="宋体" w:cs="Times New Roman"/>
                <w:bCs/>
                <w:color w:val="auto"/>
                <w:sz w:val="24"/>
                <w:szCs w:val="24"/>
              </w:rPr>
            </w:pPr>
          </w:p>
        </w:tc>
      </w:tr>
    </w:tbl>
    <w:p w14:paraId="0017778D">
      <w:pPr>
        <w:rPr>
          <w:rFonts w:hint="default" w:ascii="Times New Roman" w:hAnsi="Times New Roman" w:eastAsia="宋体" w:cs="Times New Roman"/>
          <w:color w:val="auto"/>
          <w:sz w:val="24"/>
          <w:szCs w:val="24"/>
        </w:rPr>
        <w:sectPr>
          <w:pgSz w:w="11906" w:h="16838"/>
          <w:pgMar w:top="1440" w:right="1418" w:bottom="1440" w:left="1418"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078C499B">
      <w:pPr>
        <w:pStyle w:val="4"/>
        <w:rPr>
          <w:rFonts w:hint="default" w:ascii="Times New Roman" w:hAnsi="Times New Roman" w:cs="Times New Roman"/>
          <w:color w:val="auto"/>
        </w:rPr>
      </w:pPr>
      <w:r>
        <w:rPr>
          <w:rFonts w:hint="default" w:ascii="Times New Roman" w:hAnsi="Times New Roman" w:cs="Times New Roman"/>
          <w:color w:val="auto"/>
        </w:rPr>
        <w:t>二、建设项目工程分析</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8534"/>
      </w:tblGrid>
      <w:tr w14:paraId="34F17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Align w:val="center"/>
          </w:tcPr>
          <w:p w14:paraId="05C10799">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建设内容</w:t>
            </w:r>
          </w:p>
        </w:tc>
        <w:tc>
          <w:tcPr>
            <w:tcW w:w="4594" w:type="pct"/>
          </w:tcPr>
          <w:p w14:paraId="532C3774">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1、工程概况</w:t>
            </w:r>
          </w:p>
          <w:p w14:paraId="79A912B6">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常州苏创热处理有限公司成立于2020年09月15日，注册地位于江苏省常州市金坛区金坛大道75号，法定代表人为王永朝。经营范围包括许可项目：道路货物运输（不含危险货物）（依法须经批准的项目，经相关部门批准后方可开展经营活动，具体经营项目以审批结果为准）一般项目：金属表面处理及热处理加工；淬火加工；通用设备制造（不含特种设备制造）；技术服务、技术开发、技术咨询、技术交流、技术转让、技术推广（除依法须经批准的项目外，凭营业执照依法自主开展经营活动）。</w:t>
            </w:r>
          </w:p>
          <w:p w14:paraId="64A2CB2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企业于202</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购入位于</w:t>
            </w:r>
            <w:r>
              <w:rPr>
                <w:rFonts w:hint="default" w:ascii="Times New Roman" w:hAnsi="Times New Roman" w:eastAsia="宋体" w:cs="Times New Roman"/>
                <w:bCs/>
                <w:color w:val="auto"/>
                <w:sz w:val="24"/>
                <w:szCs w:val="24"/>
              </w:rPr>
              <w:t>华星科创产业园区</w:t>
            </w:r>
            <w:r>
              <w:rPr>
                <w:rFonts w:hint="eastAsia" w:ascii="Times New Roman" w:hAnsi="Times New Roman" w:eastAsia="宋体" w:cs="Times New Roman"/>
                <w:bCs/>
                <w:color w:val="auto"/>
                <w:sz w:val="24"/>
                <w:szCs w:val="24"/>
                <w:lang w:val="en-US" w:eastAsia="zh-CN"/>
              </w:rPr>
              <w:t>的现有厂房1439.97平方米（一层3/4区域），另租用厂房3014.93平方米（二层3/4区域、三层3/4区域）</w:t>
            </w:r>
            <w:r>
              <w:rPr>
                <w:rFonts w:hint="default" w:ascii="Times New Roman" w:hAnsi="Times New Roman" w:eastAsia="宋体" w:cs="Times New Roman"/>
                <w:color w:val="auto"/>
                <w:sz w:val="24"/>
                <w:lang w:val="en-US" w:eastAsia="zh-CN"/>
              </w:rPr>
              <w:t>，新建年产500吨汽车增压器零部件</w:t>
            </w:r>
            <w:r>
              <w:rPr>
                <w:rFonts w:hint="default" w:ascii="Times New Roman" w:hAnsi="Times New Roman" w:eastAsia="宋体" w:cs="Times New Roman"/>
                <w:color w:val="auto"/>
                <w:sz w:val="24"/>
              </w:rPr>
              <w:t>。</w:t>
            </w:r>
          </w:p>
          <w:p w14:paraId="05F1496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该项目已于202</w:t>
            </w:r>
            <w:r>
              <w:rPr>
                <w:rFonts w:hint="default"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年</w:t>
            </w:r>
            <w:r>
              <w:rPr>
                <w:rFonts w:hint="eastAsia" w:ascii="Times New Roman" w:hAnsi="Times New Roman" w:eastAsia="宋体" w:cs="Times New Roman"/>
                <w:color w:val="auto"/>
                <w:sz w:val="24"/>
                <w:lang w:val="en-US" w:eastAsia="zh-CN"/>
              </w:rPr>
              <w:t>9</w:t>
            </w:r>
            <w:r>
              <w:rPr>
                <w:rFonts w:hint="default" w:ascii="Times New Roman" w:hAnsi="Times New Roman" w:eastAsia="宋体" w:cs="Times New Roman"/>
                <w:color w:val="auto"/>
                <w:sz w:val="24"/>
              </w:rPr>
              <w:t>月</w:t>
            </w:r>
            <w:r>
              <w:rPr>
                <w:rFonts w:hint="eastAsia" w:ascii="Times New Roman" w:hAnsi="Times New Roman" w:eastAsia="宋体" w:cs="Times New Roman"/>
                <w:color w:val="auto"/>
                <w:sz w:val="24"/>
                <w:lang w:val="en-US" w:eastAsia="zh-CN"/>
              </w:rPr>
              <w:t>14</w:t>
            </w:r>
            <w:r>
              <w:rPr>
                <w:rFonts w:hint="default" w:ascii="Times New Roman" w:hAnsi="Times New Roman" w:eastAsia="宋体" w:cs="Times New Roman"/>
                <w:color w:val="auto"/>
                <w:sz w:val="24"/>
              </w:rPr>
              <w:t>日取得</w:t>
            </w:r>
            <w:r>
              <w:rPr>
                <w:rFonts w:hint="eastAsia" w:ascii="Times New Roman" w:hAnsi="Times New Roman" w:eastAsia="宋体" w:cs="Times New Roman"/>
                <w:color w:val="auto"/>
                <w:sz w:val="24"/>
                <w:lang w:eastAsia="zh-CN"/>
              </w:rPr>
              <w:t>常州市金坛区发展和改革局</w:t>
            </w:r>
            <w:r>
              <w:rPr>
                <w:rFonts w:hint="default" w:ascii="Times New Roman" w:hAnsi="Times New Roman" w:eastAsia="宋体" w:cs="Times New Roman"/>
                <w:color w:val="auto"/>
                <w:sz w:val="24"/>
              </w:rPr>
              <w:t>的项目备案证明，备案证号：</w:t>
            </w:r>
            <w:r>
              <w:rPr>
                <w:rFonts w:hint="eastAsia" w:ascii="Times New Roman" w:hAnsi="Times New Roman" w:eastAsia="宋体" w:cs="Times New Roman"/>
                <w:color w:val="auto"/>
                <w:sz w:val="24"/>
                <w:lang w:eastAsia="zh-CN"/>
              </w:rPr>
              <w:t>坛发改备〔2024〕457号</w:t>
            </w:r>
            <w:r>
              <w:rPr>
                <w:rFonts w:hint="default" w:ascii="Times New Roman" w:hAnsi="Times New Roman" w:eastAsia="宋体" w:cs="Times New Roman"/>
                <w:color w:val="auto"/>
                <w:sz w:val="24"/>
              </w:rPr>
              <w:t>，项目代码：2409-320413-04-01-821673，项目建成后将形成</w:t>
            </w:r>
            <w:r>
              <w:rPr>
                <w:rFonts w:hint="default" w:ascii="Times New Roman" w:hAnsi="Times New Roman" w:eastAsia="宋体" w:cs="Times New Roman"/>
                <w:color w:val="auto"/>
                <w:sz w:val="24"/>
                <w:lang w:val="en-US" w:eastAsia="zh-CN"/>
              </w:rPr>
              <w:t>年产500吨汽车增压器零部件</w:t>
            </w:r>
            <w:r>
              <w:rPr>
                <w:rFonts w:hint="default" w:ascii="Times New Roman" w:hAnsi="Times New Roman" w:eastAsia="宋体" w:cs="Times New Roman"/>
                <w:color w:val="auto"/>
                <w:sz w:val="24"/>
              </w:rPr>
              <w:t>的生产能力。</w:t>
            </w:r>
          </w:p>
          <w:p w14:paraId="7D0542A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中华人民共和国环境保护法》（2015年1月1日）、《中华人民共和国环境影响评价法》（2018年12月29日）及《国务院关于修改&lt;建设项目环境保护管理条例&gt;的决定》（国令第682号）的有关规定，本项目应进行环境影响评价。根据《建设项目环境影响评价分类管理名录》（2021年版）环境管理要求，该项目属于</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三十、金属制品业33-</w:t>
            </w:r>
            <w:r>
              <w:rPr>
                <w:rFonts w:hint="eastAsia" w:ascii="Times New Roman" w:hAnsi="Times New Roman" w:eastAsia="宋体" w:cs="Times New Roman"/>
                <w:color w:val="auto"/>
                <w:sz w:val="24"/>
                <w:lang w:val="en-US" w:eastAsia="zh-CN"/>
              </w:rPr>
              <w:t>67</w:t>
            </w:r>
            <w:r>
              <w:rPr>
                <w:rFonts w:hint="default" w:ascii="Times New Roman" w:hAnsi="Times New Roman" w:eastAsia="宋体" w:cs="Times New Roman"/>
                <w:color w:val="auto"/>
                <w:sz w:val="24"/>
              </w:rPr>
              <w:t>、金属表面处理及热处理加工-其他（年用非溶剂型低V0Cs含量涂料10吨以下的除外）</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，应编制环境影响评价报告表。</w:t>
            </w:r>
            <w:r>
              <w:rPr>
                <w:rFonts w:hint="eastAsia" w:ascii="Times New Roman" w:hAnsi="Times New Roman" w:eastAsia="宋体" w:cs="Times New Roman"/>
                <w:color w:val="auto"/>
                <w:sz w:val="24"/>
                <w:lang w:eastAsia="zh-CN"/>
              </w:rPr>
              <w:t>常州苏创热处理有限公司</w:t>
            </w:r>
            <w:r>
              <w:rPr>
                <w:rFonts w:hint="default" w:ascii="Times New Roman" w:hAnsi="Times New Roman" w:eastAsia="宋体" w:cs="Times New Roman"/>
                <w:color w:val="auto"/>
                <w:sz w:val="24"/>
              </w:rPr>
              <w:t>委托</w:t>
            </w:r>
            <w:r>
              <w:rPr>
                <w:rFonts w:hint="default" w:ascii="Times New Roman" w:hAnsi="Times New Roman" w:eastAsia="宋体" w:cs="Times New Roman"/>
                <w:color w:val="auto"/>
                <w:sz w:val="24"/>
                <w:lang w:eastAsia="zh-CN"/>
              </w:rPr>
              <w:t>常州爱森环保科技有限公司</w:t>
            </w:r>
            <w:r>
              <w:rPr>
                <w:rFonts w:hint="default" w:ascii="Times New Roman" w:hAnsi="Times New Roman" w:eastAsia="宋体" w:cs="Times New Roman"/>
                <w:color w:val="auto"/>
                <w:sz w:val="24"/>
              </w:rPr>
              <w:t>编制建设项目环境影响报告表，</w:t>
            </w:r>
            <w:bookmarkStart w:id="15" w:name="_GoBack"/>
            <w:r>
              <w:rPr>
                <w:rFonts w:hint="default" w:ascii="Times New Roman" w:hAnsi="Times New Roman" w:eastAsia="宋体" w:cs="Times New Roman"/>
                <w:color w:val="auto"/>
                <w:sz w:val="24"/>
                <w:lang w:eastAsia="zh-CN"/>
              </w:rPr>
              <w:t>常州爱森环保科技有限公司</w:t>
            </w:r>
            <w:bookmarkEnd w:id="15"/>
            <w:r>
              <w:rPr>
                <w:rFonts w:hint="default" w:ascii="Times New Roman" w:hAnsi="Times New Roman" w:eastAsia="宋体" w:cs="Times New Roman"/>
                <w:color w:val="auto"/>
                <w:sz w:val="24"/>
              </w:rPr>
              <w:t>接受委托后即组织进行现场勘查、相关资料收集及其他相关工作，最终完成了该项目环境影响评价报告表的编制。</w:t>
            </w:r>
          </w:p>
          <w:p w14:paraId="4E19E734">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2、建设内容和规模</w:t>
            </w:r>
          </w:p>
          <w:p w14:paraId="570E386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项目名称：</w:t>
            </w:r>
            <w:r>
              <w:rPr>
                <w:rFonts w:hint="eastAsia" w:ascii="Times New Roman" w:hAnsi="Times New Roman" w:eastAsia="宋体" w:cs="Times New Roman"/>
                <w:color w:val="auto"/>
                <w:sz w:val="24"/>
                <w:lang w:eastAsia="zh-CN"/>
              </w:rPr>
              <w:t>新建年产500吨汽车增压器零部件项目</w:t>
            </w:r>
            <w:r>
              <w:rPr>
                <w:rFonts w:hint="default" w:ascii="Times New Roman" w:hAnsi="Times New Roman" w:eastAsia="宋体" w:cs="Times New Roman"/>
                <w:color w:val="auto"/>
                <w:sz w:val="24"/>
              </w:rPr>
              <w:t>；</w:t>
            </w:r>
          </w:p>
          <w:p w14:paraId="2B15D26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建设单位：</w:t>
            </w:r>
            <w:r>
              <w:rPr>
                <w:rFonts w:hint="eastAsia" w:ascii="Times New Roman" w:hAnsi="Times New Roman" w:eastAsia="宋体" w:cs="Times New Roman"/>
                <w:color w:val="auto"/>
                <w:sz w:val="24"/>
                <w:lang w:eastAsia="zh-CN"/>
              </w:rPr>
              <w:t>常州苏创热处理有限公司</w:t>
            </w:r>
            <w:r>
              <w:rPr>
                <w:rFonts w:hint="default" w:ascii="Times New Roman" w:hAnsi="Times New Roman" w:eastAsia="宋体" w:cs="Times New Roman"/>
                <w:color w:val="auto"/>
                <w:sz w:val="24"/>
              </w:rPr>
              <w:t>；</w:t>
            </w:r>
          </w:p>
          <w:p w14:paraId="409C222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建设地点：</w:t>
            </w:r>
            <w:r>
              <w:rPr>
                <w:rFonts w:hint="default" w:ascii="Times New Roman" w:hAnsi="Times New Roman" w:eastAsia="宋体" w:cs="Times New Roman"/>
                <w:color w:val="auto"/>
                <w:sz w:val="24"/>
                <w:lang w:eastAsia="zh-CN"/>
              </w:rPr>
              <w:t>江苏省常州市金坛区金坛大道75号</w:t>
            </w:r>
            <w:r>
              <w:rPr>
                <w:rFonts w:hint="default" w:ascii="Times New Roman" w:hAnsi="Times New Roman" w:eastAsia="宋体" w:cs="Times New Roman"/>
                <w:color w:val="auto"/>
                <w:sz w:val="24"/>
              </w:rPr>
              <w:t>；</w:t>
            </w:r>
          </w:p>
          <w:p w14:paraId="730E335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建设性质：新建；</w:t>
            </w:r>
          </w:p>
          <w:p w14:paraId="74FAAA9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建筑面积：</w:t>
            </w:r>
            <w:r>
              <w:rPr>
                <w:rFonts w:hint="default" w:ascii="Times New Roman" w:hAnsi="Times New Roman" w:eastAsia="宋体" w:cs="Times New Roman"/>
                <w:color w:val="auto"/>
                <w:sz w:val="24"/>
                <w:lang w:val="en-US" w:eastAsia="zh-CN"/>
              </w:rPr>
              <w:t>4454.9</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w:t>
            </w:r>
          </w:p>
          <w:p w14:paraId="53F0DBC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建设内容和规模：</w:t>
            </w:r>
            <w:r>
              <w:rPr>
                <w:rFonts w:hint="eastAsia" w:ascii="Times New Roman" w:hAnsi="Times New Roman" w:eastAsia="宋体" w:cs="Times New Roman"/>
                <w:color w:val="auto"/>
                <w:sz w:val="24"/>
                <w:lang w:eastAsia="zh-CN"/>
              </w:rPr>
              <w:t>常州苏创热处理有限公司</w:t>
            </w:r>
            <w:r>
              <w:rPr>
                <w:rFonts w:hint="default" w:ascii="Times New Roman" w:hAnsi="Times New Roman" w:eastAsia="宋体" w:cs="Times New Roman"/>
                <w:color w:val="auto"/>
                <w:sz w:val="24"/>
              </w:rPr>
              <w:t>拟投资</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00万元，</w:t>
            </w:r>
            <w:r>
              <w:rPr>
                <w:rFonts w:hint="eastAsia" w:ascii="Times New Roman" w:hAnsi="Times New Roman" w:eastAsia="宋体" w:cs="Times New Roman"/>
                <w:color w:val="auto"/>
                <w:sz w:val="24"/>
                <w:lang w:val="en-US" w:eastAsia="zh-CN"/>
              </w:rPr>
              <w:t>利用</w:t>
            </w:r>
            <w:r>
              <w:rPr>
                <w:rFonts w:hint="default" w:ascii="Times New Roman" w:hAnsi="Times New Roman" w:eastAsia="宋体" w:cs="Times New Roman"/>
                <w:color w:val="auto"/>
                <w:sz w:val="24"/>
                <w:lang w:val="en-US" w:eastAsia="zh-CN"/>
              </w:rPr>
              <w:t>现有空置厂房</w:t>
            </w:r>
            <w:r>
              <w:rPr>
                <w:rFonts w:hint="eastAsia" w:ascii="Times New Roman" w:hAnsi="Times New Roman" w:eastAsia="宋体" w:cs="Times New Roman"/>
                <w:color w:val="auto"/>
                <w:sz w:val="24"/>
                <w:lang w:val="en-US" w:eastAsia="zh-CN"/>
              </w:rPr>
              <w:t>（购入厂房面积</w:t>
            </w:r>
            <w:r>
              <w:rPr>
                <w:rFonts w:hint="eastAsia" w:ascii="Times New Roman" w:hAnsi="Times New Roman" w:eastAsia="宋体" w:cs="Times New Roman"/>
                <w:bCs/>
                <w:color w:val="auto"/>
                <w:sz w:val="24"/>
                <w:szCs w:val="24"/>
                <w:lang w:val="en-US" w:eastAsia="zh-CN"/>
              </w:rPr>
              <w:t>1439.97平方米，租用厂房面积3014.93平方米</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eastAsia="zh-CN"/>
              </w:rPr>
              <w:t>新建年产500吨汽车增压器零部件项目</w:t>
            </w:r>
            <w:r>
              <w:rPr>
                <w:rFonts w:hint="default" w:ascii="Times New Roman" w:hAnsi="Times New Roman" w:eastAsia="宋体" w:cs="Times New Roman"/>
                <w:color w:val="auto"/>
                <w:sz w:val="24"/>
              </w:rPr>
              <w:t>。</w:t>
            </w:r>
          </w:p>
          <w:p w14:paraId="7C6417A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投资情况：</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00万元，其中环保投资1</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0万元，占总投资的</w:t>
            </w:r>
            <w:r>
              <w:rPr>
                <w:rFonts w:hint="eastAsia" w:ascii="Times New Roman" w:hAnsi="Times New Roman" w:eastAsia="宋体" w:cs="Times New Roman"/>
                <w:color w:val="auto"/>
                <w:sz w:val="24"/>
                <w:lang w:val="en-US" w:eastAsia="zh-CN"/>
              </w:rPr>
              <w:t>3.33</w:t>
            </w:r>
            <w:r>
              <w:rPr>
                <w:rFonts w:hint="default" w:ascii="Times New Roman" w:hAnsi="Times New Roman" w:eastAsia="宋体" w:cs="Times New Roman"/>
                <w:color w:val="auto"/>
                <w:sz w:val="24"/>
              </w:rPr>
              <w:t>%；</w:t>
            </w:r>
          </w:p>
          <w:p w14:paraId="33DA35C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劳动定员及工作制度：</w:t>
            </w:r>
            <w:r>
              <w:rPr>
                <w:rFonts w:hint="default" w:ascii="Times New Roman" w:hAnsi="Times New Roman" w:eastAsia="宋体" w:cs="Times New Roman"/>
                <w:bCs/>
                <w:color w:val="auto"/>
                <w:sz w:val="24"/>
                <w:szCs w:val="24"/>
              </w:rPr>
              <w:t>初步劳动定员为</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rPr>
              <w:t>0人</w:t>
            </w:r>
            <w:r>
              <w:rPr>
                <w:rFonts w:hint="default" w:ascii="Times New Roman" w:hAnsi="Times New Roman" w:eastAsia="宋体" w:cs="Times New Roman"/>
                <w:bCs/>
                <w:color w:val="auto"/>
                <w:sz w:val="24"/>
                <w:szCs w:val="24"/>
                <w:lang w:eastAsia="zh-CN"/>
              </w:rPr>
              <w:t>，</w:t>
            </w:r>
            <w:r>
              <w:rPr>
                <w:rFonts w:hint="default" w:ascii="Times New Roman" w:hAnsi="Times New Roman" w:eastAsia="宋体" w:cs="Times New Roman"/>
                <w:color w:val="auto"/>
                <w:sz w:val="24"/>
              </w:rPr>
              <w:t>年工作300天，每天工作</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班，每班工作8小时，年工作时间为</w:t>
            </w:r>
            <w:r>
              <w:rPr>
                <w:rFonts w:hint="eastAsia" w:ascii="Times New Roman" w:hAnsi="Times New Roman" w:eastAsia="宋体" w:cs="Times New Roman"/>
                <w:color w:val="auto"/>
                <w:sz w:val="24"/>
                <w:lang w:val="en-US" w:eastAsia="zh-CN"/>
              </w:rPr>
              <w:t>48</w:t>
            </w:r>
            <w:r>
              <w:rPr>
                <w:rFonts w:hint="default" w:ascii="Times New Roman" w:hAnsi="Times New Roman" w:eastAsia="宋体" w:cs="Times New Roman"/>
                <w:color w:val="auto"/>
                <w:sz w:val="24"/>
              </w:rPr>
              <w:t>00小时；</w:t>
            </w:r>
          </w:p>
          <w:p w14:paraId="1FD72F6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其他：本项目不设置食堂、宿舍等其他生活设施。</w:t>
            </w:r>
          </w:p>
          <w:p w14:paraId="598E29C2">
            <w:pPr>
              <w:pStyle w:val="2"/>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rPr>
                <w:rFonts w:hint="default" w:eastAsia="宋体"/>
                <w:b/>
                <w:bCs/>
                <w:color w:val="auto"/>
                <w:lang w:val="en-US" w:eastAsia="zh-CN"/>
              </w:rPr>
            </w:pPr>
            <w:r>
              <w:rPr>
                <w:rFonts w:hint="eastAsia" w:ascii="Times New Roman" w:hAnsi="Times New Roman" w:eastAsia="宋体" w:cs="Times New Roman"/>
                <w:b/>
                <w:bCs/>
                <w:color w:val="auto"/>
                <w:sz w:val="24"/>
                <w:lang w:val="en-US" w:eastAsia="zh-CN"/>
              </w:rPr>
              <w:t>本项目建设必要性说明：本项目位于</w:t>
            </w:r>
            <w:r>
              <w:rPr>
                <w:rFonts w:hint="default" w:ascii="Times New Roman" w:hAnsi="Times New Roman" w:eastAsia="宋体" w:cs="Times New Roman"/>
                <w:b/>
                <w:bCs/>
                <w:color w:val="auto"/>
                <w:sz w:val="24"/>
                <w:szCs w:val="24"/>
              </w:rPr>
              <w:t>金坛华罗庚高新技术产业开发区</w:t>
            </w:r>
            <w:r>
              <w:rPr>
                <w:rFonts w:hint="eastAsia" w:ascii="Times New Roman" w:hAnsi="Times New Roman" w:eastAsia="宋体" w:cs="Times New Roman"/>
                <w:b/>
                <w:bCs/>
                <w:color w:val="auto"/>
                <w:sz w:val="24"/>
                <w:szCs w:val="24"/>
                <w:lang w:eastAsia="zh-CN"/>
              </w:rPr>
              <w:t>，</w:t>
            </w:r>
            <w:r>
              <w:rPr>
                <w:rFonts w:hint="eastAsia" w:ascii="Times New Roman" w:hAnsi="Times New Roman" w:eastAsia="宋体" w:cs="Times New Roman"/>
                <w:b/>
                <w:bCs/>
                <w:color w:val="auto"/>
                <w:sz w:val="24"/>
                <w:szCs w:val="24"/>
                <w:lang w:val="en-US" w:eastAsia="zh-CN"/>
              </w:rPr>
              <w:t>园区及金坛区内建设有多家新能源汽车企业，对汽车增压零部件的需要量很大，本项目建成后，</w:t>
            </w:r>
            <w:r>
              <w:rPr>
                <w:rFonts w:hint="eastAsia" w:ascii="Times New Roman" w:hAnsi="Times New Roman" w:eastAsia="宋体" w:cs="Times New Roman"/>
                <w:b/>
                <w:bCs/>
                <w:color w:val="auto"/>
                <w:sz w:val="24"/>
                <w:lang w:val="en-US" w:eastAsia="zh-CN"/>
              </w:rPr>
              <w:t>主要进行零部件的表面处理及热处理加工，</w:t>
            </w:r>
            <w:r>
              <w:rPr>
                <w:rFonts w:hint="eastAsia" w:ascii="Times New Roman" w:hAnsi="Times New Roman" w:eastAsia="宋体" w:cs="Times New Roman"/>
                <w:b/>
                <w:bCs/>
                <w:color w:val="auto"/>
                <w:sz w:val="24"/>
                <w:szCs w:val="24"/>
                <w:lang w:val="en-US" w:eastAsia="zh-CN"/>
              </w:rPr>
              <w:t>可为园区内新能源汽车企业提供零部件加工服务，减轻新能源汽车企业自身生产压力，因此本项目的建设是必要的。</w:t>
            </w:r>
          </w:p>
          <w:p w14:paraId="7445B5D2">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、产品及产能</w:t>
            </w:r>
          </w:p>
          <w:p w14:paraId="43C9F14C">
            <w:pPr>
              <w:pStyle w:val="54"/>
              <w:spacing w:line="360" w:lineRule="auto"/>
              <w:ind w:firstLine="484" w:firstLineChars="200"/>
              <w:jc w:val="left"/>
              <w:rPr>
                <w:rFonts w:hint="default" w:ascii="Times New Roman" w:hAnsi="Times New Roman" w:eastAsia="宋体" w:cs="Times New Roman"/>
                <w:b/>
                <w:bCs/>
                <w:color w:val="auto"/>
                <w:sz w:val="24"/>
              </w:rPr>
            </w:pPr>
            <w:r>
              <w:rPr>
                <w:rFonts w:hint="default" w:ascii="Times New Roman" w:hAnsi="Times New Roman" w:eastAsia="宋体" w:cs="Times New Roman"/>
                <w:color w:val="auto"/>
                <w:spacing w:val="1"/>
                <w:sz w:val="24"/>
              </w:rPr>
              <w:t>本项目</w:t>
            </w:r>
            <w:r>
              <w:rPr>
                <w:rFonts w:hint="default" w:ascii="Times New Roman" w:hAnsi="Times New Roman" w:eastAsia="宋体" w:cs="Times New Roman"/>
                <w:color w:val="auto"/>
                <w:spacing w:val="-2"/>
                <w:sz w:val="24"/>
              </w:rPr>
              <w:t>产品方案详见表2-1。</w:t>
            </w:r>
          </w:p>
          <w:p w14:paraId="7DAD56C8">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 xml:space="preserve">  建设项目产品方案</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79"/>
              <w:gridCol w:w="1236"/>
              <w:gridCol w:w="1286"/>
              <w:gridCol w:w="3284"/>
              <w:gridCol w:w="992"/>
              <w:gridCol w:w="1038"/>
            </w:tblGrid>
            <w:tr w14:paraId="45F9534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8" w:type="pct"/>
                  <w:vAlign w:val="center"/>
                </w:tcPr>
                <w:p w14:paraId="2F9577AD">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743" w:type="pct"/>
                  <w:vAlign w:val="center"/>
                </w:tcPr>
                <w:p w14:paraId="4A62BBA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产品名称</w:t>
                  </w:r>
                </w:p>
              </w:tc>
              <w:tc>
                <w:tcPr>
                  <w:tcW w:w="773" w:type="pct"/>
                  <w:vAlign w:val="center"/>
                </w:tcPr>
                <w:p w14:paraId="45CA1612">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产品参数</w:t>
                  </w:r>
                </w:p>
              </w:tc>
              <w:tc>
                <w:tcPr>
                  <w:tcW w:w="1974" w:type="pct"/>
                  <w:vAlign w:val="center"/>
                </w:tcPr>
                <w:p w14:paraId="203E0E58">
                  <w:pPr>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产品照片</w:t>
                  </w:r>
                </w:p>
              </w:tc>
              <w:tc>
                <w:tcPr>
                  <w:tcW w:w="596" w:type="pct"/>
                  <w:vAlign w:val="center"/>
                </w:tcPr>
                <w:p w14:paraId="20B2AB95">
                  <w:pPr>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设计能力</w:t>
                  </w:r>
                  <w:r>
                    <w:rPr>
                      <w:rFonts w:hint="default" w:ascii="Times New Roman" w:hAnsi="Times New Roman" w:eastAsia="宋体" w:cs="Times New Roman"/>
                      <w:b/>
                      <w:bCs w:val="0"/>
                      <w:color w:val="auto"/>
                      <w:sz w:val="21"/>
                      <w:szCs w:val="21"/>
                      <w:lang w:eastAsia="zh-CN"/>
                    </w:rPr>
                    <w:t>（</w:t>
                  </w:r>
                  <w:r>
                    <w:rPr>
                      <w:rFonts w:hint="eastAsia" w:ascii="Times New Roman" w:hAnsi="Times New Roman" w:eastAsia="宋体" w:cs="Times New Roman"/>
                      <w:b/>
                      <w:bCs w:val="0"/>
                      <w:color w:val="auto"/>
                      <w:sz w:val="21"/>
                      <w:szCs w:val="21"/>
                      <w:lang w:val="en-US" w:eastAsia="zh-CN"/>
                    </w:rPr>
                    <w:t>t</w:t>
                  </w:r>
                  <w:r>
                    <w:rPr>
                      <w:rFonts w:hint="default" w:ascii="Times New Roman" w:hAnsi="Times New Roman" w:eastAsia="宋体" w:cs="Times New Roman"/>
                      <w:b/>
                      <w:bCs w:val="0"/>
                      <w:color w:val="auto"/>
                      <w:sz w:val="21"/>
                      <w:szCs w:val="21"/>
                    </w:rPr>
                    <w:t>/a</w:t>
                  </w:r>
                  <w:r>
                    <w:rPr>
                      <w:rFonts w:hint="default" w:ascii="Times New Roman" w:hAnsi="Times New Roman" w:eastAsia="宋体" w:cs="Times New Roman"/>
                      <w:b/>
                      <w:bCs w:val="0"/>
                      <w:color w:val="auto"/>
                      <w:sz w:val="21"/>
                      <w:szCs w:val="21"/>
                      <w:lang w:eastAsia="zh-CN"/>
                    </w:rPr>
                    <w:t>）</w:t>
                  </w:r>
                </w:p>
              </w:tc>
              <w:tc>
                <w:tcPr>
                  <w:tcW w:w="624" w:type="pct"/>
                  <w:vAlign w:val="center"/>
                </w:tcPr>
                <w:p w14:paraId="3227852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年运行时数</w:t>
                  </w:r>
                </w:p>
              </w:tc>
            </w:tr>
            <w:tr w14:paraId="71D993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8" w:type="pct"/>
                  <w:vMerge w:val="restart"/>
                  <w:vAlign w:val="center"/>
                </w:tcPr>
                <w:p w14:paraId="27DE225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43" w:type="pct"/>
                  <w:vMerge w:val="restart"/>
                  <w:vAlign w:val="center"/>
                </w:tcPr>
                <w:p w14:paraId="3383DF7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汽车增压器零部件</w:t>
                  </w:r>
                </w:p>
              </w:tc>
              <w:tc>
                <w:tcPr>
                  <w:tcW w:w="773" w:type="pct"/>
                  <w:vAlign w:val="center"/>
                </w:tcPr>
                <w:p w14:paraId="1011EAA7">
                  <w:pPr>
                    <w:pStyle w:val="7"/>
                    <w:bidi w:val="0"/>
                    <w:ind w:left="0" w:leftChars="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拉杆：厚度4毫米，长度150毫米；材质：718模具钢</w:t>
                  </w:r>
                </w:p>
              </w:tc>
              <w:tc>
                <w:tcPr>
                  <w:tcW w:w="1974" w:type="pct"/>
                  <w:vAlign w:val="center"/>
                </w:tcPr>
                <w:p w14:paraId="4D48664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drawing>
                      <wp:inline distT="0" distB="0" distL="114300" distR="114300">
                        <wp:extent cx="1586230" cy="1188720"/>
                        <wp:effectExtent l="0" t="0" r="13970" b="0"/>
                        <wp:docPr id="10" name="图片 10" descr="44f93151aae53d35605e00e62397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44f93151aae53d35605e00e62397a5a"/>
                                <pic:cNvPicPr>
                                  <a:picLocks noChangeAspect="1"/>
                                </pic:cNvPicPr>
                              </pic:nvPicPr>
                              <pic:blipFill>
                                <a:blip r:embed="rId9"/>
                                <a:stretch>
                                  <a:fillRect/>
                                </a:stretch>
                              </pic:blipFill>
                              <pic:spPr>
                                <a:xfrm>
                                  <a:off x="0" y="0"/>
                                  <a:ext cx="1586230" cy="1188720"/>
                                </a:xfrm>
                                <a:prstGeom prst="rect">
                                  <a:avLst/>
                                </a:prstGeom>
                              </pic:spPr>
                            </pic:pic>
                          </a:graphicData>
                        </a:graphic>
                      </wp:inline>
                    </w:drawing>
                  </w:r>
                </w:p>
              </w:tc>
              <w:tc>
                <w:tcPr>
                  <w:tcW w:w="596" w:type="pct"/>
                  <w:vMerge w:val="restart"/>
                  <w:vAlign w:val="center"/>
                </w:tcPr>
                <w:p w14:paraId="55B753BC">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00</w:t>
                  </w:r>
                </w:p>
              </w:tc>
              <w:tc>
                <w:tcPr>
                  <w:tcW w:w="624" w:type="pct"/>
                  <w:vMerge w:val="restart"/>
                  <w:vAlign w:val="center"/>
                </w:tcPr>
                <w:p w14:paraId="5357D012">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48</w:t>
                  </w:r>
                  <w:r>
                    <w:rPr>
                      <w:rFonts w:hint="default" w:ascii="Times New Roman" w:hAnsi="Times New Roman" w:eastAsia="宋体" w:cs="Times New Roman"/>
                      <w:color w:val="auto"/>
                      <w:sz w:val="21"/>
                      <w:szCs w:val="21"/>
                    </w:rPr>
                    <w:t>00h</w:t>
                  </w:r>
                </w:p>
              </w:tc>
            </w:tr>
            <w:tr w14:paraId="424147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8" w:type="pct"/>
                  <w:vMerge w:val="continue"/>
                  <w:vAlign w:val="center"/>
                </w:tcPr>
                <w:p w14:paraId="410080C4">
                  <w:pPr>
                    <w:jc w:val="center"/>
                    <w:rPr>
                      <w:rFonts w:hint="default" w:ascii="Times New Roman" w:hAnsi="Times New Roman" w:eastAsia="宋体" w:cs="Times New Roman"/>
                      <w:color w:val="auto"/>
                      <w:sz w:val="21"/>
                      <w:szCs w:val="21"/>
                    </w:rPr>
                  </w:pPr>
                </w:p>
              </w:tc>
              <w:tc>
                <w:tcPr>
                  <w:tcW w:w="743" w:type="pct"/>
                  <w:vMerge w:val="continue"/>
                  <w:vAlign w:val="center"/>
                </w:tcPr>
                <w:p w14:paraId="3310554F">
                  <w:pPr>
                    <w:jc w:val="center"/>
                    <w:rPr>
                      <w:rFonts w:hint="default" w:ascii="Times New Roman" w:hAnsi="Times New Roman" w:eastAsia="宋体" w:cs="Times New Roman"/>
                      <w:color w:val="auto"/>
                      <w:sz w:val="21"/>
                      <w:szCs w:val="21"/>
                      <w:lang w:eastAsia="zh-CN"/>
                    </w:rPr>
                  </w:pPr>
                </w:p>
              </w:tc>
              <w:tc>
                <w:tcPr>
                  <w:tcW w:w="773" w:type="pct"/>
                  <w:vAlign w:val="center"/>
                </w:tcPr>
                <w:p w14:paraId="6D3EC5A7">
                  <w:pPr>
                    <w:pStyle w:val="7"/>
                    <w:bidi w:val="0"/>
                    <w:ind w:left="0" w:leftChars="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拉杆：厚度4毫米，长度45毫米；材质：718模具钢</w:t>
                  </w:r>
                </w:p>
              </w:tc>
              <w:tc>
                <w:tcPr>
                  <w:tcW w:w="1974" w:type="pct"/>
                  <w:vAlign w:val="center"/>
                </w:tcPr>
                <w:p w14:paraId="156AB8D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drawing>
                      <wp:inline distT="0" distB="0" distL="114300" distR="114300">
                        <wp:extent cx="1598295" cy="1610995"/>
                        <wp:effectExtent l="0" t="0" r="0" b="0"/>
                        <wp:docPr id="11" name="图片 11" descr="893e099da236b1939ecceddde6b8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893e099da236b1939ecceddde6b8ff5"/>
                                <pic:cNvPicPr>
                                  <a:picLocks noChangeAspect="1"/>
                                </pic:cNvPicPr>
                              </pic:nvPicPr>
                              <pic:blipFill>
                                <a:blip r:embed="rId10"/>
                                <a:srcRect t="10634" b="13792"/>
                                <a:stretch>
                                  <a:fillRect/>
                                </a:stretch>
                              </pic:blipFill>
                              <pic:spPr>
                                <a:xfrm>
                                  <a:off x="0" y="0"/>
                                  <a:ext cx="1598295" cy="1610995"/>
                                </a:xfrm>
                                <a:prstGeom prst="rect">
                                  <a:avLst/>
                                </a:prstGeom>
                              </pic:spPr>
                            </pic:pic>
                          </a:graphicData>
                        </a:graphic>
                      </wp:inline>
                    </w:drawing>
                  </w:r>
                </w:p>
              </w:tc>
              <w:tc>
                <w:tcPr>
                  <w:tcW w:w="596" w:type="pct"/>
                  <w:vMerge w:val="continue"/>
                  <w:vAlign w:val="center"/>
                </w:tcPr>
                <w:p w14:paraId="593D71BA">
                  <w:pPr>
                    <w:jc w:val="center"/>
                    <w:rPr>
                      <w:rFonts w:hint="eastAsia" w:ascii="Times New Roman" w:hAnsi="Times New Roman" w:eastAsia="宋体" w:cs="Times New Roman"/>
                      <w:color w:val="auto"/>
                      <w:sz w:val="21"/>
                      <w:szCs w:val="21"/>
                      <w:lang w:val="en-US" w:eastAsia="zh-CN"/>
                    </w:rPr>
                  </w:pPr>
                </w:p>
              </w:tc>
              <w:tc>
                <w:tcPr>
                  <w:tcW w:w="624" w:type="pct"/>
                  <w:vMerge w:val="continue"/>
                  <w:vAlign w:val="center"/>
                </w:tcPr>
                <w:p w14:paraId="5C2EAED2">
                  <w:pPr>
                    <w:jc w:val="center"/>
                    <w:rPr>
                      <w:rFonts w:hint="eastAsia" w:ascii="Times New Roman" w:hAnsi="Times New Roman" w:eastAsia="宋体" w:cs="Times New Roman"/>
                      <w:color w:val="auto"/>
                      <w:sz w:val="21"/>
                      <w:szCs w:val="21"/>
                      <w:lang w:val="en-US" w:eastAsia="zh-CN"/>
                    </w:rPr>
                  </w:pPr>
                </w:p>
              </w:tc>
            </w:tr>
            <w:tr w14:paraId="173E7B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8" w:type="pct"/>
                  <w:vMerge w:val="continue"/>
                  <w:vAlign w:val="center"/>
                </w:tcPr>
                <w:p w14:paraId="646F8204">
                  <w:pPr>
                    <w:jc w:val="center"/>
                    <w:rPr>
                      <w:rFonts w:hint="default" w:ascii="Times New Roman" w:hAnsi="Times New Roman" w:eastAsia="宋体" w:cs="Times New Roman"/>
                      <w:color w:val="auto"/>
                      <w:sz w:val="21"/>
                      <w:szCs w:val="21"/>
                    </w:rPr>
                  </w:pPr>
                </w:p>
              </w:tc>
              <w:tc>
                <w:tcPr>
                  <w:tcW w:w="743" w:type="pct"/>
                  <w:vMerge w:val="continue"/>
                  <w:vAlign w:val="center"/>
                </w:tcPr>
                <w:p w14:paraId="05A53F3A">
                  <w:pPr>
                    <w:jc w:val="center"/>
                    <w:rPr>
                      <w:rFonts w:hint="default" w:ascii="Times New Roman" w:hAnsi="Times New Roman" w:eastAsia="宋体" w:cs="Times New Roman"/>
                      <w:color w:val="auto"/>
                      <w:sz w:val="21"/>
                      <w:szCs w:val="21"/>
                      <w:lang w:eastAsia="zh-CN"/>
                    </w:rPr>
                  </w:pPr>
                </w:p>
              </w:tc>
              <w:tc>
                <w:tcPr>
                  <w:tcW w:w="773" w:type="pct"/>
                  <w:vAlign w:val="center"/>
                </w:tcPr>
                <w:p w14:paraId="1F3AAF74">
                  <w:pPr>
                    <w:pStyle w:val="7"/>
                    <w:bidi w:val="0"/>
                    <w:ind w:left="0" w:leftChars="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PIN：外径11毫米，长度23毫米；材质：718模具钢</w:t>
                  </w:r>
                </w:p>
              </w:tc>
              <w:tc>
                <w:tcPr>
                  <w:tcW w:w="1974" w:type="pct"/>
                  <w:vAlign w:val="center"/>
                </w:tcPr>
                <w:p w14:paraId="1150139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drawing>
                      <wp:inline distT="0" distB="0" distL="114300" distR="114300">
                        <wp:extent cx="1595120" cy="1666875"/>
                        <wp:effectExtent l="0" t="0" r="0" b="0"/>
                        <wp:docPr id="12" name="图片 12" descr="ed23f0ae8327cbb54aadbc67470ee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d23f0ae8327cbb54aadbc67470ee4c"/>
                                <pic:cNvPicPr>
                                  <a:picLocks noChangeAspect="1"/>
                                </pic:cNvPicPr>
                              </pic:nvPicPr>
                              <pic:blipFill>
                                <a:blip r:embed="rId11"/>
                                <a:srcRect t="10594" b="41126"/>
                                <a:stretch>
                                  <a:fillRect/>
                                </a:stretch>
                              </pic:blipFill>
                              <pic:spPr>
                                <a:xfrm>
                                  <a:off x="0" y="0"/>
                                  <a:ext cx="1595120" cy="1666875"/>
                                </a:xfrm>
                                <a:prstGeom prst="rect">
                                  <a:avLst/>
                                </a:prstGeom>
                              </pic:spPr>
                            </pic:pic>
                          </a:graphicData>
                        </a:graphic>
                      </wp:inline>
                    </w:drawing>
                  </w:r>
                </w:p>
              </w:tc>
              <w:tc>
                <w:tcPr>
                  <w:tcW w:w="596" w:type="pct"/>
                  <w:vMerge w:val="continue"/>
                  <w:vAlign w:val="center"/>
                </w:tcPr>
                <w:p w14:paraId="474BCDF7">
                  <w:pPr>
                    <w:jc w:val="center"/>
                    <w:rPr>
                      <w:rFonts w:hint="eastAsia" w:ascii="Times New Roman" w:hAnsi="Times New Roman" w:eastAsia="宋体" w:cs="Times New Roman"/>
                      <w:color w:val="auto"/>
                      <w:sz w:val="21"/>
                      <w:szCs w:val="21"/>
                      <w:lang w:val="en-US" w:eastAsia="zh-CN"/>
                    </w:rPr>
                  </w:pPr>
                </w:p>
              </w:tc>
              <w:tc>
                <w:tcPr>
                  <w:tcW w:w="624" w:type="pct"/>
                  <w:vMerge w:val="continue"/>
                  <w:vAlign w:val="center"/>
                </w:tcPr>
                <w:p w14:paraId="287AC9D2">
                  <w:pPr>
                    <w:jc w:val="center"/>
                    <w:rPr>
                      <w:rFonts w:hint="eastAsia" w:ascii="Times New Roman" w:hAnsi="Times New Roman" w:eastAsia="宋体" w:cs="Times New Roman"/>
                      <w:color w:val="auto"/>
                      <w:sz w:val="21"/>
                      <w:szCs w:val="21"/>
                      <w:lang w:val="en-US" w:eastAsia="zh-CN"/>
                    </w:rPr>
                  </w:pPr>
                </w:p>
              </w:tc>
            </w:tr>
            <w:tr w14:paraId="646D4B1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68" w:hRule="atLeast"/>
              </w:trPr>
              <w:tc>
                <w:tcPr>
                  <w:tcW w:w="288" w:type="pct"/>
                  <w:vMerge w:val="continue"/>
                  <w:vAlign w:val="center"/>
                </w:tcPr>
                <w:p w14:paraId="002791C1">
                  <w:pPr>
                    <w:jc w:val="center"/>
                    <w:rPr>
                      <w:rFonts w:hint="default" w:ascii="Times New Roman" w:hAnsi="Times New Roman" w:eastAsia="宋体" w:cs="Times New Roman"/>
                      <w:color w:val="auto"/>
                      <w:sz w:val="21"/>
                      <w:szCs w:val="21"/>
                    </w:rPr>
                  </w:pPr>
                </w:p>
              </w:tc>
              <w:tc>
                <w:tcPr>
                  <w:tcW w:w="743" w:type="pct"/>
                  <w:vMerge w:val="continue"/>
                  <w:vAlign w:val="center"/>
                </w:tcPr>
                <w:p w14:paraId="62DDF936">
                  <w:pPr>
                    <w:jc w:val="center"/>
                    <w:rPr>
                      <w:rFonts w:hint="default" w:ascii="Times New Roman" w:hAnsi="Times New Roman" w:eastAsia="宋体" w:cs="Times New Roman"/>
                      <w:color w:val="auto"/>
                      <w:sz w:val="21"/>
                      <w:szCs w:val="21"/>
                      <w:lang w:eastAsia="zh-CN"/>
                    </w:rPr>
                  </w:pPr>
                </w:p>
              </w:tc>
              <w:tc>
                <w:tcPr>
                  <w:tcW w:w="773" w:type="pct"/>
                  <w:vAlign w:val="center"/>
                </w:tcPr>
                <w:p w14:paraId="21F2F385">
                  <w:pPr>
                    <w:pStyle w:val="7"/>
                    <w:bidi w:val="0"/>
                    <w:ind w:left="0" w:leftChars="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隔热罩：厚度2.3毫米，外径55毫米；材质：718模具钢</w:t>
                  </w:r>
                </w:p>
              </w:tc>
              <w:tc>
                <w:tcPr>
                  <w:tcW w:w="1974" w:type="pct"/>
                  <w:vAlign w:val="center"/>
                </w:tcPr>
                <w:p w14:paraId="20B304DE">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drawing>
                      <wp:inline distT="0" distB="0" distL="114300" distR="114300">
                        <wp:extent cx="1544320" cy="1806575"/>
                        <wp:effectExtent l="0" t="0" r="10160" b="6985"/>
                        <wp:docPr id="13" name="图片 13" descr="25a9891874d24af119d0a96188953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5a9891874d24af119d0a96188953f7"/>
                                <pic:cNvPicPr>
                                  <a:picLocks noChangeAspect="1"/>
                                </pic:cNvPicPr>
                              </pic:nvPicPr>
                              <pic:blipFill>
                                <a:blip r:embed="rId12"/>
                                <a:srcRect b="12292"/>
                                <a:stretch>
                                  <a:fillRect/>
                                </a:stretch>
                              </pic:blipFill>
                              <pic:spPr>
                                <a:xfrm>
                                  <a:off x="0" y="0"/>
                                  <a:ext cx="1544320" cy="1806575"/>
                                </a:xfrm>
                                <a:prstGeom prst="rect">
                                  <a:avLst/>
                                </a:prstGeom>
                              </pic:spPr>
                            </pic:pic>
                          </a:graphicData>
                        </a:graphic>
                      </wp:inline>
                    </w:drawing>
                  </w:r>
                </w:p>
              </w:tc>
              <w:tc>
                <w:tcPr>
                  <w:tcW w:w="596" w:type="pct"/>
                  <w:vMerge w:val="continue"/>
                  <w:vAlign w:val="center"/>
                </w:tcPr>
                <w:p w14:paraId="2F758CE5">
                  <w:pPr>
                    <w:jc w:val="center"/>
                    <w:rPr>
                      <w:rFonts w:hint="eastAsia" w:ascii="Times New Roman" w:hAnsi="Times New Roman" w:eastAsia="宋体" w:cs="Times New Roman"/>
                      <w:color w:val="auto"/>
                      <w:sz w:val="21"/>
                      <w:szCs w:val="21"/>
                      <w:lang w:val="en-US" w:eastAsia="zh-CN"/>
                    </w:rPr>
                  </w:pPr>
                </w:p>
              </w:tc>
              <w:tc>
                <w:tcPr>
                  <w:tcW w:w="624" w:type="pct"/>
                  <w:vMerge w:val="continue"/>
                  <w:vAlign w:val="center"/>
                </w:tcPr>
                <w:p w14:paraId="5EEAEDE7">
                  <w:pPr>
                    <w:jc w:val="center"/>
                    <w:rPr>
                      <w:rFonts w:hint="eastAsia" w:ascii="Times New Roman" w:hAnsi="Times New Roman" w:eastAsia="宋体" w:cs="Times New Roman"/>
                      <w:color w:val="auto"/>
                      <w:sz w:val="21"/>
                      <w:szCs w:val="21"/>
                      <w:lang w:val="en-US" w:eastAsia="zh-CN"/>
                    </w:rPr>
                  </w:pPr>
                </w:p>
              </w:tc>
            </w:tr>
            <w:tr w14:paraId="56D62DD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8" w:type="pct"/>
                  <w:vMerge w:val="continue"/>
                  <w:vAlign w:val="center"/>
                </w:tcPr>
                <w:p w14:paraId="7B9242D3">
                  <w:pPr>
                    <w:jc w:val="center"/>
                    <w:rPr>
                      <w:rFonts w:hint="default" w:ascii="Times New Roman" w:hAnsi="Times New Roman" w:eastAsia="宋体" w:cs="Times New Roman"/>
                      <w:color w:val="auto"/>
                      <w:sz w:val="21"/>
                      <w:szCs w:val="21"/>
                    </w:rPr>
                  </w:pPr>
                </w:p>
              </w:tc>
              <w:tc>
                <w:tcPr>
                  <w:tcW w:w="743" w:type="pct"/>
                  <w:vMerge w:val="continue"/>
                  <w:vAlign w:val="center"/>
                </w:tcPr>
                <w:p w14:paraId="02491FC2">
                  <w:pPr>
                    <w:jc w:val="center"/>
                    <w:rPr>
                      <w:rFonts w:hint="default" w:ascii="Times New Roman" w:hAnsi="Times New Roman" w:eastAsia="宋体" w:cs="Times New Roman"/>
                      <w:color w:val="auto"/>
                      <w:sz w:val="21"/>
                      <w:szCs w:val="21"/>
                      <w:lang w:eastAsia="zh-CN"/>
                    </w:rPr>
                  </w:pPr>
                </w:p>
              </w:tc>
              <w:tc>
                <w:tcPr>
                  <w:tcW w:w="773" w:type="pct"/>
                  <w:vAlign w:val="center"/>
                </w:tcPr>
                <w:p w14:paraId="2CEA4642">
                  <w:pPr>
                    <w:pStyle w:val="7"/>
                    <w:bidi w:val="0"/>
                    <w:ind w:left="0" w:leftChars="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最大外径56毫米，内径35毫米，高度78毫米；材质：不锈钢304</w:t>
                  </w:r>
                </w:p>
              </w:tc>
              <w:tc>
                <w:tcPr>
                  <w:tcW w:w="1974" w:type="pct"/>
                  <w:vAlign w:val="center"/>
                </w:tcPr>
                <w:p w14:paraId="3CB6C9E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drawing>
                      <wp:inline distT="0" distB="0" distL="114300" distR="114300">
                        <wp:extent cx="1520825" cy="1849755"/>
                        <wp:effectExtent l="0" t="0" r="3175" b="9525"/>
                        <wp:docPr id="14" name="图片 14" descr="355d55006e29c372bbb44338c521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355d55006e29c372bbb44338c521723"/>
                                <pic:cNvPicPr>
                                  <a:picLocks noChangeAspect="1"/>
                                </pic:cNvPicPr>
                              </pic:nvPicPr>
                              <pic:blipFill>
                                <a:blip r:embed="rId13"/>
                                <a:srcRect b="31588"/>
                                <a:stretch>
                                  <a:fillRect/>
                                </a:stretch>
                              </pic:blipFill>
                              <pic:spPr>
                                <a:xfrm>
                                  <a:off x="0" y="0"/>
                                  <a:ext cx="1520825" cy="1849755"/>
                                </a:xfrm>
                                <a:prstGeom prst="rect">
                                  <a:avLst/>
                                </a:prstGeom>
                              </pic:spPr>
                            </pic:pic>
                          </a:graphicData>
                        </a:graphic>
                      </wp:inline>
                    </w:drawing>
                  </w:r>
                </w:p>
              </w:tc>
              <w:tc>
                <w:tcPr>
                  <w:tcW w:w="596" w:type="pct"/>
                  <w:vMerge w:val="continue"/>
                  <w:vAlign w:val="center"/>
                </w:tcPr>
                <w:p w14:paraId="01136320">
                  <w:pPr>
                    <w:jc w:val="center"/>
                    <w:rPr>
                      <w:rFonts w:hint="eastAsia" w:ascii="Times New Roman" w:hAnsi="Times New Roman" w:eastAsia="宋体" w:cs="Times New Roman"/>
                      <w:color w:val="auto"/>
                      <w:sz w:val="21"/>
                      <w:szCs w:val="21"/>
                      <w:lang w:val="en-US" w:eastAsia="zh-CN"/>
                    </w:rPr>
                  </w:pPr>
                </w:p>
              </w:tc>
              <w:tc>
                <w:tcPr>
                  <w:tcW w:w="624" w:type="pct"/>
                  <w:vMerge w:val="continue"/>
                  <w:vAlign w:val="center"/>
                </w:tcPr>
                <w:p w14:paraId="28F56E78">
                  <w:pPr>
                    <w:jc w:val="center"/>
                    <w:rPr>
                      <w:rFonts w:hint="eastAsia" w:ascii="Times New Roman" w:hAnsi="Times New Roman" w:eastAsia="宋体" w:cs="Times New Roman"/>
                      <w:color w:val="auto"/>
                      <w:sz w:val="21"/>
                      <w:szCs w:val="21"/>
                      <w:lang w:val="en-US" w:eastAsia="zh-CN"/>
                    </w:rPr>
                  </w:pPr>
                </w:p>
              </w:tc>
            </w:tr>
            <w:tr w14:paraId="3229CA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8" w:type="pct"/>
                  <w:vMerge w:val="continue"/>
                  <w:vAlign w:val="center"/>
                </w:tcPr>
                <w:p w14:paraId="4A2A8BA6">
                  <w:pPr>
                    <w:jc w:val="center"/>
                    <w:rPr>
                      <w:rFonts w:hint="default" w:ascii="Times New Roman" w:hAnsi="Times New Roman" w:eastAsia="宋体" w:cs="Times New Roman"/>
                      <w:color w:val="auto"/>
                      <w:sz w:val="21"/>
                      <w:szCs w:val="21"/>
                    </w:rPr>
                  </w:pPr>
                </w:p>
              </w:tc>
              <w:tc>
                <w:tcPr>
                  <w:tcW w:w="743" w:type="pct"/>
                  <w:vMerge w:val="continue"/>
                  <w:vAlign w:val="center"/>
                </w:tcPr>
                <w:p w14:paraId="44C5746A">
                  <w:pPr>
                    <w:jc w:val="center"/>
                    <w:rPr>
                      <w:rFonts w:hint="default" w:ascii="Times New Roman" w:hAnsi="Times New Roman" w:eastAsia="宋体" w:cs="Times New Roman"/>
                      <w:color w:val="auto"/>
                      <w:sz w:val="21"/>
                      <w:szCs w:val="21"/>
                      <w:lang w:eastAsia="zh-CN"/>
                    </w:rPr>
                  </w:pPr>
                </w:p>
              </w:tc>
              <w:tc>
                <w:tcPr>
                  <w:tcW w:w="773" w:type="pct"/>
                  <w:vAlign w:val="center"/>
                </w:tcPr>
                <w:p w14:paraId="6FFA50B2">
                  <w:pPr>
                    <w:pStyle w:val="7"/>
                    <w:bidi w:val="0"/>
                    <w:ind w:left="0" w:leftChars="0" w:firstLine="0" w:firstLineChars="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衔铁：直径12毫米，高度15毫米；材质：电工纯铁</w:t>
                  </w:r>
                </w:p>
              </w:tc>
              <w:tc>
                <w:tcPr>
                  <w:tcW w:w="1974" w:type="pct"/>
                  <w:vAlign w:val="center"/>
                </w:tcPr>
                <w:p w14:paraId="21A0205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drawing>
                      <wp:inline distT="0" distB="0" distL="114300" distR="114300">
                        <wp:extent cx="1642745" cy="1622425"/>
                        <wp:effectExtent l="0" t="0" r="3175" b="8255"/>
                        <wp:docPr id="3" name="图片 3" descr="6eaf2e19e63f5c4c9940005678ed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eaf2e19e63f5c4c9940005678ed038"/>
                                <pic:cNvPicPr>
                                  <a:picLocks noChangeAspect="1"/>
                                </pic:cNvPicPr>
                              </pic:nvPicPr>
                              <pic:blipFill>
                                <a:blip r:embed="rId14"/>
                                <a:srcRect t="30496" b="13968"/>
                                <a:stretch>
                                  <a:fillRect/>
                                </a:stretch>
                              </pic:blipFill>
                              <pic:spPr>
                                <a:xfrm>
                                  <a:off x="0" y="0"/>
                                  <a:ext cx="1642745" cy="1622425"/>
                                </a:xfrm>
                                <a:prstGeom prst="rect">
                                  <a:avLst/>
                                </a:prstGeom>
                              </pic:spPr>
                            </pic:pic>
                          </a:graphicData>
                        </a:graphic>
                      </wp:inline>
                    </w:drawing>
                  </w:r>
                </w:p>
              </w:tc>
              <w:tc>
                <w:tcPr>
                  <w:tcW w:w="596" w:type="pct"/>
                  <w:vMerge w:val="continue"/>
                  <w:vAlign w:val="center"/>
                </w:tcPr>
                <w:p w14:paraId="4C7D2442">
                  <w:pPr>
                    <w:jc w:val="center"/>
                    <w:rPr>
                      <w:rFonts w:hint="eastAsia" w:ascii="Times New Roman" w:hAnsi="Times New Roman" w:eastAsia="宋体" w:cs="Times New Roman"/>
                      <w:color w:val="auto"/>
                      <w:sz w:val="21"/>
                      <w:szCs w:val="21"/>
                      <w:lang w:val="en-US" w:eastAsia="zh-CN"/>
                    </w:rPr>
                  </w:pPr>
                </w:p>
              </w:tc>
              <w:tc>
                <w:tcPr>
                  <w:tcW w:w="624" w:type="pct"/>
                  <w:vMerge w:val="continue"/>
                  <w:vAlign w:val="center"/>
                </w:tcPr>
                <w:p w14:paraId="685764CA">
                  <w:pPr>
                    <w:jc w:val="center"/>
                    <w:rPr>
                      <w:rFonts w:hint="eastAsia" w:ascii="Times New Roman" w:hAnsi="Times New Roman" w:eastAsia="宋体" w:cs="Times New Roman"/>
                      <w:color w:val="auto"/>
                      <w:sz w:val="21"/>
                      <w:szCs w:val="21"/>
                      <w:lang w:val="en-US" w:eastAsia="zh-CN"/>
                    </w:rPr>
                  </w:pPr>
                </w:p>
              </w:tc>
            </w:tr>
            <w:tr w14:paraId="7A70F8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8" w:type="pct"/>
                  <w:vMerge w:val="continue"/>
                  <w:vAlign w:val="center"/>
                </w:tcPr>
                <w:p w14:paraId="0AC825EE">
                  <w:pPr>
                    <w:jc w:val="center"/>
                    <w:rPr>
                      <w:rFonts w:hint="default" w:ascii="Times New Roman" w:hAnsi="Times New Roman" w:eastAsia="宋体" w:cs="Times New Roman"/>
                      <w:color w:val="auto"/>
                      <w:sz w:val="21"/>
                      <w:szCs w:val="21"/>
                    </w:rPr>
                  </w:pPr>
                </w:p>
              </w:tc>
              <w:tc>
                <w:tcPr>
                  <w:tcW w:w="743" w:type="pct"/>
                  <w:vMerge w:val="continue"/>
                  <w:vAlign w:val="center"/>
                </w:tcPr>
                <w:p w14:paraId="75032FF1">
                  <w:pPr>
                    <w:jc w:val="center"/>
                    <w:rPr>
                      <w:rFonts w:hint="default" w:ascii="Times New Roman" w:hAnsi="Times New Roman" w:eastAsia="宋体" w:cs="Times New Roman"/>
                      <w:color w:val="auto"/>
                      <w:sz w:val="21"/>
                      <w:szCs w:val="21"/>
                      <w:lang w:eastAsia="zh-CN"/>
                    </w:rPr>
                  </w:pPr>
                </w:p>
              </w:tc>
              <w:tc>
                <w:tcPr>
                  <w:tcW w:w="773" w:type="pct"/>
                  <w:vAlign w:val="center"/>
                </w:tcPr>
                <w:p w14:paraId="01161CB5">
                  <w:pPr>
                    <w:pStyle w:val="7"/>
                    <w:bidi w:val="0"/>
                    <w:ind w:left="0" w:leftChars="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壳体：直径43毫米，高度52毫米；材质：电工纯铁</w:t>
                  </w:r>
                </w:p>
              </w:tc>
              <w:tc>
                <w:tcPr>
                  <w:tcW w:w="1974" w:type="pct"/>
                  <w:vAlign w:val="center"/>
                </w:tcPr>
                <w:p w14:paraId="3879412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drawing>
                      <wp:inline distT="0" distB="0" distL="114300" distR="114300">
                        <wp:extent cx="1945640" cy="834390"/>
                        <wp:effectExtent l="0" t="0" r="5080" b="3810"/>
                        <wp:docPr id="15" name="图片 15" descr="57233570c93d73062257d028960a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57233570c93d73062257d028960a792"/>
                                <pic:cNvPicPr>
                                  <a:picLocks noChangeAspect="1"/>
                                </pic:cNvPicPr>
                              </pic:nvPicPr>
                              <pic:blipFill>
                                <a:blip r:embed="rId15"/>
                                <a:stretch>
                                  <a:fillRect/>
                                </a:stretch>
                              </pic:blipFill>
                              <pic:spPr>
                                <a:xfrm>
                                  <a:off x="0" y="0"/>
                                  <a:ext cx="1945640" cy="834390"/>
                                </a:xfrm>
                                <a:prstGeom prst="rect">
                                  <a:avLst/>
                                </a:prstGeom>
                              </pic:spPr>
                            </pic:pic>
                          </a:graphicData>
                        </a:graphic>
                      </wp:inline>
                    </w:drawing>
                  </w:r>
                </w:p>
              </w:tc>
              <w:tc>
                <w:tcPr>
                  <w:tcW w:w="596" w:type="pct"/>
                  <w:vMerge w:val="continue"/>
                  <w:vAlign w:val="center"/>
                </w:tcPr>
                <w:p w14:paraId="1BDBCFDB">
                  <w:pPr>
                    <w:jc w:val="center"/>
                    <w:rPr>
                      <w:rFonts w:hint="eastAsia" w:ascii="Times New Roman" w:hAnsi="Times New Roman" w:eastAsia="宋体" w:cs="Times New Roman"/>
                      <w:color w:val="auto"/>
                      <w:sz w:val="21"/>
                      <w:szCs w:val="21"/>
                      <w:lang w:val="en-US" w:eastAsia="zh-CN"/>
                    </w:rPr>
                  </w:pPr>
                </w:p>
              </w:tc>
              <w:tc>
                <w:tcPr>
                  <w:tcW w:w="624" w:type="pct"/>
                  <w:vMerge w:val="continue"/>
                  <w:vAlign w:val="center"/>
                </w:tcPr>
                <w:p w14:paraId="617F99BD">
                  <w:pPr>
                    <w:jc w:val="center"/>
                    <w:rPr>
                      <w:rFonts w:hint="eastAsia" w:ascii="Times New Roman" w:hAnsi="Times New Roman" w:eastAsia="宋体" w:cs="Times New Roman"/>
                      <w:color w:val="auto"/>
                      <w:sz w:val="21"/>
                      <w:szCs w:val="21"/>
                      <w:lang w:val="en-US" w:eastAsia="zh-CN"/>
                    </w:rPr>
                  </w:pPr>
                </w:p>
              </w:tc>
            </w:tr>
            <w:tr w14:paraId="7D6F18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88" w:type="pct"/>
                  <w:vMerge w:val="continue"/>
                  <w:vAlign w:val="center"/>
                </w:tcPr>
                <w:p w14:paraId="691F35FE">
                  <w:pPr>
                    <w:jc w:val="center"/>
                    <w:rPr>
                      <w:rFonts w:hint="default" w:ascii="Times New Roman" w:hAnsi="Times New Roman" w:eastAsia="宋体" w:cs="Times New Roman"/>
                      <w:color w:val="auto"/>
                      <w:sz w:val="21"/>
                      <w:szCs w:val="21"/>
                    </w:rPr>
                  </w:pPr>
                </w:p>
              </w:tc>
              <w:tc>
                <w:tcPr>
                  <w:tcW w:w="743" w:type="pct"/>
                  <w:vMerge w:val="continue"/>
                  <w:vAlign w:val="center"/>
                </w:tcPr>
                <w:p w14:paraId="029C979B">
                  <w:pPr>
                    <w:jc w:val="center"/>
                    <w:rPr>
                      <w:rFonts w:hint="default" w:ascii="Times New Roman" w:hAnsi="Times New Roman" w:eastAsia="宋体" w:cs="Times New Roman"/>
                      <w:color w:val="auto"/>
                      <w:sz w:val="21"/>
                      <w:szCs w:val="21"/>
                      <w:lang w:eastAsia="zh-CN"/>
                    </w:rPr>
                  </w:pPr>
                </w:p>
              </w:tc>
              <w:tc>
                <w:tcPr>
                  <w:tcW w:w="773" w:type="pct"/>
                  <w:vAlign w:val="center"/>
                </w:tcPr>
                <w:p w14:paraId="0F36D139">
                  <w:pPr>
                    <w:pStyle w:val="7"/>
                    <w:bidi w:val="0"/>
                    <w:ind w:left="0" w:leftChars="0" w:firstLine="0" w:firstLineChars="0"/>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缸体：长80毫米，宽40毫米，高60毫米；材质：电工纯铁</w:t>
                  </w:r>
                </w:p>
              </w:tc>
              <w:tc>
                <w:tcPr>
                  <w:tcW w:w="1974" w:type="pct"/>
                  <w:vAlign w:val="center"/>
                </w:tcPr>
                <w:p w14:paraId="31A4A13F">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drawing>
                      <wp:inline distT="0" distB="0" distL="114300" distR="114300">
                        <wp:extent cx="1654175" cy="2059305"/>
                        <wp:effectExtent l="0" t="0" r="6985" b="13335"/>
                        <wp:docPr id="18" name="图片 18" descr="374f0e9d6003f47a508f37b7a339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374f0e9d6003f47a508f37b7a339022"/>
                                <pic:cNvPicPr>
                                  <a:picLocks noChangeAspect="1"/>
                                </pic:cNvPicPr>
                              </pic:nvPicPr>
                              <pic:blipFill>
                                <a:blip r:embed="rId16"/>
                                <a:srcRect t="18745" b="11251"/>
                                <a:stretch>
                                  <a:fillRect/>
                                </a:stretch>
                              </pic:blipFill>
                              <pic:spPr>
                                <a:xfrm>
                                  <a:off x="0" y="0"/>
                                  <a:ext cx="1654175" cy="2059305"/>
                                </a:xfrm>
                                <a:prstGeom prst="rect">
                                  <a:avLst/>
                                </a:prstGeom>
                              </pic:spPr>
                            </pic:pic>
                          </a:graphicData>
                        </a:graphic>
                      </wp:inline>
                    </w:drawing>
                  </w:r>
                </w:p>
              </w:tc>
              <w:tc>
                <w:tcPr>
                  <w:tcW w:w="596" w:type="pct"/>
                  <w:vMerge w:val="continue"/>
                  <w:vAlign w:val="center"/>
                </w:tcPr>
                <w:p w14:paraId="59F967F9">
                  <w:pPr>
                    <w:jc w:val="center"/>
                    <w:rPr>
                      <w:rFonts w:hint="eastAsia" w:ascii="Times New Roman" w:hAnsi="Times New Roman" w:eastAsia="宋体" w:cs="Times New Roman"/>
                      <w:color w:val="auto"/>
                      <w:sz w:val="21"/>
                      <w:szCs w:val="21"/>
                      <w:lang w:val="en-US" w:eastAsia="zh-CN"/>
                    </w:rPr>
                  </w:pPr>
                </w:p>
              </w:tc>
              <w:tc>
                <w:tcPr>
                  <w:tcW w:w="624" w:type="pct"/>
                  <w:vMerge w:val="continue"/>
                  <w:vAlign w:val="center"/>
                </w:tcPr>
                <w:p w14:paraId="768AD322">
                  <w:pPr>
                    <w:jc w:val="center"/>
                    <w:rPr>
                      <w:rFonts w:hint="eastAsia" w:ascii="Times New Roman" w:hAnsi="Times New Roman" w:eastAsia="宋体" w:cs="Times New Roman"/>
                      <w:color w:val="auto"/>
                      <w:sz w:val="21"/>
                      <w:szCs w:val="21"/>
                      <w:lang w:val="en-US" w:eastAsia="zh-CN"/>
                    </w:rPr>
                  </w:pPr>
                </w:p>
              </w:tc>
            </w:tr>
          </w:tbl>
          <w:p w14:paraId="4F607E0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注：本项目不涉及</w:t>
            </w:r>
            <w:r>
              <w:rPr>
                <w:rFonts w:hint="default" w:ascii="Times New Roman" w:hAnsi="Times New Roman" w:eastAsia="宋体" w:cs="Times New Roman"/>
                <w:b/>
                <w:bCs w:val="0"/>
                <w:color w:val="auto"/>
                <w:sz w:val="24"/>
                <w:szCs w:val="24"/>
                <w:vertAlign w:val="baseline"/>
              </w:rPr>
              <w:t>金属零部件金加工工序</w:t>
            </w:r>
            <w:r>
              <w:rPr>
                <w:rFonts w:hint="eastAsia" w:ascii="Times New Roman" w:hAnsi="Times New Roman" w:eastAsia="宋体" w:cs="Times New Roman"/>
                <w:b/>
                <w:bCs w:val="0"/>
                <w:color w:val="auto"/>
                <w:sz w:val="24"/>
                <w:szCs w:val="24"/>
                <w:vertAlign w:val="baseline"/>
                <w:lang w:eastAsia="zh-CN"/>
              </w:rPr>
              <w:t>。</w:t>
            </w:r>
          </w:p>
          <w:p w14:paraId="627E91E8">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、生产设施</w:t>
            </w:r>
          </w:p>
          <w:p w14:paraId="6CFAED61">
            <w:pPr>
              <w:pStyle w:val="55"/>
              <w:snapToGrid/>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本项目主要设备见表2-</w:t>
            </w:r>
            <w:r>
              <w:rPr>
                <w:rFonts w:hint="eastAsia"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w:t>
            </w:r>
          </w:p>
          <w:p w14:paraId="36826B05">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 xml:space="preserve">  主要设备清单一览表</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341"/>
              <w:gridCol w:w="2102"/>
              <w:gridCol w:w="1356"/>
              <w:gridCol w:w="1178"/>
              <w:gridCol w:w="997"/>
              <w:gridCol w:w="1341"/>
            </w:tblGrid>
            <w:tr w14:paraId="48B6A9D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Align w:val="center"/>
                </w:tcPr>
                <w:p w14:paraId="74A9AEB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位置</w:t>
                  </w:r>
                </w:p>
              </w:tc>
              <w:tc>
                <w:tcPr>
                  <w:tcW w:w="1263" w:type="pct"/>
                  <w:vAlign w:val="center"/>
                </w:tcPr>
                <w:p w14:paraId="34FAA98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设备名称</w:t>
                  </w:r>
                </w:p>
              </w:tc>
              <w:tc>
                <w:tcPr>
                  <w:tcW w:w="815" w:type="pct"/>
                  <w:vAlign w:val="center"/>
                </w:tcPr>
                <w:p w14:paraId="5F21298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规格、型号</w:t>
                  </w:r>
                </w:p>
              </w:tc>
              <w:tc>
                <w:tcPr>
                  <w:tcW w:w="708" w:type="pct"/>
                  <w:vAlign w:val="center"/>
                </w:tcPr>
                <w:p w14:paraId="7027E44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数量</w:t>
                  </w:r>
                </w:p>
              </w:tc>
              <w:tc>
                <w:tcPr>
                  <w:tcW w:w="599" w:type="pct"/>
                  <w:vAlign w:val="center"/>
                </w:tcPr>
                <w:p w14:paraId="2F639C1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单位</w:t>
                  </w:r>
                </w:p>
              </w:tc>
              <w:tc>
                <w:tcPr>
                  <w:tcW w:w="806" w:type="pct"/>
                  <w:vAlign w:val="center"/>
                </w:tcPr>
                <w:p w14:paraId="349A66A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251052A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restart"/>
                  <w:vAlign w:val="center"/>
                </w:tcPr>
                <w:p w14:paraId="493D5C4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主要生产设备</w:t>
                  </w:r>
                </w:p>
              </w:tc>
              <w:tc>
                <w:tcPr>
                  <w:tcW w:w="1263" w:type="pct"/>
                  <w:shd w:val="clear" w:color="auto" w:fill="auto"/>
                  <w:vAlign w:val="center"/>
                </w:tcPr>
                <w:p w14:paraId="51AC79A9">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真空气淬炉</w:t>
                  </w:r>
                </w:p>
              </w:tc>
              <w:tc>
                <w:tcPr>
                  <w:tcW w:w="815" w:type="pct"/>
                  <w:vAlign w:val="center"/>
                </w:tcPr>
                <w:p w14:paraId="4B864A4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5DCA0C8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10</w:t>
                  </w:r>
                </w:p>
              </w:tc>
              <w:tc>
                <w:tcPr>
                  <w:tcW w:w="599" w:type="pct"/>
                  <w:vAlign w:val="center"/>
                </w:tcPr>
                <w:p w14:paraId="42E35E1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806" w:type="pct"/>
                  <w:vMerge w:val="restart"/>
                  <w:vAlign w:val="center"/>
                </w:tcPr>
                <w:p w14:paraId="70100DF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位于车间一层</w:t>
                  </w:r>
                </w:p>
              </w:tc>
            </w:tr>
            <w:tr w14:paraId="5FB0E38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68741C8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6A7D48D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真空油淬炉</w:t>
                  </w:r>
                </w:p>
              </w:tc>
              <w:tc>
                <w:tcPr>
                  <w:tcW w:w="815" w:type="pct"/>
                  <w:vAlign w:val="center"/>
                </w:tcPr>
                <w:p w14:paraId="01B58DC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4C5123DB">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2</w:t>
                  </w:r>
                </w:p>
              </w:tc>
              <w:tc>
                <w:tcPr>
                  <w:tcW w:w="599" w:type="pct"/>
                  <w:vAlign w:val="center"/>
                </w:tcPr>
                <w:p w14:paraId="4AF202B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6" w:type="pct"/>
                  <w:vMerge w:val="continue"/>
                  <w:vAlign w:val="center"/>
                </w:tcPr>
                <w:p w14:paraId="633F5CB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r>
            <w:tr w14:paraId="050015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2159111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57F3CA1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拉力测试机</w:t>
                  </w:r>
                </w:p>
              </w:tc>
              <w:tc>
                <w:tcPr>
                  <w:tcW w:w="815" w:type="pct"/>
                  <w:vAlign w:val="center"/>
                </w:tcPr>
                <w:p w14:paraId="17F8095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5B4F563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1</w:t>
                  </w:r>
                </w:p>
              </w:tc>
              <w:tc>
                <w:tcPr>
                  <w:tcW w:w="599" w:type="pct"/>
                  <w:vAlign w:val="center"/>
                </w:tcPr>
                <w:p w14:paraId="20069D8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806" w:type="pct"/>
                  <w:vMerge w:val="continue"/>
                  <w:vAlign w:val="center"/>
                </w:tcPr>
                <w:p w14:paraId="73BDB89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r>
            <w:tr w14:paraId="110C8D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1EF60D2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027FDAF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回火炉</w:t>
                  </w:r>
                </w:p>
              </w:tc>
              <w:tc>
                <w:tcPr>
                  <w:tcW w:w="815" w:type="pct"/>
                  <w:vAlign w:val="center"/>
                </w:tcPr>
                <w:p w14:paraId="6C3E9A3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191B9EA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2</w:t>
                  </w:r>
                </w:p>
              </w:tc>
              <w:tc>
                <w:tcPr>
                  <w:tcW w:w="599" w:type="pct"/>
                  <w:vAlign w:val="center"/>
                </w:tcPr>
                <w:p w14:paraId="7DFEF43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806" w:type="pct"/>
                  <w:vMerge w:val="continue"/>
                  <w:vAlign w:val="center"/>
                </w:tcPr>
                <w:p w14:paraId="350CCD9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r>
            <w:tr w14:paraId="63D08E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7C696D8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48DCDC6C">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井式盐浴氮化炉</w:t>
                  </w:r>
                  <w:r>
                    <w:rPr>
                      <w:rFonts w:hint="eastAsia" w:ascii="Times New Roman" w:hAnsi="Times New Roman" w:eastAsia="宋体" w:cs="Times New Roman"/>
                      <w:color w:val="auto"/>
                      <w:kern w:val="0"/>
                      <w:sz w:val="21"/>
                      <w:szCs w:val="21"/>
                      <w:lang w:eastAsia="zh-CN" w:bidi="ar"/>
                    </w:rPr>
                    <w:t>（</w:t>
                  </w:r>
                  <w:r>
                    <w:rPr>
                      <w:rFonts w:hint="eastAsia" w:ascii="Times New Roman" w:hAnsi="Times New Roman" w:eastAsia="宋体" w:cs="Times New Roman"/>
                      <w:color w:val="auto"/>
                      <w:kern w:val="0"/>
                      <w:sz w:val="21"/>
                      <w:szCs w:val="21"/>
                      <w:lang w:val="en-US" w:eastAsia="zh-CN" w:bidi="ar"/>
                    </w:rPr>
                    <w:t>空冷</w:t>
                  </w:r>
                  <w:r>
                    <w:rPr>
                      <w:rFonts w:hint="eastAsia" w:ascii="Times New Roman" w:hAnsi="Times New Roman" w:eastAsia="宋体" w:cs="Times New Roman"/>
                      <w:color w:val="auto"/>
                      <w:kern w:val="0"/>
                      <w:sz w:val="21"/>
                      <w:szCs w:val="21"/>
                      <w:lang w:eastAsia="zh-CN" w:bidi="ar"/>
                    </w:rPr>
                    <w:t>）</w:t>
                  </w:r>
                </w:p>
              </w:tc>
              <w:tc>
                <w:tcPr>
                  <w:tcW w:w="815" w:type="pct"/>
                  <w:vAlign w:val="center"/>
                </w:tcPr>
                <w:p w14:paraId="2719E0B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62B35CE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2</w:t>
                  </w:r>
                </w:p>
              </w:tc>
              <w:tc>
                <w:tcPr>
                  <w:tcW w:w="599" w:type="pct"/>
                  <w:vAlign w:val="center"/>
                </w:tcPr>
                <w:p w14:paraId="60088DC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806" w:type="pct"/>
                  <w:vMerge w:val="continue"/>
                  <w:vAlign w:val="center"/>
                </w:tcPr>
                <w:p w14:paraId="62D9DA7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r>
            <w:tr w14:paraId="310338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579614D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1B89BC0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井式盐浴氧化炉</w:t>
                  </w:r>
                </w:p>
              </w:tc>
              <w:tc>
                <w:tcPr>
                  <w:tcW w:w="815" w:type="pct"/>
                  <w:vAlign w:val="center"/>
                </w:tcPr>
                <w:p w14:paraId="7CCCA33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44BB9F4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1</w:t>
                  </w:r>
                </w:p>
              </w:tc>
              <w:tc>
                <w:tcPr>
                  <w:tcW w:w="599" w:type="pct"/>
                  <w:vAlign w:val="center"/>
                </w:tcPr>
                <w:p w14:paraId="2717FC8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806" w:type="pct"/>
                  <w:vMerge w:val="continue"/>
                  <w:vAlign w:val="center"/>
                </w:tcPr>
                <w:p w14:paraId="0653EFF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r>
            <w:tr w14:paraId="7E2FAC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656A371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48A6C76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井式预热炉</w:t>
                  </w:r>
                </w:p>
              </w:tc>
              <w:tc>
                <w:tcPr>
                  <w:tcW w:w="815" w:type="pct"/>
                  <w:vAlign w:val="center"/>
                </w:tcPr>
                <w:p w14:paraId="22E45CE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4E81B15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1</w:t>
                  </w:r>
                </w:p>
              </w:tc>
              <w:tc>
                <w:tcPr>
                  <w:tcW w:w="599" w:type="pct"/>
                  <w:vAlign w:val="center"/>
                </w:tcPr>
                <w:p w14:paraId="7125C13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806" w:type="pct"/>
                  <w:vMerge w:val="continue"/>
                  <w:vAlign w:val="center"/>
                </w:tcPr>
                <w:p w14:paraId="556126B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r>
            <w:tr w14:paraId="0BC020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630590C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315A167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高频淬火热处理</w:t>
                  </w:r>
                  <w:r>
                    <w:rPr>
                      <w:rFonts w:hint="default" w:ascii="Times New Roman" w:hAnsi="Times New Roman" w:eastAsia="宋体" w:cs="Times New Roman"/>
                      <w:color w:val="auto"/>
                      <w:sz w:val="21"/>
                      <w:szCs w:val="21"/>
                      <w:lang w:val="en-US" w:eastAsia="zh-CN"/>
                    </w:rPr>
                    <w:t>炉</w:t>
                  </w:r>
                </w:p>
              </w:tc>
              <w:tc>
                <w:tcPr>
                  <w:tcW w:w="815" w:type="pct"/>
                  <w:vAlign w:val="center"/>
                </w:tcPr>
                <w:p w14:paraId="31E97BC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216E2E0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599" w:type="pct"/>
                  <w:vAlign w:val="center"/>
                </w:tcPr>
                <w:p w14:paraId="48DBFD3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806" w:type="pct"/>
                  <w:vMerge w:val="continue"/>
                  <w:vAlign w:val="center"/>
                </w:tcPr>
                <w:p w14:paraId="5B08B64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r>
            <w:tr w14:paraId="55A5B8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shd w:val="clear" w:color="auto" w:fill="auto"/>
                  <w:vAlign w:val="center"/>
                </w:tcPr>
                <w:p w14:paraId="3536DCE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p>
              </w:tc>
              <w:tc>
                <w:tcPr>
                  <w:tcW w:w="1263" w:type="pct"/>
                  <w:shd w:val="clear" w:color="auto" w:fill="auto"/>
                  <w:vAlign w:val="center"/>
                </w:tcPr>
                <w:p w14:paraId="6421AD11">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光亮炉</w:t>
                  </w:r>
                </w:p>
              </w:tc>
              <w:tc>
                <w:tcPr>
                  <w:tcW w:w="815" w:type="pct"/>
                  <w:shd w:val="clear" w:color="auto" w:fill="auto"/>
                  <w:vAlign w:val="center"/>
                </w:tcPr>
                <w:p w14:paraId="6E6AAE5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7C659D6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10</w:t>
                  </w:r>
                </w:p>
              </w:tc>
              <w:tc>
                <w:tcPr>
                  <w:tcW w:w="599" w:type="pct"/>
                  <w:shd w:val="clear" w:color="auto" w:fill="auto"/>
                  <w:vAlign w:val="center"/>
                </w:tcPr>
                <w:p w14:paraId="3B8626C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6" w:type="pct"/>
                  <w:vMerge w:val="restart"/>
                  <w:vAlign w:val="center"/>
                </w:tcPr>
                <w:p w14:paraId="3FBAF41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位于车间二层</w:t>
                  </w:r>
                </w:p>
              </w:tc>
            </w:tr>
            <w:tr w14:paraId="129C8C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shd w:val="clear" w:color="auto" w:fill="auto"/>
                  <w:vAlign w:val="center"/>
                </w:tcPr>
                <w:p w14:paraId="6DC078A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p>
              </w:tc>
              <w:tc>
                <w:tcPr>
                  <w:tcW w:w="1263" w:type="pct"/>
                  <w:shd w:val="clear" w:color="auto" w:fill="auto"/>
                  <w:vAlign w:val="center"/>
                </w:tcPr>
                <w:p w14:paraId="5644872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真空碳氢清洗</w:t>
                  </w:r>
                  <w:r>
                    <w:rPr>
                      <w:rFonts w:hint="default" w:ascii="Times New Roman" w:hAnsi="Times New Roman" w:eastAsia="宋体" w:cs="Times New Roman"/>
                      <w:color w:val="auto"/>
                      <w:kern w:val="0"/>
                      <w:sz w:val="21"/>
                      <w:szCs w:val="21"/>
                      <w:lang w:val="en-US" w:eastAsia="zh-CN" w:bidi="ar"/>
                    </w:rPr>
                    <w:t>机</w:t>
                  </w:r>
                </w:p>
              </w:tc>
              <w:tc>
                <w:tcPr>
                  <w:tcW w:w="815" w:type="pct"/>
                  <w:shd w:val="clear" w:color="auto" w:fill="auto"/>
                  <w:vAlign w:val="center"/>
                </w:tcPr>
                <w:p w14:paraId="339BB8D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238BB7E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1</w:t>
                  </w:r>
                </w:p>
              </w:tc>
              <w:tc>
                <w:tcPr>
                  <w:tcW w:w="599" w:type="pct"/>
                  <w:shd w:val="clear" w:color="auto" w:fill="auto"/>
                  <w:vAlign w:val="center"/>
                </w:tcPr>
                <w:p w14:paraId="65DE913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6" w:type="pct"/>
                  <w:vMerge w:val="continue"/>
                  <w:vAlign w:val="center"/>
                </w:tcPr>
                <w:p w14:paraId="5C99035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r>
            <w:tr w14:paraId="4EF67A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shd w:val="clear" w:color="auto" w:fill="auto"/>
                  <w:vAlign w:val="center"/>
                </w:tcPr>
                <w:p w14:paraId="2324A7E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p>
              </w:tc>
              <w:tc>
                <w:tcPr>
                  <w:tcW w:w="1263" w:type="pct"/>
                  <w:shd w:val="clear" w:color="auto" w:fill="auto"/>
                  <w:vAlign w:val="center"/>
                </w:tcPr>
                <w:p w14:paraId="667114E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喷砂机</w:t>
                  </w:r>
                </w:p>
              </w:tc>
              <w:tc>
                <w:tcPr>
                  <w:tcW w:w="815" w:type="pct"/>
                  <w:shd w:val="clear" w:color="auto" w:fill="auto"/>
                  <w:vAlign w:val="center"/>
                </w:tcPr>
                <w:p w14:paraId="0139C53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0D73299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10</w:t>
                  </w:r>
                </w:p>
              </w:tc>
              <w:tc>
                <w:tcPr>
                  <w:tcW w:w="599" w:type="pct"/>
                  <w:shd w:val="clear" w:color="auto" w:fill="auto"/>
                  <w:vAlign w:val="center"/>
                </w:tcPr>
                <w:p w14:paraId="5C4E669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6" w:type="pct"/>
                  <w:vAlign w:val="center"/>
                </w:tcPr>
                <w:p w14:paraId="4EDE1C2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位于车间三层</w:t>
                  </w:r>
                </w:p>
              </w:tc>
            </w:tr>
            <w:tr w14:paraId="0EE8046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restart"/>
                  <w:shd w:val="clear" w:color="auto" w:fill="auto"/>
                  <w:vAlign w:val="center"/>
                </w:tcPr>
                <w:p w14:paraId="692E410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辅助设备</w:t>
                  </w:r>
                </w:p>
              </w:tc>
              <w:tc>
                <w:tcPr>
                  <w:tcW w:w="1263" w:type="pct"/>
                  <w:shd w:val="clear" w:color="auto" w:fill="auto"/>
                  <w:vAlign w:val="center"/>
                </w:tcPr>
                <w:p w14:paraId="29BC7BC8">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加热水箱</w:t>
                  </w:r>
                </w:p>
              </w:tc>
              <w:tc>
                <w:tcPr>
                  <w:tcW w:w="815" w:type="pct"/>
                  <w:shd w:val="clear" w:color="auto" w:fill="auto"/>
                  <w:vAlign w:val="center"/>
                </w:tcPr>
                <w:p w14:paraId="0092C5A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72692097">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2</w:t>
                  </w:r>
                </w:p>
              </w:tc>
              <w:tc>
                <w:tcPr>
                  <w:tcW w:w="599" w:type="pct"/>
                  <w:shd w:val="clear" w:color="auto" w:fill="auto"/>
                  <w:vAlign w:val="center"/>
                </w:tcPr>
                <w:p w14:paraId="71688D9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6" w:type="pct"/>
                  <w:vAlign w:val="center"/>
                </w:tcPr>
                <w:p w14:paraId="717DD05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09CA4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shd w:val="clear" w:color="auto" w:fill="auto"/>
                  <w:vAlign w:val="center"/>
                </w:tcPr>
                <w:p w14:paraId="4D6921B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c>
                <w:tcPr>
                  <w:tcW w:w="1263" w:type="pct"/>
                  <w:shd w:val="clear" w:color="auto" w:fill="auto"/>
                  <w:vAlign w:val="center"/>
                </w:tcPr>
                <w:p w14:paraId="71854C4B">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下水箱</w:t>
                  </w:r>
                </w:p>
              </w:tc>
              <w:tc>
                <w:tcPr>
                  <w:tcW w:w="815" w:type="pct"/>
                  <w:shd w:val="clear" w:color="auto" w:fill="auto"/>
                  <w:vAlign w:val="center"/>
                </w:tcPr>
                <w:p w14:paraId="23BF67E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79B6E967">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599" w:type="pct"/>
                  <w:shd w:val="clear" w:color="auto" w:fill="auto"/>
                  <w:vAlign w:val="center"/>
                </w:tcPr>
                <w:p w14:paraId="2034754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806" w:type="pct"/>
                  <w:vAlign w:val="center"/>
                </w:tcPr>
                <w:p w14:paraId="6FEA7CD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3D675B3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shd w:val="clear" w:color="auto" w:fill="auto"/>
                  <w:vAlign w:val="center"/>
                </w:tcPr>
                <w:p w14:paraId="0E00BC6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p>
              </w:tc>
              <w:tc>
                <w:tcPr>
                  <w:tcW w:w="1263" w:type="pct"/>
                  <w:shd w:val="clear" w:color="auto" w:fill="auto"/>
                  <w:vAlign w:val="center"/>
                </w:tcPr>
                <w:p w14:paraId="7655AAC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喷淋水箱</w:t>
                  </w:r>
                </w:p>
              </w:tc>
              <w:tc>
                <w:tcPr>
                  <w:tcW w:w="815" w:type="pct"/>
                  <w:shd w:val="clear" w:color="auto" w:fill="auto"/>
                  <w:vAlign w:val="center"/>
                </w:tcPr>
                <w:p w14:paraId="717D704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7F76334D">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w:t>
                  </w:r>
                </w:p>
              </w:tc>
              <w:tc>
                <w:tcPr>
                  <w:tcW w:w="599" w:type="pct"/>
                  <w:shd w:val="clear" w:color="auto" w:fill="auto"/>
                  <w:vAlign w:val="center"/>
                </w:tcPr>
                <w:p w14:paraId="294DAF0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台</w:t>
                  </w:r>
                </w:p>
              </w:tc>
              <w:tc>
                <w:tcPr>
                  <w:tcW w:w="806" w:type="pct"/>
                  <w:vAlign w:val="center"/>
                </w:tcPr>
                <w:p w14:paraId="11D504A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771D69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shd w:val="clear" w:color="auto" w:fill="auto"/>
                  <w:vAlign w:val="center"/>
                </w:tcPr>
                <w:p w14:paraId="29FEFAA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1AAD2633">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污水</w:t>
                  </w:r>
                  <w:r>
                    <w:rPr>
                      <w:rFonts w:hint="eastAsia" w:ascii="Times New Roman" w:hAnsi="Times New Roman" w:eastAsia="宋体" w:cs="Times New Roman"/>
                      <w:color w:val="auto"/>
                      <w:kern w:val="0"/>
                      <w:sz w:val="21"/>
                      <w:szCs w:val="21"/>
                      <w:lang w:val="en-US" w:eastAsia="zh-CN" w:bidi="ar"/>
                    </w:rPr>
                    <w:t>处理站</w:t>
                  </w:r>
                </w:p>
              </w:tc>
              <w:tc>
                <w:tcPr>
                  <w:tcW w:w="815" w:type="pct"/>
                  <w:shd w:val="clear" w:color="auto" w:fill="auto"/>
                  <w:vAlign w:val="center"/>
                </w:tcPr>
                <w:p w14:paraId="533F692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614D15D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1</w:t>
                  </w:r>
                </w:p>
              </w:tc>
              <w:tc>
                <w:tcPr>
                  <w:tcW w:w="599" w:type="pct"/>
                  <w:shd w:val="clear" w:color="auto" w:fill="auto"/>
                  <w:vAlign w:val="center"/>
                </w:tcPr>
                <w:p w14:paraId="5E3B8676">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6" w:type="pct"/>
                  <w:vAlign w:val="center"/>
                </w:tcPr>
                <w:p w14:paraId="3DFCEA89">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A4B75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shd w:val="clear" w:color="auto" w:fill="auto"/>
                  <w:vAlign w:val="center"/>
                </w:tcPr>
                <w:p w14:paraId="4665CDA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339CB61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冷却塔</w:t>
                  </w:r>
                </w:p>
              </w:tc>
              <w:tc>
                <w:tcPr>
                  <w:tcW w:w="815" w:type="pct"/>
                  <w:shd w:val="clear" w:color="auto" w:fill="auto"/>
                  <w:vAlign w:val="center"/>
                </w:tcPr>
                <w:p w14:paraId="4B7F37F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7BE9452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2</w:t>
                  </w:r>
                </w:p>
              </w:tc>
              <w:tc>
                <w:tcPr>
                  <w:tcW w:w="599" w:type="pct"/>
                  <w:shd w:val="clear" w:color="auto" w:fill="auto"/>
                  <w:vAlign w:val="center"/>
                </w:tcPr>
                <w:p w14:paraId="2930C2A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6" w:type="pct"/>
                  <w:vAlign w:val="center"/>
                </w:tcPr>
                <w:p w14:paraId="5CCC7E7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322801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shd w:val="clear" w:color="auto" w:fill="auto"/>
                  <w:vAlign w:val="center"/>
                </w:tcPr>
                <w:p w14:paraId="6059956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5124D7DF">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活塞式空压机</w:t>
                  </w:r>
                </w:p>
              </w:tc>
              <w:tc>
                <w:tcPr>
                  <w:tcW w:w="815" w:type="pct"/>
                  <w:shd w:val="clear" w:color="auto" w:fill="auto"/>
                  <w:vAlign w:val="center"/>
                </w:tcPr>
                <w:p w14:paraId="64E275A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30CE617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2</w:t>
                  </w:r>
                </w:p>
              </w:tc>
              <w:tc>
                <w:tcPr>
                  <w:tcW w:w="599" w:type="pct"/>
                  <w:shd w:val="clear" w:color="auto" w:fill="auto"/>
                  <w:vAlign w:val="center"/>
                </w:tcPr>
                <w:p w14:paraId="6E46D55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6" w:type="pct"/>
                  <w:vAlign w:val="center"/>
                </w:tcPr>
                <w:p w14:paraId="4FD4C0B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F386A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4E29C52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34AA5D45">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螺杆式空压机</w:t>
                  </w:r>
                </w:p>
              </w:tc>
              <w:tc>
                <w:tcPr>
                  <w:tcW w:w="815" w:type="pct"/>
                  <w:shd w:val="clear" w:color="auto" w:fill="auto"/>
                  <w:vAlign w:val="center"/>
                </w:tcPr>
                <w:p w14:paraId="0EB0644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10F201F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3</w:t>
                  </w:r>
                </w:p>
              </w:tc>
              <w:tc>
                <w:tcPr>
                  <w:tcW w:w="599" w:type="pct"/>
                  <w:shd w:val="clear" w:color="auto" w:fill="auto"/>
                  <w:vAlign w:val="center"/>
                </w:tcPr>
                <w:p w14:paraId="78B6BB0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6" w:type="pct"/>
                  <w:vAlign w:val="center"/>
                </w:tcPr>
                <w:p w14:paraId="4400602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540C0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6EB716EC">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5C815A72">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叉车</w:t>
                  </w:r>
                </w:p>
              </w:tc>
              <w:tc>
                <w:tcPr>
                  <w:tcW w:w="815" w:type="pct"/>
                  <w:shd w:val="clear" w:color="auto" w:fill="auto"/>
                  <w:vAlign w:val="center"/>
                </w:tcPr>
                <w:p w14:paraId="75E58B4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226DBA0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3</w:t>
                  </w:r>
                </w:p>
              </w:tc>
              <w:tc>
                <w:tcPr>
                  <w:tcW w:w="599" w:type="pct"/>
                  <w:shd w:val="clear" w:color="auto" w:fill="auto"/>
                  <w:vAlign w:val="center"/>
                </w:tcPr>
                <w:p w14:paraId="44D7420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6" w:type="pct"/>
                  <w:vAlign w:val="center"/>
                </w:tcPr>
                <w:p w14:paraId="088E7C9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881F0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079AA3B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71844694">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冷水机</w:t>
                  </w:r>
                </w:p>
              </w:tc>
              <w:tc>
                <w:tcPr>
                  <w:tcW w:w="815" w:type="pct"/>
                  <w:shd w:val="clear" w:color="auto" w:fill="auto"/>
                  <w:vAlign w:val="center"/>
                </w:tcPr>
                <w:p w14:paraId="66308D0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4CF1A5EB">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3</w:t>
                  </w:r>
                </w:p>
              </w:tc>
              <w:tc>
                <w:tcPr>
                  <w:tcW w:w="599" w:type="pct"/>
                  <w:shd w:val="clear" w:color="auto" w:fill="auto"/>
                  <w:vAlign w:val="center"/>
                </w:tcPr>
                <w:p w14:paraId="2A64C31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6" w:type="pct"/>
                  <w:vAlign w:val="center"/>
                </w:tcPr>
                <w:p w14:paraId="2D11583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328E3C5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1AEE91AE">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6B4FF8BF">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深冷设备</w:t>
                  </w:r>
                </w:p>
              </w:tc>
              <w:tc>
                <w:tcPr>
                  <w:tcW w:w="815" w:type="pct"/>
                  <w:shd w:val="clear" w:color="auto" w:fill="auto"/>
                  <w:vAlign w:val="center"/>
                </w:tcPr>
                <w:p w14:paraId="63A7477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7812F8F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2</w:t>
                  </w:r>
                </w:p>
              </w:tc>
              <w:tc>
                <w:tcPr>
                  <w:tcW w:w="599" w:type="pct"/>
                  <w:shd w:val="clear" w:color="auto" w:fill="auto"/>
                  <w:vAlign w:val="center"/>
                </w:tcPr>
                <w:p w14:paraId="5FE639D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台</w:t>
                  </w:r>
                </w:p>
              </w:tc>
              <w:tc>
                <w:tcPr>
                  <w:tcW w:w="806" w:type="pct"/>
                  <w:vAlign w:val="center"/>
                </w:tcPr>
                <w:p w14:paraId="1BC1721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052CF1B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484DACDB">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6C3FF4F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金相检测设备（套）</w:t>
                  </w:r>
                </w:p>
              </w:tc>
              <w:tc>
                <w:tcPr>
                  <w:tcW w:w="815" w:type="pct"/>
                  <w:shd w:val="clear" w:color="auto" w:fill="auto"/>
                  <w:vAlign w:val="center"/>
                </w:tcPr>
                <w:p w14:paraId="78877180">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1C10E5F1">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1</w:t>
                  </w:r>
                </w:p>
              </w:tc>
              <w:tc>
                <w:tcPr>
                  <w:tcW w:w="599" w:type="pct"/>
                  <w:shd w:val="clear" w:color="auto" w:fill="auto"/>
                  <w:vAlign w:val="center"/>
                </w:tcPr>
                <w:p w14:paraId="6FC797E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套</w:t>
                  </w:r>
                </w:p>
              </w:tc>
              <w:tc>
                <w:tcPr>
                  <w:tcW w:w="806" w:type="pct"/>
                  <w:vAlign w:val="center"/>
                </w:tcPr>
                <w:p w14:paraId="3A9C0411">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C4AAC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74FE8A77">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2671EEC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气密检测设备</w:t>
                  </w:r>
                </w:p>
              </w:tc>
              <w:tc>
                <w:tcPr>
                  <w:tcW w:w="815" w:type="pct"/>
                  <w:shd w:val="clear" w:color="auto" w:fill="auto"/>
                  <w:vAlign w:val="center"/>
                </w:tcPr>
                <w:p w14:paraId="7A9C7898">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087A5BE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1</w:t>
                  </w:r>
                </w:p>
              </w:tc>
              <w:tc>
                <w:tcPr>
                  <w:tcW w:w="599" w:type="pct"/>
                  <w:shd w:val="clear" w:color="auto" w:fill="auto"/>
                  <w:vAlign w:val="center"/>
                </w:tcPr>
                <w:p w14:paraId="7795469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套</w:t>
                  </w:r>
                </w:p>
              </w:tc>
              <w:tc>
                <w:tcPr>
                  <w:tcW w:w="806" w:type="pct"/>
                  <w:vAlign w:val="center"/>
                </w:tcPr>
                <w:p w14:paraId="72AAC63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40514F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1F58D46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6980F230">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洛氏硬度计</w:t>
                  </w:r>
                </w:p>
              </w:tc>
              <w:tc>
                <w:tcPr>
                  <w:tcW w:w="815" w:type="pct"/>
                  <w:shd w:val="clear" w:color="auto" w:fill="auto"/>
                  <w:vAlign w:val="center"/>
                </w:tcPr>
                <w:p w14:paraId="534240A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0DA413A9">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2</w:t>
                  </w:r>
                </w:p>
              </w:tc>
              <w:tc>
                <w:tcPr>
                  <w:tcW w:w="599" w:type="pct"/>
                  <w:shd w:val="clear" w:color="auto" w:fill="auto"/>
                  <w:vAlign w:val="center"/>
                </w:tcPr>
                <w:p w14:paraId="790062EA">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个</w:t>
                  </w:r>
                </w:p>
              </w:tc>
              <w:tc>
                <w:tcPr>
                  <w:tcW w:w="806" w:type="pct"/>
                  <w:vAlign w:val="center"/>
                </w:tcPr>
                <w:p w14:paraId="24FD6E1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18620F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2EAA2A8F">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6803A32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维氏硬度计</w:t>
                  </w:r>
                </w:p>
              </w:tc>
              <w:tc>
                <w:tcPr>
                  <w:tcW w:w="815" w:type="pct"/>
                  <w:shd w:val="clear" w:color="auto" w:fill="auto"/>
                  <w:vAlign w:val="center"/>
                </w:tcPr>
                <w:p w14:paraId="7F9CFBC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3487D2AD">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2</w:t>
                  </w:r>
                </w:p>
              </w:tc>
              <w:tc>
                <w:tcPr>
                  <w:tcW w:w="599" w:type="pct"/>
                  <w:shd w:val="clear" w:color="auto" w:fill="auto"/>
                  <w:vAlign w:val="center"/>
                </w:tcPr>
                <w:p w14:paraId="35827072">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个</w:t>
                  </w:r>
                </w:p>
              </w:tc>
              <w:tc>
                <w:tcPr>
                  <w:tcW w:w="806" w:type="pct"/>
                  <w:vAlign w:val="center"/>
                </w:tcPr>
                <w:p w14:paraId="115FC5C3">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708D93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806" w:type="pct"/>
                  <w:vMerge w:val="continue"/>
                  <w:vAlign w:val="center"/>
                </w:tcPr>
                <w:p w14:paraId="3890BF15">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rPr>
                  </w:pPr>
                </w:p>
              </w:tc>
              <w:tc>
                <w:tcPr>
                  <w:tcW w:w="1263" w:type="pct"/>
                  <w:shd w:val="clear" w:color="auto" w:fill="auto"/>
                  <w:vAlign w:val="center"/>
                </w:tcPr>
                <w:p w14:paraId="3903FA6A">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布氏硬度计</w:t>
                  </w:r>
                </w:p>
              </w:tc>
              <w:tc>
                <w:tcPr>
                  <w:tcW w:w="815" w:type="pct"/>
                  <w:shd w:val="clear" w:color="auto" w:fill="auto"/>
                  <w:vAlign w:val="center"/>
                </w:tcPr>
                <w:p w14:paraId="6D57B06D">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08" w:type="pct"/>
                  <w:shd w:val="clear" w:color="auto" w:fill="auto"/>
                  <w:vAlign w:val="center"/>
                </w:tcPr>
                <w:p w14:paraId="55A0C138">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2</w:t>
                  </w:r>
                </w:p>
              </w:tc>
              <w:tc>
                <w:tcPr>
                  <w:tcW w:w="599" w:type="pct"/>
                  <w:shd w:val="clear" w:color="auto" w:fill="auto"/>
                  <w:vAlign w:val="center"/>
                </w:tcPr>
                <w:p w14:paraId="56E9B26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个</w:t>
                  </w:r>
                </w:p>
              </w:tc>
              <w:tc>
                <w:tcPr>
                  <w:tcW w:w="806" w:type="pct"/>
                  <w:vAlign w:val="center"/>
                </w:tcPr>
                <w:p w14:paraId="44931E34">
                  <w:pPr>
                    <w:keepNext w:val="0"/>
                    <w:keepLines w:val="0"/>
                    <w:pageBreakBefore w:val="0"/>
                    <w:kinsoku/>
                    <w:wordWrap/>
                    <w:overflowPunct/>
                    <w:topLinePunct w:val="0"/>
                    <w:autoSpaceDE/>
                    <w:autoSpaceDN/>
                    <w:bidi w:val="0"/>
                    <w:adjustRightInd/>
                    <w:snapToGrid/>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091F197E">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5</w:t>
            </w:r>
            <w:r>
              <w:rPr>
                <w:rFonts w:hint="default" w:ascii="Times New Roman" w:hAnsi="Times New Roman" w:eastAsia="宋体" w:cs="Times New Roman"/>
                <w:b/>
                <w:color w:val="auto"/>
                <w:sz w:val="24"/>
              </w:rPr>
              <w:t>、原辅材料</w:t>
            </w:r>
          </w:p>
          <w:p w14:paraId="1B9D5C8C">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1）原辅料用量及成分</w:t>
            </w:r>
          </w:p>
          <w:p w14:paraId="634216F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本项目主要原辅材料见表2-</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p>
          <w:p w14:paraId="41FB00AA">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 xml:space="preserve">  建设项目原辅料及资源能源消耗</w:t>
            </w:r>
          </w:p>
          <w:tbl>
            <w:tblPr>
              <w:tblStyle w:val="27"/>
              <w:tblW w:w="4993"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582"/>
              <w:gridCol w:w="800"/>
              <w:gridCol w:w="1412"/>
              <w:gridCol w:w="1487"/>
              <w:gridCol w:w="985"/>
              <w:gridCol w:w="790"/>
              <w:gridCol w:w="1126"/>
              <w:gridCol w:w="1126"/>
            </w:tblGrid>
            <w:tr w14:paraId="180E81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vAlign w:val="center"/>
                </w:tcPr>
                <w:p w14:paraId="3A5711FD">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481" w:type="pct"/>
                  <w:tcBorders>
                    <w:tl2br w:val="nil"/>
                    <w:tr2bl w:val="nil"/>
                  </w:tcBorders>
                  <w:vAlign w:val="center"/>
                </w:tcPr>
                <w:p w14:paraId="3959DA0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849" w:type="pct"/>
                  <w:tcBorders>
                    <w:tl2br w:val="nil"/>
                    <w:tr2bl w:val="nil"/>
                  </w:tcBorders>
                  <w:shd w:val="clear" w:color="auto" w:fill="auto"/>
                  <w:vAlign w:val="center"/>
                </w:tcPr>
                <w:p w14:paraId="470ECE9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894" w:type="pct"/>
                  <w:tcBorders>
                    <w:tl2br w:val="nil"/>
                    <w:tr2bl w:val="nil"/>
                  </w:tcBorders>
                  <w:shd w:val="clear" w:color="auto" w:fill="auto"/>
                  <w:vAlign w:val="center"/>
                </w:tcPr>
                <w:p w14:paraId="1E18FEC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规格/组分</w:t>
                  </w:r>
                </w:p>
              </w:tc>
              <w:tc>
                <w:tcPr>
                  <w:tcW w:w="592" w:type="pct"/>
                  <w:tcBorders>
                    <w:tl2br w:val="nil"/>
                    <w:tr2bl w:val="nil"/>
                  </w:tcBorders>
                  <w:shd w:val="clear" w:color="auto" w:fill="auto"/>
                  <w:vAlign w:val="center"/>
                </w:tcPr>
                <w:p w14:paraId="3FF201EA">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用量</w:t>
                  </w:r>
                </w:p>
              </w:tc>
              <w:tc>
                <w:tcPr>
                  <w:tcW w:w="475" w:type="pct"/>
                  <w:tcBorders>
                    <w:tl2br w:val="nil"/>
                    <w:tr2bl w:val="nil"/>
                  </w:tcBorders>
                  <w:shd w:val="clear" w:color="auto" w:fill="auto"/>
                  <w:vAlign w:val="center"/>
                </w:tcPr>
                <w:p w14:paraId="424032A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w:t>
                  </w:r>
                </w:p>
              </w:tc>
              <w:tc>
                <w:tcPr>
                  <w:tcW w:w="677" w:type="pct"/>
                  <w:tcBorders>
                    <w:tl2br w:val="nil"/>
                    <w:tr2bl w:val="nil"/>
                  </w:tcBorders>
                  <w:vAlign w:val="center"/>
                </w:tcPr>
                <w:p w14:paraId="33E3A61B">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贮存位置</w:t>
                  </w:r>
                </w:p>
              </w:tc>
              <w:tc>
                <w:tcPr>
                  <w:tcW w:w="677" w:type="pct"/>
                  <w:tcBorders>
                    <w:tl2br w:val="nil"/>
                    <w:tr2bl w:val="nil"/>
                  </w:tcBorders>
                  <w:vAlign w:val="center"/>
                </w:tcPr>
                <w:p w14:paraId="3F681C32">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厂区最大存储量</w:t>
                  </w:r>
                </w:p>
              </w:tc>
            </w:tr>
            <w:tr w14:paraId="2943F92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vAlign w:val="center"/>
                </w:tcPr>
                <w:p w14:paraId="7F89306E">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481" w:type="pct"/>
                  <w:vMerge w:val="restart"/>
                  <w:tcBorders>
                    <w:tl2br w:val="nil"/>
                    <w:tr2bl w:val="nil"/>
                  </w:tcBorders>
                  <w:vAlign w:val="center"/>
                </w:tcPr>
                <w:p w14:paraId="4D13DE60">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原辅料</w:t>
                  </w:r>
                </w:p>
              </w:tc>
              <w:tc>
                <w:tcPr>
                  <w:tcW w:w="849" w:type="pct"/>
                  <w:tcBorders>
                    <w:tl2br w:val="nil"/>
                    <w:tr2bl w:val="nil"/>
                  </w:tcBorders>
                  <w:shd w:val="clear" w:color="auto" w:fill="auto"/>
                  <w:vAlign w:val="center"/>
                </w:tcPr>
                <w:p w14:paraId="0E46F0CE">
                  <w:pPr>
                    <w:widowControl/>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金属零部件</w:t>
                  </w:r>
                </w:p>
              </w:tc>
              <w:tc>
                <w:tcPr>
                  <w:tcW w:w="894" w:type="pct"/>
                  <w:tcBorders>
                    <w:tl2br w:val="nil"/>
                    <w:tr2bl w:val="nil"/>
                  </w:tcBorders>
                  <w:vAlign w:val="center"/>
                </w:tcPr>
                <w:p w14:paraId="5290BFD7">
                  <w:pPr>
                    <w:autoSpaceDE w:val="0"/>
                    <w:autoSpaceDN w:val="0"/>
                    <w:adjustRightInd w:val="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592" w:type="pct"/>
                  <w:tcBorders>
                    <w:tl2br w:val="nil"/>
                    <w:tr2bl w:val="nil"/>
                  </w:tcBorders>
                  <w:shd w:val="clear" w:color="auto" w:fill="auto"/>
                  <w:vAlign w:val="center"/>
                </w:tcPr>
                <w:p w14:paraId="161C6D01">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49</w:t>
                  </w:r>
                  <w:r>
                    <w:rPr>
                      <w:rFonts w:hint="default" w:ascii="Times New Roman" w:hAnsi="Times New Roman" w:eastAsia="宋体" w:cs="Times New Roman"/>
                      <w:color w:val="auto"/>
                      <w:kern w:val="0"/>
                      <w:sz w:val="21"/>
                      <w:szCs w:val="21"/>
                      <w:lang w:bidi="ar"/>
                    </w:rPr>
                    <w:t>0</w:t>
                  </w:r>
                </w:p>
              </w:tc>
              <w:tc>
                <w:tcPr>
                  <w:tcW w:w="475" w:type="pct"/>
                  <w:tcBorders>
                    <w:tl2br w:val="nil"/>
                    <w:tr2bl w:val="nil"/>
                  </w:tcBorders>
                  <w:shd w:val="clear" w:color="auto" w:fill="auto"/>
                  <w:vAlign w:val="center"/>
                </w:tcPr>
                <w:p w14:paraId="5B8E87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吨/年</w:t>
                  </w:r>
                </w:p>
              </w:tc>
              <w:tc>
                <w:tcPr>
                  <w:tcW w:w="677" w:type="pct"/>
                  <w:vMerge w:val="restart"/>
                  <w:tcBorders>
                    <w:tl2br w:val="nil"/>
                    <w:tr2bl w:val="nil"/>
                  </w:tcBorders>
                  <w:vAlign w:val="center"/>
                </w:tcPr>
                <w:p w14:paraId="05E9307A">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原料仓库（三层）</w:t>
                  </w:r>
                </w:p>
              </w:tc>
              <w:tc>
                <w:tcPr>
                  <w:tcW w:w="677" w:type="pct"/>
                  <w:tcBorders>
                    <w:tl2br w:val="nil"/>
                    <w:tr2bl w:val="nil"/>
                  </w:tcBorders>
                  <w:vAlign w:val="center"/>
                </w:tcPr>
                <w:p w14:paraId="5DF55ED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rPr>
                    <w:t>吨</w:t>
                  </w:r>
                </w:p>
              </w:tc>
            </w:tr>
            <w:tr w14:paraId="5B53FA9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auto" w:fill="auto"/>
                  <w:vAlign w:val="center"/>
                </w:tcPr>
                <w:p w14:paraId="42C324D8">
                  <w:pPr>
                    <w:autoSpaceDE w:val="0"/>
                    <w:autoSpaceDN w:val="0"/>
                    <w:adjustRightIn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2</w:t>
                  </w:r>
                </w:p>
              </w:tc>
              <w:tc>
                <w:tcPr>
                  <w:tcW w:w="481" w:type="pct"/>
                  <w:vMerge w:val="continue"/>
                  <w:tcBorders>
                    <w:tl2br w:val="nil"/>
                    <w:tr2bl w:val="nil"/>
                  </w:tcBorders>
                  <w:vAlign w:val="center"/>
                </w:tcPr>
                <w:p w14:paraId="0D9A59F4">
                  <w:pPr>
                    <w:autoSpaceDE w:val="0"/>
                    <w:autoSpaceDN w:val="0"/>
                    <w:adjustRightInd w:val="0"/>
                    <w:jc w:val="center"/>
                    <w:rPr>
                      <w:rFonts w:hint="default" w:ascii="Times New Roman" w:hAnsi="Times New Roman" w:eastAsia="宋体" w:cs="Times New Roman"/>
                      <w:color w:val="auto"/>
                      <w:kern w:val="0"/>
                      <w:sz w:val="21"/>
                      <w:szCs w:val="21"/>
                    </w:rPr>
                  </w:pPr>
                </w:p>
              </w:tc>
              <w:tc>
                <w:tcPr>
                  <w:tcW w:w="849" w:type="pct"/>
                  <w:tcBorders>
                    <w:tl2br w:val="nil"/>
                    <w:tr2bl w:val="nil"/>
                  </w:tcBorders>
                  <w:shd w:val="clear" w:color="auto" w:fill="auto"/>
                  <w:vAlign w:val="center"/>
                </w:tcPr>
                <w:p w14:paraId="4F2BD15E">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电工纯铁</w:t>
                  </w:r>
                </w:p>
              </w:tc>
              <w:tc>
                <w:tcPr>
                  <w:tcW w:w="894" w:type="pct"/>
                  <w:tcBorders>
                    <w:tl2br w:val="nil"/>
                    <w:tr2bl w:val="nil"/>
                  </w:tcBorders>
                  <w:vAlign w:val="center"/>
                </w:tcPr>
                <w:p w14:paraId="09E32CF7">
                  <w:pPr>
                    <w:autoSpaceDE w:val="0"/>
                    <w:autoSpaceDN w:val="0"/>
                    <w:adjustRightIn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592" w:type="pct"/>
                  <w:tcBorders>
                    <w:tl2br w:val="nil"/>
                    <w:tr2bl w:val="nil"/>
                  </w:tcBorders>
                  <w:shd w:val="clear" w:color="auto" w:fill="auto"/>
                  <w:vAlign w:val="center"/>
                </w:tcPr>
                <w:p w14:paraId="690EBEFF">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10</w:t>
                  </w:r>
                </w:p>
              </w:tc>
              <w:tc>
                <w:tcPr>
                  <w:tcW w:w="475" w:type="pct"/>
                  <w:tcBorders>
                    <w:tl2br w:val="nil"/>
                    <w:tr2bl w:val="nil"/>
                  </w:tcBorders>
                  <w:shd w:val="clear" w:color="auto" w:fill="auto"/>
                  <w:vAlign w:val="center"/>
                </w:tcPr>
                <w:p w14:paraId="12A3E3C6">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吨/年</w:t>
                  </w:r>
                </w:p>
              </w:tc>
              <w:tc>
                <w:tcPr>
                  <w:tcW w:w="677" w:type="pct"/>
                  <w:vMerge w:val="continue"/>
                  <w:tcBorders>
                    <w:tl2br w:val="nil"/>
                    <w:tr2bl w:val="nil"/>
                  </w:tcBorders>
                  <w:vAlign w:val="center"/>
                </w:tcPr>
                <w:p w14:paraId="785637E3">
                  <w:pPr>
                    <w:jc w:val="center"/>
                    <w:rPr>
                      <w:rFonts w:hint="eastAsia" w:ascii="Times New Roman" w:hAnsi="Times New Roman" w:eastAsia="宋体" w:cs="Times New Roman"/>
                      <w:color w:val="auto"/>
                      <w:sz w:val="21"/>
                      <w:szCs w:val="21"/>
                      <w:lang w:val="en-US" w:eastAsia="zh-CN"/>
                    </w:rPr>
                  </w:pPr>
                </w:p>
              </w:tc>
              <w:tc>
                <w:tcPr>
                  <w:tcW w:w="677" w:type="pct"/>
                  <w:tcBorders>
                    <w:tl2br w:val="nil"/>
                    <w:tr2bl w:val="nil"/>
                  </w:tcBorders>
                  <w:vAlign w:val="center"/>
                </w:tcPr>
                <w:p w14:paraId="0E632009">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吨</w:t>
                  </w:r>
                </w:p>
              </w:tc>
            </w:tr>
            <w:tr w14:paraId="75BF74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auto" w:fill="auto"/>
                  <w:vAlign w:val="center"/>
                </w:tcPr>
                <w:p w14:paraId="6FE7D45A">
                  <w:pPr>
                    <w:autoSpaceDE w:val="0"/>
                    <w:autoSpaceDN w:val="0"/>
                    <w:adjustRightIn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3</w:t>
                  </w:r>
                </w:p>
              </w:tc>
              <w:tc>
                <w:tcPr>
                  <w:tcW w:w="481" w:type="pct"/>
                  <w:vMerge w:val="continue"/>
                  <w:tcBorders>
                    <w:tl2br w:val="nil"/>
                    <w:tr2bl w:val="nil"/>
                  </w:tcBorders>
                  <w:vAlign w:val="center"/>
                </w:tcPr>
                <w:p w14:paraId="08788860">
                  <w:pPr>
                    <w:autoSpaceDE w:val="0"/>
                    <w:autoSpaceDN w:val="0"/>
                    <w:adjustRightInd w:val="0"/>
                    <w:jc w:val="center"/>
                    <w:rPr>
                      <w:rFonts w:hint="default" w:ascii="Times New Roman" w:hAnsi="Times New Roman" w:eastAsia="宋体" w:cs="Times New Roman"/>
                      <w:color w:val="auto"/>
                      <w:kern w:val="0"/>
                      <w:sz w:val="21"/>
                      <w:szCs w:val="21"/>
                    </w:rPr>
                  </w:pPr>
                </w:p>
              </w:tc>
              <w:tc>
                <w:tcPr>
                  <w:tcW w:w="849" w:type="pct"/>
                  <w:tcBorders>
                    <w:tl2br w:val="nil"/>
                    <w:tr2bl w:val="nil"/>
                  </w:tcBorders>
                  <w:shd w:val="clear" w:color="auto" w:fill="auto"/>
                  <w:vAlign w:val="center"/>
                </w:tcPr>
                <w:p w14:paraId="56396A09">
                  <w:pPr>
                    <w:widowControl/>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液氮/液氩</w:t>
                  </w:r>
                </w:p>
              </w:tc>
              <w:tc>
                <w:tcPr>
                  <w:tcW w:w="894" w:type="pct"/>
                  <w:tcBorders>
                    <w:tl2br w:val="nil"/>
                    <w:tr2bl w:val="nil"/>
                  </w:tcBorders>
                  <w:vAlign w:val="center"/>
                </w:tcPr>
                <w:p w14:paraId="598E73DD">
                  <w:pPr>
                    <w:autoSpaceDE w:val="0"/>
                    <w:autoSpaceDN w:val="0"/>
                    <w:adjustRightInd w:val="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592" w:type="pct"/>
                  <w:tcBorders>
                    <w:tl2br w:val="nil"/>
                    <w:tr2bl w:val="nil"/>
                  </w:tcBorders>
                  <w:shd w:val="clear" w:color="auto" w:fill="auto"/>
                  <w:vAlign w:val="center"/>
                </w:tcPr>
                <w:p w14:paraId="6AAFBC61">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20</w:t>
                  </w:r>
                </w:p>
              </w:tc>
              <w:tc>
                <w:tcPr>
                  <w:tcW w:w="475" w:type="pct"/>
                  <w:tcBorders>
                    <w:tl2br w:val="nil"/>
                    <w:tr2bl w:val="nil"/>
                  </w:tcBorders>
                  <w:shd w:val="clear" w:color="auto" w:fill="auto"/>
                  <w:vAlign w:val="center"/>
                </w:tcPr>
                <w:p w14:paraId="13E1AD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吨/年</w:t>
                  </w:r>
                </w:p>
              </w:tc>
              <w:tc>
                <w:tcPr>
                  <w:tcW w:w="677" w:type="pct"/>
                  <w:vMerge w:val="continue"/>
                  <w:tcBorders>
                    <w:tl2br w:val="nil"/>
                    <w:tr2bl w:val="nil"/>
                  </w:tcBorders>
                  <w:vAlign w:val="center"/>
                </w:tcPr>
                <w:p w14:paraId="720BC378">
                  <w:pPr>
                    <w:jc w:val="center"/>
                    <w:rPr>
                      <w:rFonts w:hint="default" w:ascii="Times New Roman" w:hAnsi="Times New Roman" w:eastAsia="宋体" w:cs="Times New Roman"/>
                      <w:color w:val="auto"/>
                      <w:sz w:val="21"/>
                      <w:szCs w:val="21"/>
                    </w:rPr>
                  </w:pPr>
                </w:p>
              </w:tc>
              <w:tc>
                <w:tcPr>
                  <w:tcW w:w="677" w:type="pct"/>
                  <w:tcBorders>
                    <w:tl2br w:val="nil"/>
                    <w:tr2bl w:val="nil"/>
                  </w:tcBorders>
                  <w:vAlign w:val="center"/>
                </w:tcPr>
                <w:p w14:paraId="3436867C">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吨</w:t>
                  </w:r>
                </w:p>
              </w:tc>
            </w:tr>
            <w:tr w14:paraId="330BFF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auto" w:fill="auto"/>
                  <w:vAlign w:val="center"/>
                </w:tcPr>
                <w:p w14:paraId="2FBA3CF6">
                  <w:pPr>
                    <w:autoSpaceDE w:val="0"/>
                    <w:autoSpaceDN w:val="0"/>
                    <w:adjustRightIn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4</w:t>
                  </w:r>
                </w:p>
              </w:tc>
              <w:tc>
                <w:tcPr>
                  <w:tcW w:w="481" w:type="pct"/>
                  <w:vMerge w:val="continue"/>
                  <w:tcBorders>
                    <w:tl2br w:val="nil"/>
                    <w:tr2bl w:val="nil"/>
                  </w:tcBorders>
                  <w:vAlign w:val="center"/>
                </w:tcPr>
                <w:p w14:paraId="16C18382">
                  <w:pPr>
                    <w:autoSpaceDE w:val="0"/>
                    <w:autoSpaceDN w:val="0"/>
                    <w:adjustRightInd w:val="0"/>
                    <w:jc w:val="center"/>
                    <w:rPr>
                      <w:rFonts w:hint="default" w:ascii="Times New Roman" w:hAnsi="Times New Roman" w:eastAsia="宋体" w:cs="Times New Roman"/>
                      <w:color w:val="auto"/>
                      <w:kern w:val="0"/>
                      <w:sz w:val="21"/>
                      <w:szCs w:val="21"/>
                    </w:rPr>
                  </w:pPr>
                </w:p>
              </w:tc>
              <w:tc>
                <w:tcPr>
                  <w:tcW w:w="849" w:type="pct"/>
                  <w:tcBorders>
                    <w:tl2br w:val="nil"/>
                    <w:tr2bl w:val="nil"/>
                  </w:tcBorders>
                  <w:shd w:val="clear" w:color="auto" w:fill="auto"/>
                  <w:vAlign w:val="center"/>
                </w:tcPr>
                <w:p w14:paraId="18DED969">
                  <w:pPr>
                    <w:widowControl/>
                    <w:jc w:val="center"/>
                    <w:textAlignment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纯氢</w:t>
                  </w:r>
                </w:p>
              </w:tc>
              <w:tc>
                <w:tcPr>
                  <w:tcW w:w="894" w:type="pct"/>
                  <w:tcBorders>
                    <w:tl2br w:val="nil"/>
                    <w:tr2bl w:val="nil"/>
                  </w:tcBorders>
                  <w:vAlign w:val="center"/>
                </w:tcPr>
                <w:p w14:paraId="38475A0D">
                  <w:pPr>
                    <w:autoSpaceDE w:val="0"/>
                    <w:autoSpaceDN w:val="0"/>
                    <w:adjustRightInd w:val="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w:t>
                  </w:r>
                </w:p>
              </w:tc>
              <w:tc>
                <w:tcPr>
                  <w:tcW w:w="592" w:type="pct"/>
                  <w:tcBorders>
                    <w:tl2br w:val="nil"/>
                    <w:tr2bl w:val="nil"/>
                  </w:tcBorders>
                  <w:shd w:val="clear" w:color="auto" w:fill="auto"/>
                  <w:vAlign w:val="center"/>
                </w:tcPr>
                <w:p w14:paraId="24567473">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40000</w:t>
                  </w:r>
                </w:p>
              </w:tc>
              <w:tc>
                <w:tcPr>
                  <w:tcW w:w="475" w:type="pct"/>
                  <w:tcBorders>
                    <w:tl2br w:val="nil"/>
                    <w:tr2bl w:val="nil"/>
                  </w:tcBorders>
                  <w:shd w:val="clear" w:color="auto" w:fill="auto"/>
                  <w:vAlign w:val="center"/>
                </w:tcPr>
                <w:p w14:paraId="23BE1D7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lang w:bidi="ar"/>
                    </w:rPr>
                    <w:t>方</w:t>
                  </w:r>
                  <w:r>
                    <w:rPr>
                      <w:rFonts w:hint="default" w:ascii="Times New Roman" w:hAnsi="Times New Roman" w:eastAsia="宋体" w:cs="Times New Roman"/>
                      <w:color w:val="auto"/>
                      <w:sz w:val="21"/>
                      <w:szCs w:val="21"/>
                    </w:rPr>
                    <w:t>/年</w:t>
                  </w:r>
                </w:p>
              </w:tc>
              <w:tc>
                <w:tcPr>
                  <w:tcW w:w="677" w:type="pct"/>
                  <w:vMerge w:val="continue"/>
                  <w:tcBorders>
                    <w:tl2br w:val="nil"/>
                    <w:tr2bl w:val="nil"/>
                  </w:tcBorders>
                  <w:vAlign w:val="center"/>
                </w:tcPr>
                <w:p w14:paraId="4F7C64B2">
                  <w:pPr>
                    <w:jc w:val="center"/>
                    <w:rPr>
                      <w:rFonts w:hint="default" w:ascii="Times New Roman" w:hAnsi="Times New Roman" w:eastAsia="宋体" w:cs="Times New Roman"/>
                      <w:color w:val="auto"/>
                      <w:sz w:val="21"/>
                      <w:szCs w:val="21"/>
                    </w:rPr>
                  </w:pPr>
                </w:p>
              </w:tc>
              <w:tc>
                <w:tcPr>
                  <w:tcW w:w="677" w:type="pct"/>
                  <w:tcBorders>
                    <w:tl2br w:val="nil"/>
                    <w:tr2bl w:val="nil"/>
                  </w:tcBorders>
                  <w:vAlign w:val="center"/>
                </w:tcPr>
                <w:p w14:paraId="722FE909">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500</w:t>
                  </w:r>
                  <w:r>
                    <w:rPr>
                      <w:rFonts w:hint="default" w:ascii="Times New Roman" w:hAnsi="Times New Roman" w:eastAsia="宋体" w:cs="Times New Roman"/>
                      <w:color w:val="auto"/>
                      <w:kern w:val="0"/>
                      <w:sz w:val="21"/>
                      <w:szCs w:val="21"/>
                      <w:lang w:bidi="ar"/>
                    </w:rPr>
                    <w:t>方</w:t>
                  </w:r>
                </w:p>
              </w:tc>
            </w:tr>
            <w:tr w14:paraId="3D5750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auto" w:fill="auto"/>
                  <w:vAlign w:val="center"/>
                </w:tcPr>
                <w:p w14:paraId="6E5397F2">
                  <w:pPr>
                    <w:autoSpaceDE w:val="0"/>
                    <w:autoSpaceDN w:val="0"/>
                    <w:adjustRightIn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5</w:t>
                  </w:r>
                </w:p>
              </w:tc>
              <w:tc>
                <w:tcPr>
                  <w:tcW w:w="481" w:type="pct"/>
                  <w:vMerge w:val="continue"/>
                  <w:tcBorders>
                    <w:tl2br w:val="nil"/>
                    <w:tr2bl w:val="nil"/>
                  </w:tcBorders>
                  <w:vAlign w:val="center"/>
                </w:tcPr>
                <w:p w14:paraId="17F90F76">
                  <w:pPr>
                    <w:autoSpaceDE w:val="0"/>
                    <w:autoSpaceDN w:val="0"/>
                    <w:adjustRightInd w:val="0"/>
                    <w:jc w:val="center"/>
                    <w:rPr>
                      <w:rFonts w:hint="default" w:ascii="Times New Roman" w:hAnsi="Times New Roman" w:eastAsia="宋体" w:cs="Times New Roman"/>
                      <w:color w:val="auto"/>
                      <w:kern w:val="0"/>
                      <w:sz w:val="21"/>
                      <w:szCs w:val="21"/>
                    </w:rPr>
                  </w:pPr>
                </w:p>
              </w:tc>
              <w:tc>
                <w:tcPr>
                  <w:tcW w:w="849" w:type="pct"/>
                  <w:tcBorders>
                    <w:tl2br w:val="nil"/>
                    <w:tr2bl w:val="nil"/>
                  </w:tcBorders>
                  <w:shd w:val="clear" w:color="auto" w:fill="auto"/>
                  <w:vAlign w:val="center"/>
                </w:tcPr>
                <w:p w14:paraId="48D2CEC0">
                  <w:pPr>
                    <w:widowControl/>
                    <w:jc w:val="center"/>
                    <w:textAlignment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淬火油</w:t>
                  </w:r>
                </w:p>
              </w:tc>
              <w:tc>
                <w:tcPr>
                  <w:tcW w:w="894" w:type="pct"/>
                  <w:tcBorders>
                    <w:tl2br w:val="nil"/>
                    <w:tr2bl w:val="nil"/>
                  </w:tcBorders>
                  <w:vAlign w:val="center"/>
                </w:tcPr>
                <w:p w14:paraId="5A526E05">
                  <w:pPr>
                    <w:widowControl/>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由精炼矿物油和各类添加剂组成</w:t>
                  </w:r>
                </w:p>
              </w:tc>
              <w:tc>
                <w:tcPr>
                  <w:tcW w:w="592" w:type="pct"/>
                  <w:tcBorders>
                    <w:tl2br w:val="nil"/>
                    <w:tr2bl w:val="nil"/>
                  </w:tcBorders>
                  <w:shd w:val="clear" w:color="auto" w:fill="auto"/>
                  <w:vAlign w:val="center"/>
                </w:tcPr>
                <w:p w14:paraId="2753A097">
                  <w:pPr>
                    <w:widowControl/>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0"/>
                      <w:sz w:val="21"/>
                      <w:szCs w:val="21"/>
                      <w:lang w:val="en-US" w:eastAsia="zh-CN" w:bidi="ar"/>
                    </w:rPr>
                    <w:t>5</w:t>
                  </w:r>
                </w:p>
              </w:tc>
              <w:tc>
                <w:tcPr>
                  <w:tcW w:w="475" w:type="pct"/>
                  <w:tcBorders>
                    <w:tl2br w:val="nil"/>
                    <w:tr2bl w:val="nil"/>
                  </w:tcBorders>
                  <w:shd w:val="clear" w:color="auto" w:fill="auto"/>
                  <w:vAlign w:val="center"/>
                </w:tcPr>
                <w:p w14:paraId="4E44947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吨/年</w:t>
                  </w:r>
                </w:p>
              </w:tc>
              <w:tc>
                <w:tcPr>
                  <w:tcW w:w="677" w:type="pct"/>
                  <w:vMerge w:val="continue"/>
                  <w:tcBorders>
                    <w:tl2br w:val="nil"/>
                    <w:tr2bl w:val="nil"/>
                  </w:tcBorders>
                  <w:vAlign w:val="center"/>
                </w:tcPr>
                <w:p w14:paraId="3800DB12">
                  <w:pPr>
                    <w:jc w:val="center"/>
                    <w:rPr>
                      <w:rFonts w:hint="default" w:ascii="Times New Roman" w:hAnsi="Times New Roman" w:eastAsia="宋体" w:cs="Times New Roman"/>
                      <w:color w:val="auto"/>
                      <w:sz w:val="21"/>
                      <w:szCs w:val="21"/>
                    </w:rPr>
                  </w:pPr>
                </w:p>
              </w:tc>
              <w:tc>
                <w:tcPr>
                  <w:tcW w:w="677" w:type="pct"/>
                  <w:tcBorders>
                    <w:tl2br w:val="nil"/>
                    <w:tr2bl w:val="nil"/>
                  </w:tcBorders>
                  <w:vAlign w:val="center"/>
                </w:tcPr>
                <w:p w14:paraId="13E117B6">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吨</w:t>
                  </w:r>
                </w:p>
              </w:tc>
            </w:tr>
            <w:tr w14:paraId="6C683F7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8" w:hRule="atLeast"/>
                <w:jc w:val="center"/>
              </w:trPr>
              <w:tc>
                <w:tcPr>
                  <w:tcW w:w="350" w:type="pct"/>
                  <w:tcBorders>
                    <w:tl2br w:val="nil"/>
                    <w:tr2bl w:val="nil"/>
                  </w:tcBorders>
                  <w:shd w:val="clear" w:color="auto" w:fill="auto"/>
                  <w:vAlign w:val="center"/>
                </w:tcPr>
                <w:p w14:paraId="3ED69B8A">
                  <w:pPr>
                    <w:autoSpaceDE w:val="0"/>
                    <w:autoSpaceDN w:val="0"/>
                    <w:adjustRightIn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6</w:t>
                  </w:r>
                </w:p>
              </w:tc>
              <w:tc>
                <w:tcPr>
                  <w:tcW w:w="481" w:type="pct"/>
                  <w:vMerge w:val="continue"/>
                  <w:tcBorders>
                    <w:tl2br w:val="nil"/>
                    <w:tr2bl w:val="nil"/>
                  </w:tcBorders>
                  <w:vAlign w:val="center"/>
                </w:tcPr>
                <w:p w14:paraId="4A19D65F">
                  <w:pPr>
                    <w:autoSpaceDE w:val="0"/>
                    <w:autoSpaceDN w:val="0"/>
                    <w:adjustRightInd w:val="0"/>
                    <w:jc w:val="center"/>
                    <w:rPr>
                      <w:rFonts w:hint="default" w:ascii="Times New Roman" w:hAnsi="Times New Roman" w:eastAsia="宋体" w:cs="Times New Roman"/>
                      <w:color w:val="auto"/>
                      <w:kern w:val="0"/>
                      <w:sz w:val="21"/>
                      <w:szCs w:val="21"/>
                    </w:rPr>
                  </w:pPr>
                </w:p>
              </w:tc>
              <w:tc>
                <w:tcPr>
                  <w:tcW w:w="849" w:type="pct"/>
                  <w:tcBorders>
                    <w:tl2br w:val="nil"/>
                    <w:tr2bl w:val="nil"/>
                  </w:tcBorders>
                  <w:shd w:val="clear" w:color="auto" w:fill="auto"/>
                  <w:vAlign w:val="center"/>
                </w:tcPr>
                <w:p w14:paraId="5C41E129">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基盐/氧化盐</w:t>
                  </w:r>
                </w:p>
              </w:tc>
              <w:tc>
                <w:tcPr>
                  <w:tcW w:w="894" w:type="pct"/>
                  <w:tcBorders>
                    <w:tl2br w:val="nil"/>
                    <w:tr2bl w:val="nil"/>
                  </w:tcBorders>
                  <w:vAlign w:val="center"/>
                </w:tcPr>
                <w:p w14:paraId="6667DC40">
                  <w:pPr>
                    <w:widowControl/>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碳酸钾、碳酸钠、尿素（氮化盐）4.5%</w:t>
                  </w:r>
                </w:p>
              </w:tc>
              <w:tc>
                <w:tcPr>
                  <w:tcW w:w="592" w:type="pct"/>
                  <w:tcBorders>
                    <w:tl2br w:val="nil"/>
                    <w:tr2bl w:val="nil"/>
                  </w:tcBorders>
                  <w:shd w:val="clear" w:color="auto" w:fill="auto"/>
                  <w:vAlign w:val="center"/>
                </w:tcPr>
                <w:p w14:paraId="397974D8">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lang w:bidi="ar"/>
                    </w:rPr>
                    <w:t>8</w:t>
                  </w:r>
                </w:p>
              </w:tc>
              <w:tc>
                <w:tcPr>
                  <w:tcW w:w="475" w:type="pct"/>
                  <w:tcBorders>
                    <w:tl2br w:val="nil"/>
                    <w:tr2bl w:val="nil"/>
                  </w:tcBorders>
                  <w:shd w:val="clear" w:color="auto" w:fill="auto"/>
                  <w:vAlign w:val="center"/>
                </w:tcPr>
                <w:p w14:paraId="0384440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吨/年</w:t>
                  </w:r>
                </w:p>
              </w:tc>
              <w:tc>
                <w:tcPr>
                  <w:tcW w:w="677" w:type="pct"/>
                  <w:vMerge w:val="continue"/>
                  <w:tcBorders>
                    <w:tl2br w:val="nil"/>
                    <w:tr2bl w:val="nil"/>
                  </w:tcBorders>
                  <w:vAlign w:val="center"/>
                </w:tcPr>
                <w:p w14:paraId="0432BE47">
                  <w:pPr>
                    <w:jc w:val="center"/>
                    <w:rPr>
                      <w:rFonts w:hint="default" w:ascii="Times New Roman" w:hAnsi="Times New Roman" w:eastAsia="宋体" w:cs="Times New Roman"/>
                      <w:color w:val="auto"/>
                      <w:sz w:val="21"/>
                      <w:szCs w:val="21"/>
                    </w:rPr>
                  </w:pPr>
                </w:p>
              </w:tc>
              <w:tc>
                <w:tcPr>
                  <w:tcW w:w="677" w:type="pct"/>
                  <w:tcBorders>
                    <w:tl2br w:val="nil"/>
                    <w:tr2bl w:val="nil"/>
                  </w:tcBorders>
                  <w:vAlign w:val="center"/>
                </w:tcPr>
                <w:p w14:paraId="29BA5554">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吨</w:t>
                  </w:r>
                </w:p>
              </w:tc>
            </w:tr>
            <w:tr w14:paraId="5E26D75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auto" w:fill="auto"/>
                  <w:vAlign w:val="center"/>
                </w:tcPr>
                <w:p w14:paraId="7C26FC3C">
                  <w:pPr>
                    <w:autoSpaceDE w:val="0"/>
                    <w:autoSpaceDN w:val="0"/>
                    <w:adjustRightIn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rPr>
                    <w:t>7</w:t>
                  </w:r>
                </w:p>
              </w:tc>
              <w:tc>
                <w:tcPr>
                  <w:tcW w:w="481" w:type="pct"/>
                  <w:vMerge w:val="continue"/>
                  <w:tcBorders>
                    <w:tl2br w:val="nil"/>
                    <w:tr2bl w:val="nil"/>
                  </w:tcBorders>
                  <w:vAlign w:val="center"/>
                </w:tcPr>
                <w:p w14:paraId="7EA7887F">
                  <w:pPr>
                    <w:autoSpaceDE w:val="0"/>
                    <w:autoSpaceDN w:val="0"/>
                    <w:adjustRightInd w:val="0"/>
                    <w:jc w:val="center"/>
                    <w:rPr>
                      <w:rFonts w:hint="default" w:ascii="Times New Roman" w:hAnsi="Times New Roman" w:eastAsia="宋体" w:cs="Times New Roman"/>
                      <w:color w:val="auto"/>
                      <w:kern w:val="0"/>
                      <w:sz w:val="21"/>
                      <w:szCs w:val="21"/>
                    </w:rPr>
                  </w:pPr>
                </w:p>
              </w:tc>
              <w:tc>
                <w:tcPr>
                  <w:tcW w:w="849" w:type="pct"/>
                  <w:tcBorders>
                    <w:tl2br w:val="nil"/>
                    <w:tr2bl w:val="nil"/>
                  </w:tcBorders>
                  <w:shd w:val="clear" w:color="auto" w:fill="auto"/>
                  <w:vAlign w:val="center"/>
                </w:tcPr>
                <w:p w14:paraId="7C2C7654">
                  <w:pPr>
                    <w:pStyle w:val="73"/>
                    <w:spacing w:line="64" w:lineRule="atLeast"/>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碳氢清洗剂</w:t>
                  </w:r>
                </w:p>
              </w:tc>
              <w:tc>
                <w:tcPr>
                  <w:tcW w:w="894" w:type="pct"/>
                  <w:tcBorders>
                    <w:tl2br w:val="nil"/>
                    <w:tr2bl w:val="nil"/>
                  </w:tcBorders>
                  <w:vAlign w:val="center"/>
                </w:tcPr>
                <w:p w14:paraId="50C48101">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lang w:val="en-US" w:eastAsia="zh-CN"/>
                    </w:rPr>
                    <w:t>200L/桶</w:t>
                  </w:r>
                  <w:r>
                    <w:rPr>
                      <w:rFonts w:hint="eastAsia" w:ascii="Times New Roman" w:hAnsi="Times New Roman" w:eastAsia="宋体" w:cs="Times New Roman"/>
                      <w:color w:val="auto"/>
                      <w:sz w:val="21"/>
                      <w:szCs w:val="21"/>
                      <w:lang w:val="en-US" w:eastAsia="zh-CN"/>
                    </w:rPr>
                    <w:t>，烷烃类化合物</w:t>
                  </w:r>
                </w:p>
              </w:tc>
              <w:tc>
                <w:tcPr>
                  <w:tcW w:w="592" w:type="pct"/>
                  <w:tcBorders>
                    <w:tl2br w:val="nil"/>
                    <w:tr2bl w:val="nil"/>
                  </w:tcBorders>
                  <w:shd w:val="clear" w:color="auto" w:fill="auto"/>
                  <w:vAlign w:val="center"/>
                </w:tcPr>
                <w:p w14:paraId="1D95F362">
                  <w:pPr>
                    <w:spacing w:line="320" w:lineRule="exa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w:t>
                  </w:r>
                </w:p>
              </w:tc>
              <w:tc>
                <w:tcPr>
                  <w:tcW w:w="475" w:type="pct"/>
                  <w:tcBorders>
                    <w:tl2br w:val="nil"/>
                    <w:tr2bl w:val="nil"/>
                  </w:tcBorders>
                  <w:shd w:val="clear" w:color="auto" w:fill="auto"/>
                  <w:vAlign w:val="center"/>
                </w:tcPr>
                <w:p w14:paraId="1CA6BF49">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桶</w:t>
                  </w:r>
                  <w:r>
                    <w:rPr>
                      <w:rFonts w:hint="default" w:ascii="Times New Roman" w:hAnsi="Times New Roman" w:eastAsia="宋体" w:cs="Times New Roman"/>
                      <w:color w:val="auto"/>
                      <w:sz w:val="21"/>
                      <w:szCs w:val="21"/>
                    </w:rPr>
                    <w:t>/年</w:t>
                  </w:r>
                </w:p>
              </w:tc>
              <w:tc>
                <w:tcPr>
                  <w:tcW w:w="677" w:type="pct"/>
                  <w:vMerge w:val="continue"/>
                  <w:tcBorders>
                    <w:tl2br w:val="nil"/>
                    <w:tr2bl w:val="nil"/>
                  </w:tcBorders>
                  <w:vAlign w:val="center"/>
                </w:tcPr>
                <w:p w14:paraId="44050E57">
                  <w:pPr>
                    <w:jc w:val="center"/>
                    <w:rPr>
                      <w:rFonts w:hint="default" w:ascii="Times New Roman" w:hAnsi="Times New Roman" w:eastAsia="宋体" w:cs="Times New Roman"/>
                      <w:color w:val="auto"/>
                      <w:sz w:val="21"/>
                      <w:szCs w:val="21"/>
                    </w:rPr>
                  </w:pPr>
                </w:p>
              </w:tc>
              <w:tc>
                <w:tcPr>
                  <w:tcW w:w="677" w:type="pct"/>
                  <w:tcBorders>
                    <w:tl2br w:val="nil"/>
                    <w:tr2bl w:val="nil"/>
                  </w:tcBorders>
                  <w:vAlign w:val="center"/>
                </w:tcPr>
                <w:p w14:paraId="1103E9A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400L</w:t>
                  </w:r>
                </w:p>
              </w:tc>
            </w:tr>
            <w:tr w14:paraId="49D7AD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50" w:type="pct"/>
                  <w:tcBorders>
                    <w:tl2br w:val="nil"/>
                    <w:tr2bl w:val="nil"/>
                  </w:tcBorders>
                  <w:shd w:val="clear" w:color="auto" w:fill="auto"/>
                  <w:vAlign w:val="center"/>
                </w:tcPr>
                <w:p w14:paraId="47EF0179">
                  <w:pPr>
                    <w:autoSpaceDE w:val="0"/>
                    <w:autoSpaceDN w:val="0"/>
                    <w:adjustRightIn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8</w:t>
                  </w:r>
                </w:p>
              </w:tc>
              <w:tc>
                <w:tcPr>
                  <w:tcW w:w="481" w:type="pct"/>
                  <w:vMerge w:val="continue"/>
                  <w:tcBorders>
                    <w:tl2br w:val="nil"/>
                    <w:tr2bl w:val="nil"/>
                  </w:tcBorders>
                  <w:vAlign w:val="center"/>
                </w:tcPr>
                <w:p w14:paraId="47D9AF5D">
                  <w:pPr>
                    <w:autoSpaceDE w:val="0"/>
                    <w:autoSpaceDN w:val="0"/>
                    <w:adjustRightInd w:val="0"/>
                    <w:jc w:val="center"/>
                    <w:rPr>
                      <w:rFonts w:hint="default" w:ascii="Times New Roman" w:hAnsi="Times New Roman" w:eastAsia="宋体" w:cs="Times New Roman"/>
                      <w:color w:val="auto"/>
                      <w:kern w:val="0"/>
                      <w:sz w:val="21"/>
                      <w:szCs w:val="21"/>
                    </w:rPr>
                  </w:pPr>
                </w:p>
              </w:tc>
              <w:tc>
                <w:tcPr>
                  <w:tcW w:w="849" w:type="pct"/>
                  <w:tcBorders>
                    <w:tl2br w:val="nil"/>
                    <w:tr2bl w:val="nil"/>
                  </w:tcBorders>
                  <w:shd w:val="clear" w:color="auto" w:fill="auto"/>
                  <w:vAlign w:val="center"/>
                </w:tcPr>
                <w:p w14:paraId="33EFBDF0">
                  <w:pPr>
                    <w:pStyle w:val="73"/>
                    <w:spacing w:line="64"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金刚砂</w:t>
                  </w:r>
                </w:p>
              </w:tc>
              <w:tc>
                <w:tcPr>
                  <w:tcW w:w="894" w:type="pct"/>
                  <w:tcBorders>
                    <w:tl2br w:val="nil"/>
                    <w:tr2bl w:val="nil"/>
                  </w:tcBorders>
                  <w:vAlign w:val="center"/>
                </w:tcPr>
                <w:p w14:paraId="0C404E31">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592" w:type="pct"/>
                  <w:tcBorders>
                    <w:tl2br w:val="nil"/>
                    <w:tr2bl w:val="nil"/>
                  </w:tcBorders>
                  <w:shd w:val="clear" w:color="auto" w:fill="auto"/>
                  <w:vAlign w:val="center"/>
                </w:tcPr>
                <w:p w14:paraId="52C20670">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475" w:type="pct"/>
                  <w:tcBorders>
                    <w:tl2br w:val="nil"/>
                    <w:tr2bl w:val="nil"/>
                  </w:tcBorders>
                  <w:shd w:val="clear" w:color="auto" w:fill="auto"/>
                  <w:vAlign w:val="center"/>
                </w:tcPr>
                <w:p w14:paraId="0BB8755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吨/年</w:t>
                  </w:r>
                </w:p>
              </w:tc>
              <w:tc>
                <w:tcPr>
                  <w:tcW w:w="677" w:type="pct"/>
                  <w:vMerge w:val="continue"/>
                  <w:tcBorders>
                    <w:tl2br w:val="nil"/>
                    <w:tr2bl w:val="nil"/>
                  </w:tcBorders>
                  <w:vAlign w:val="center"/>
                </w:tcPr>
                <w:p w14:paraId="2F728BA3">
                  <w:pPr>
                    <w:jc w:val="center"/>
                    <w:rPr>
                      <w:rFonts w:hint="default" w:ascii="Times New Roman" w:hAnsi="Times New Roman" w:eastAsia="宋体" w:cs="Times New Roman"/>
                      <w:color w:val="auto"/>
                      <w:sz w:val="21"/>
                      <w:szCs w:val="21"/>
                    </w:rPr>
                  </w:pPr>
                </w:p>
              </w:tc>
              <w:tc>
                <w:tcPr>
                  <w:tcW w:w="677" w:type="pct"/>
                  <w:tcBorders>
                    <w:tl2br w:val="nil"/>
                    <w:tr2bl w:val="nil"/>
                  </w:tcBorders>
                  <w:vAlign w:val="center"/>
                </w:tcPr>
                <w:p w14:paraId="6A4E46E6">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吨</w:t>
                  </w:r>
                </w:p>
              </w:tc>
            </w:tr>
            <w:tr w14:paraId="039547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auto" w:fill="auto"/>
                  <w:vAlign w:val="center"/>
                </w:tcPr>
                <w:p w14:paraId="1AB1DA49">
                  <w:pPr>
                    <w:autoSpaceDE w:val="0"/>
                    <w:autoSpaceDN w:val="0"/>
                    <w:adjustRightInd w:val="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9</w:t>
                  </w:r>
                </w:p>
              </w:tc>
              <w:tc>
                <w:tcPr>
                  <w:tcW w:w="481" w:type="pct"/>
                  <w:vMerge w:val="continue"/>
                  <w:tcBorders>
                    <w:tl2br w:val="nil"/>
                    <w:tr2bl w:val="nil"/>
                  </w:tcBorders>
                  <w:vAlign w:val="center"/>
                </w:tcPr>
                <w:p w14:paraId="52E89CD9">
                  <w:pPr>
                    <w:autoSpaceDE w:val="0"/>
                    <w:autoSpaceDN w:val="0"/>
                    <w:adjustRightInd w:val="0"/>
                    <w:jc w:val="center"/>
                    <w:rPr>
                      <w:rFonts w:hint="default" w:ascii="Times New Roman" w:hAnsi="Times New Roman" w:eastAsia="宋体" w:cs="Times New Roman"/>
                      <w:color w:val="auto"/>
                      <w:kern w:val="0"/>
                      <w:sz w:val="21"/>
                      <w:szCs w:val="21"/>
                    </w:rPr>
                  </w:pPr>
                </w:p>
              </w:tc>
              <w:tc>
                <w:tcPr>
                  <w:tcW w:w="849" w:type="pct"/>
                  <w:tcBorders>
                    <w:tl2br w:val="nil"/>
                    <w:tr2bl w:val="nil"/>
                  </w:tcBorders>
                  <w:shd w:val="clear" w:color="auto" w:fill="auto"/>
                  <w:vAlign w:val="center"/>
                </w:tcPr>
                <w:p w14:paraId="233130D8">
                  <w:pPr>
                    <w:pStyle w:val="73"/>
                    <w:spacing w:line="64"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防锈油</w:t>
                  </w:r>
                </w:p>
              </w:tc>
              <w:tc>
                <w:tcPr>
                  <w:tcW w:w="894" w:type="pct"/>
                  <w:tcBorders>
                    <w:tl2br w:val="nil"/>
                    <w:tr2bl w:val="nil"/>
                  </w:tcBorders>
                  <w:vAlign w:val="center"/>
                </w:tcPr>
                <w:p w14:paraId="5FD9B7F0">
                  <w:pPr>
                    <w:widowControl/>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溶剂油80-90%、添加剂10-20%</w:t>
                  </w:r>
                </w:p>
              </w:tc>
              <w:tc>
                <w:tcPr>
                  <w:tcW w:w="592" w:type="pct"/>
                  <w:tcBorders>
                    <w:tl2br w:val="nil"/>
                    <w:tr2bl w:val="nil"/>
                  </w:tcBorders>
                  <w:shd w:val="clear" w:color="auto" w:fill="auto"/>
                  <w:vAlign w:val="center"/>
                </w:tcPr>
                <w:p w14:paraId="080AC321">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w:t>
                  </w:r>
                </w:p>
              </w:tc>
              <w:tc>
                <w:tcPr>
                  <w:tcW w:w="475" w:type="pct"/>
                  <w:tcBorders>
                    <w:tl2br w:val="nil"/>
                    <w:tr2bl w:val="nil"/>
                  </w:tcBorders>
                  <w:shd w:val="clear" w:color="auto" w:fill="auto"/>
                  <w:vAlign w:val="center"/>
                </w:tcPr>
                <w:p w14:paraId="49E4E44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吨/年</w:t>
                  </w:r>
                </w:p>
              </w:tc>
              <w:tc>
                <w:tcPr>
                  <w:tcW w:w="677" w:type="pct"/>
                  <w:vMerge w:val="continue"/>
                  <w:tcBorders>
                    <w:tl2br w:val="nil"/>
                    <w:tr2bl w:val="nil"/>
                  </w:tcBorders>
                  <w:vAlign w:val="center"/>
                </w:tcPr>
                <w:p w14:paraId="67A1A8EA">
                  <w:pPr>
                    <w:jc w:val="center"/>
                    <w:rPr>
                      <w:rFonts w:hint="default" w:ascii="Times New Roman" w:hAnsi="Times New Roman" w:eastAsia="宋体" w:cs="Times New Roman"/>
                      <w:color w:val="auto"/>
                      <w:sz w:val="21"/>
                      <w:szCs w:val="21"/>
                    </w:rPr>
                  </w:pPr>
                </w:p>
              </w:tc>
              <w:tc>
                <w:tcPr>
                  <w:tcW w:w="677" w:type="pct"/>
                  <w:tcBorders>
                    <w:tl2br w:val="nil"/>
                    <w:tr2bl w:val="nil"/>
                  </w:tcBorders>
                  <w:vAlign w:val="center"/>
                </w:tcPr>
                <w:p w14:paraId="42D72EDB">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r>
                    <w:rPr>
                      <w:rFonts w:hint="default" w:ascii="Times New Roman" w:hAnsi="Times New Roman" w:eastAsia="宋体" w:cs="Times New Roman"/>
                      <w:color w:val="auto"/>
                      <w:sz w:val="21"/>
                      <w:szCs w:val="21"/>
                    </w:rPr>
                    <w:t>吨</w:t>
                  </w:r>
                </w:p>
              </w:tc>
            </w:tr>
            <w:tr w14:paraId="5392A9B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auto" w:fill="auto"/>
                  <w:vAlign w:val="center"/>
                </w:tcPr>
                <w:p w14:paraId="6C04EF5D">
                  <w:pPr>
                    <w:autoSpaceDE w:val="0"/>
                    <w:autoSpaceDN w:val="0"/>
                    <w:adjustRightInd w:val="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10</w:t>
                  </w:r>
                </w:p>
              </w:tc>
              <w:tc>
                <w:tcPr>
                  <w:tcW w:w="481" w:type="pct"/>
                  <w:vMerge w:val="continue"/>
                  <w:tcBorders>
                    <w:tl2br w:val="nil"/>
                    <w:tr2bl w:val="nil"/>
                  </w:tcBorders>
                  <w:vAlign w:val="center"/>
                </w:tcPr>
                <w:p w14:paraId="58E47E5D">
                  <w:pPr>
                    <w:autoSpaceDE w:val="0"/>
                    <w:autoSpaceDN w:val="0"/>
                    <w:adjustRightInd w:val="0"/>
                    <w:jc w:val="center"/>
                    <w:rPr>
                      <w:rFonts w:hint="default" w:ascii="Times New Roman" w:hAnsi="Times New Roman" w:eastAsia="宋体" w:cs="Times New Roman"/>
                      <w:color w:val="auto"/>
                      <w:kern w:val="0"/>
                      <w:sz w:val="21"/>
                      <w:szCs w:val="21"/>
                    </w:rPr>
                  </w:pPr>
                </w:p>
              </w:tc>
              <w:tc>
                <w:tcPr>
                  <w:tcW w:w="849" w:type="pct"/>
                  <w:tcBorders>
                    <w:tl2br w:val="nil"/>
                    <w:tr2bl w:val="nil"/>
                  </w:tcBorders>
                  <w:shd w:val="clear" w:color="auto" w:fill="auto"/>
                  <w:vAlign w:val="center"/>
                </w:tcPr>
                <w:p w14:paraId="1DE85F3D">
                  <w:pPr>
                    <w:pStyle w:val="73"/>
                    <w:spacing w:line="64" w:lineRule="atLeas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稀硫酸（10%、废水处理药剂）</w:t>
                  </w:r>
                </w:p>
              </w:tc>
              <w:tc>
                <w:tcPr>
                  <w:tcW w:w="894" w:type="pct"/>
                  <w:tcBorders>
                    <w:tl2br w:val="nil"/>
                    <w:tr2bl w:val="nil"/>
                  </w:tcBorders>
                  <w:vAlign w:val="center"/>
                </w:tcPr>
                <w:p w14:paraId="2A74A8BC">
                  <w:pPr>
                    <w:widowControl/>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10%浓度</w:t>
                  </w:r>
                </w:p>
              </w:tc>
              <w:tc>
                <w:tcPr>
                  <w:tcW w:w="592" w:type="pct"/>
                  <w:tcBorders>
                    <w:tl2br w:val="nil"/>
                    <w:tr2bl w:val="nil"/>
                  </w:tcBorders>
                  <w:shd w:val="clear" w:color="auto" w:fill="auto"/>
                  <w:vAlign w:val="center"/>
                </w:tcPr>
                <w:p w14:paraId="1D12B8FA">
                  <w:pPr>
                    <w:spacing w:line="320" w:lineRule="exact"/>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475" w:type="pct"/>
                  <w:tcBorders>
                    <w:tl2br w:val="nil"/>
                    <w:tr2bl w:val="nil"/>
                  </w:tcBorders>
                  <w:shd w:val="clear" w:color="auto" w:fill="auto"/>
                  <w:vAlign w:val="center"/>
                </w:tcPr>
                <w:p w14:paraId="5F316E7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吨/年</w:t>
                  </w:r>
                </w:p>
              </w:tc>
              <w:tc>
                <w:tcPr>
                  <w:tcW w:w="677" w:type="pct"/>
                  <w:vMerge w:val="continue"/>
                  <w:tcBorders>
                    <w:tl2br w:val="nil"/>
                    <w:tr2bl w:val="nil"/>
                  </w:tcBorders>
                  <w:vAlign w:val="center"/>
                </w:tcPr>
                <w:p w14:paraId="37B29433">
                  <w:pPr>
                    <w:jc w:val="center"/>
                    <w:rPr>
                      <w:rFonts w:hint="default" w:ascii="Times New Roman" w:hAnsi="Times New Roman" w:eastAsia="宋体" w:cs="Times New Roman"/>
                      <w:color w:val="auto"/>
                      <w:sz w:val="21"/>
                      <w:szCs w:val="21"/>
                    </w:rPr>
                  </w:pPr>
                </w:p>
              </w:tc>
              <w:tc>
                <w:tcPr>
                  <w:tcW w:w="677" w:type="pct"/>
                  <w:tcBorders>
                    <w:tl2br w:val="nil"/>
                    <w:tr2bl w:val="nil"/>
                  </w:tcBorders>
                  <w:vAlign w:val="center"/>
                </w:tcPr>
                <w:p w14:paraId="2EFF4A82">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r>
                    <w:rPr>
                      <w:rFonts w:hint="default" w:ascii="Times New Roman" w:hAnsi="Times New Roman" w:eastAsia="宋体" w:cs="Times New Roman"/>
                      <w:color w:val="auto"/>
                      <w:sz w:val="21"/>
                      <w:szCs w:val="21"/>
                    </w:rPr>
                    <w:t>吨</w:t>
                  </w:r>
                </w:p>
              </w:tc>
            </w:tr>
            <w:tr w14:paraId="6488CE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shd w:val="clear" w:color="auto" w:fill="auto"/>
                  <w:vAlign w:val="center"/>
                </w:tcPr>
                <w:p w14:paraId="27079E85">
                  <w:pPr>
                    <w:autoSpaceDE w:val="0"/>
                    <w:autoSpaceDN w:val="0"/>
                    <w:adjustRightInd w:val="0"/>
                    <w:jc w:val="center"/>
                    <w:rPr>
                      <w:rFonts w:hint="eastAsia"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rPr>
                    <w:t>11</w:t>
                  </w:r>
                </w:p>
              </w:tc>
              <w:tc>
                <w:tcPr>
                  <w:tcW w:w="481" w:type="pct"/>
                  <w:vMerge w:val="restart"/>
                  <w:tcBorders>
                    <w:tl2br w:val="nil"/>
                    <w:tr2bl w:val="nil"/>
                  </w:tcBorders>
                  <w:vAlign w:val="center"/>
                </w:tcPr>
                <w:p w14:paraId="6A590AB6">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能源</w:t>
                  </w:r>
                </w:p>
              </w:tc>
              <w:tc>
                <w:tcPr>
                  <w:tcW w:w="849" w:type="pct"/>
                  <w:tcBorders>
                    <w:tl2br w:val="nil"/>
                    <w:tr2bl w:val="nil"/>
                  </w:tcBorders>
                  <w:shd w:val="clear" w:color="auto" w:fill="auto"/>
                  <w:vAlign w:val="center"/>
                </w:tcPr>
                <w:p w14:paraId="74FCE35F">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电</w:t>
                  </w:r>
                </w:p>
              </w:tc>
              <w:tc>
                <w:tcPr>
                  <w:tcW w:w="894" w:type="pct"/>
                  <w:tcBorders>
                    <w:tl2br w:val="nil"/>
                    <w:tr2bl w:val="nil"/>
                  </w:tcBorders>
                  <w:vAlign w:val="center"/>
                </w:tcPr>
                <w:p w14:paraId="24ABAC00">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592" w:type="pct"/>
                  <w:tcBorders>
                    <w:tl2br w:val="nil"/>
                    <w:tr2bl w:val="nil"/>
                  </w:tcBorders>
                  <w:shd w:val="clear" w:color="auto" w:fill="auto"/>
                  <w:vAlign w:val="center"/>
                </w:tcPr>
                <w:p w14:paraId="68F23278">
                  <w:pPr>
                    <w:autoSpaceDE w:val="0"/>
                    <w:autoSpaceDN w:val="0"/>
                    <w:adjustRightInd w:val="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50</w:t>
                  </w:r>
                  <w:r>
                    <w:rPr>
                      <w:rFonts w:hint="default" w:ascii="Times New Roman" w:hAnsi="Times New Roman" w:eastAsia="宋体" w:cs="Times New Roman"/>
                      <w:color w:val="auto"/>
                      <w:kern w:val="0"/>
                      <w:sz w:val="21"/>
                      <w:szCs w:val="21"/>
                    </w:rPr>
                    <w:t>0万</w:t>
                  </w:r>
                </w:p>
              </w:tc>
              <w:tc>
                <w:tcPr>
                  <w:tcW w:w="475" w:type="pct"/>
                  <w:tcBorders>
                    <w:tl2br w:val="nil"/>
                    <w:tr2bl w:val="nil"/>
                  </w:tcBorders>
                  <w:shd w:val="clear" w:color="auto" w:fill="auto"/>
                  <w:vAlign w:val="center"/>
                </w:tcPr>
                <w:p w14:paraId="2E8727D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kwh/a</w:t>
                  </w:r>
                </w:p>
              </w:tc>
              <w:tc>
                <w:tcPr>
                  <w:tcW w:w="677" w:type="pct"/>
                  <w:tcBorders>
                    <w:tl2br w:val="nil"/>
                    <w:tr2bl w:val="nil"/>
                  </w:tcBorders>
                  <w:vAlign w:val="center"/>
                </w:tcPr>
                <w:p w14:paraId="120F714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77" w:type="pct"/>
                  <w:tcBorders>
                    <w:tl2br w:val="nil"/>
                    <w:tr2bl w:val="nil"/>
                  </w:tcBorders>
                  <w:vAlign w:val="center"/>
                </w:tcPr>
                <w:p w14:paraId="757A011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EE8021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vAlign w:val="center"/>
                </w:tcPr>
                <w:p w14:paraId="6F55F548">
                  <w:pPr>
                    <w:autoSpaceDE w:val="0"/>
                    <w:autoSpaceDN w:val="0"/>
                    <w:adjustRightIn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12</w:t>
                  </w:r>
                </w:p>
              </w:tc>
              <w:tc>
                <w:tcPr>
                  <w:tcW w:w="481" w:type="pct"/>
                  <w:vMerge w:val="continue"/>
                  <w:tcBorders>
                    <w:tl2br w:val="nil"/>
                    <w:tr2bl w:val="nil"/>
                  </w:tcBorders>
                  <w:vAlign w:val="center"/>
                </w:tcPr>
                <w:p w14:paraId="4FAFB135">
                  <w:pPr>
                    <w:autoSpaceDE w:val="0"/>
                    <w:autoSpaceDN w:val="0"/>
                    <w:adjustRightInd w:val="0"/>
                    <w:jc w:val="center"/>
                    <w:rPr>
                      <w:rFonts w:hint="default" w:ascii="Times New Roman" w:hAnsi="Times New Roman" w:eastAsia="宋体" w:cs="Times New Roman"/>
                      <w:color w:val="auto"/>
                      <w:kern w:val="0"/>
                      <w:sz w:val="21"/>
                      <w:szCs w:val="21"/>
                    </w:rPr>
                  </w:pPr>
                </w:p>
              </w:tc>
              <w:tc>
                <w:tcPr>
                  <w:tcW w:w="849" w:type="pct"/>
                  <w:tcBorders>
                    <w:tl2br w:val="nil"/>
                    <w:tr2bl w:val="nil"/>
                  </w:tcBorders>
                  <w:shd w:val="clear" w:color="auto" w:fill="auto"/>
                  <w:vAlign w:val="center"/>
                </w:tcPr>
                <w:p w14:paraId="222E2761">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w:t>
                  </w:r>
                </w:p>
              </w:tc>
              <w:tc>
                <w:tcPr>
                  <w:tcW w:w="894" w:type="pct"/>
                  <w:tcBorders>
                    <w:tl2br w:val="nil"/>
                    <w:tr2bl w:val="nil"/>
                  </w:tcBorders>
                  <w:vAlign w:val="center"/>
                </w:tcPr>
                <w:p w14:paraId="5FA98802">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O</w:t>
                  </w:r>
                </w:p>
              </w:tc>
              <w:tc>
                <w:tcPr>
                  <w:tcW w:w="592" w:type="pct"/>
                  <w:tcBorders>
                    <w:tl2br w:val="nil"/>
                    <w:tr2bl w:val="nil"/>
                  </w:tcBorders>
                  <w:shd w:val="clear" w:color="auto" w:fill="auto"/>
                  <w:vAlign w:val="center"/>
                </w:tcPr>
                <w:p w14:paraId="05D3916B">
                  <w:pPr>
                    <w:autoSpaceDE w:val="0"/>
                    <w:autoSpaceDN w:val="0"/>
                    <w:adjustRightIn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876</w:t>
                  </w:r>
                </w:p>
              </w:tc>
              <w:tc>
                <w:tcPr>
                  <w:tcW w:w="475" w:type="pct"/>
                  <w:tcBorders>
                    <w:tl2br w:val="nil"/>
                    <w:tr2bl w:val="nil"/>
                  </w:tcBorders>
                  <w:shd w:val="clear" w:color="auto" w:fill="auto"/>
                  <w:vAlign w:val="center"/>
                </w:tcPr>
                <w:p w14:paraId="207E5D6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kern w:val="0"/>
                      <w:sz w:val="21"/>
                      <w:szCs w:val="21"/>
                    </w:rPr>
                    <w:t>t/a</w:t>
                  </w:r>
                </w:p>
              </w:tc>
              <w:tc>
                <w:tcPr>
                  <w:tcW w:w="677" w:type="pct"/>
                  <w:tcBorders>
                    <w:tl2br w:val="nil"/>
                    <w:tr2bl w:val="nil"/>
                  </w:tcBorders>
                  <w:vAlign w:val="center"/>
                </w:tcPr>
                <w:p w14:paraId="2AD3419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77" w:type="pct"/>
                  <w:tcBorders>
                    <w:tl2br w:val="nil"/>
                    <w:tr2bl w:val="nil"/>
                  </w:tcBorders>
                  <w:vAlign w:val="center"/>
                </w:tcPr>
                <w:p w14:paraId="058734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14:paraId="229AEC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jc w:val="center"/>
              </w:trPr>
              <w:tc>
                <w:tcPr>
                  <w:tcW w:w="350" w:type="pct"/>
                  <w:tcBorders>
                    <w:tl2br w:val="nil"/>
                    <w:tr2bl w:val="nil"/>
                  </w:tcBorders>
                  <w:vAlign w:val="center"/>
                </w:tcPr>
                <w:p w14:paraId="1B2B518D">
                  <w:pPr>
                    <w:autoSpaceDE w:val="0"/>
                    <w:autoSpaceDN w:val="0"/>
                    <w:adjustRightIn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13</w:t>
                  </w:r>
                </w:p>
              </w:tc>
              <w:tc>
                <w:tcPr>
                  <w:tcW w:w="481" w:type="pct"/>
                  <w:vMerge w:val="continue"/>
                  <w:tcBorders>
                    <w:tl2br w:val="nil"/>
                    <w:tr2bl w:val="nil"/>
                  </w:tcBorders>
                  <w:vAlign w:val="center"/>
                </w:tcPr>
                <w:p w14:paraId="4CCDDF9C">
                  <w:pPr>
                    <w:autoSpaceDE w:val="0"/>
                    <w:autoSpaceDN w:val="0"/>
                    <w:adjustRightInd w:val="0"/>
                    <w:jc w:val="center"/>
                    <w:rPr>
                      <w:rFonts w:hint="default" w:ascii="Times New Roman" w:hAnsi="Times New Roman" w:eastAsia="宋体" w:cs="Times New Roman"/>
                      <w:color w:val="auto"/>
                      <w:kern w:val="0"/>
                      <w:sz w:val="21"/>
                      <w:szCs w:val="21"/>
                    </w:rPr>
                  </w:pPr>
                </w:p>
              </w:tc>
              <w:tc>
                <w:tcPr>
                  <w:tcW w:w="849" w:type="pct"/>
                  <w:tcBorders>
                    <w:tl2br w:val="nil"/>
                    <w:tr2bl w:val="nil"/>
                  </w:tcBorders>
                  <w:shd w:val="clear" w:color="auto" w:fill="auto"/>
                  <w:vAlign w:val="center"/>
                </w:tcPr>
                <w:p w14:paraId="09797F04">
                  <w:pPr>
                    <w:autoSpaceDE w:val="0"/>
                    <w:autoSpaceDN w:val="0"/>
                    <w:adjustRightInd w:val="0"/>
                    <w:jc w:val="center"/>
                    <w:rPr>
                      <w:rFonts w:hint="eastAsia"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纯水</w:t>
                  </w:r>
                </w:p>
              </w:tc>
              <w:tc>
                <w:tcPr>
                  <w:tcW w:w="894" w:type="pct"/>
                  <w:tcBorders>
                    <w:tl2br w:val="nil"/>
                    <w:tr2bl w:val="nil"/>
                  </w:tcBorders>
                  <w:vAlign w:val="center"/>
                </w:tcPr>
                <w:p w14:paraId="76463FAA">
                  <w:pPr>
                    <w:autoSpaceDE w:val="0"/>
                    <w:autoSpaceDN w:val="0"/>
                    <w:adjustRightIn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H</w:t>
                  </w:r>
                  <w:r>
                    <w:rPr>
                      <w:rFonts w:hint="default" w:ascii="Times New Roman" w:hAnsi="Times New Roman" w:eastAsia="宋体" w:cs="Times New Roman"/>
                      <w:color w:val="auto"/>
                      <w:kern w:val="0"/>
                      <w:sz w:val="21"/>
                      <w:szCs w:val="21"/>
                      <w:vertAlign w:val="subscript"/>
                    </w:rPr>
                    <w:t>2</w:t>
                  </w:r>
                  <w:r>
                    <w:rPr>
                      <w:rFonts w:hint="default" w:ascii="Times New Roman" w:hAnsi="Times New Roman" w:eastAsia="宋体" w:cs="Times New Roman"/>
                      <w:color w:val="auto"/>
                      <w:kern w:val="0"/>
                      <w:sz w:val="21"/>
                      <w:szCs w:val="21"/>
                    </w:rPr>
                    <w:t>O</w:t>
                  </w:r>
                </w:p>
              </w:tc>
              <w:tc>
                <w:tcPr>
                  <w:tcW w:w="592" w:type="pct"/>
                  <w:tcBorders>
                    <w:tl2br w:val="nil"/>
                    <w:tr2bl w:val="nil"/>
                  </w:tcBorders>
                  <w:shd w:val="clear" w:color="auto" w:fill="auto"/>
                  <w:vAlign w:val="center"/>
                </w:tcPr>
                <w:p w14:paraId="141624D3">
                  <w:pPr>
                    <w:autoSpaceDE w:val="0"/>
                    <w:autoSpaceDN w:val="0"/>
                    <w:adjustRightIn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48</w:t>
                  </w:r>
                </w:p>
              </w:tc>
              <w:tc>
                <w:tcPr>
                  <w:tcW w:w="475" w:type="pct"/>
                  <w:tcBorders>
                    <w:tl2br w:val="nil"/>
                    <w:tr2bl w:val="nil"/>
                  </w:tcBorders>
                  <w:shd w:val="clear" w:color="auto" w:fill="auto"/>
                  <w:vAlign w:val="center"/>
                </w:tcPr>
                <w:p w14:paraId="6DD2DC8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t/a</w:t>
                  </w:r>
                </w:p>
              </w:tc>
              <w:tc>
                <w:tcPr>
                  <w:tcW w:w="677" w:type="pct"/>
                  <w:tcBorders>
                    <w:tl2br w:val="nil"/>
                    <w:tr2bl w:val="nil"/>
                  </w:tcBorders>
                  <w:shd w:val="clear" w:color="auto" w:fill="auto"/>
                  <w:vAlign w:val="center"/>
                </w:tcPr>
                <w:p w14:paraId="66DA3B2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677" w:type="pct"/>
                  <w:tcBorders>
                    <w:tl2br w:val="nil"/>
                    <w:tr2bl w:val="nil"/>
                  </w:tcBorders>
                  <w:shd w:val="clear" w:color="auto" w:fill="auto"/>
                  <w:vAlign w:val="center"/>
                </w:tcPr>
                <w:p w14:paraId="64C4649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r>
          </w:tbl>
          <w:p w14:paraId="4CE38D0F">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注：碳氢清洗剂仅对电工纯铁件（产品主要为：衔铁、壳体和缸体）进行清洗，清洗后直接进真空气淬炉加工。其他产品不需要清洗。</w:t>
            </w:r>
          </w:p>
          <w:p w14:paraId="49E81A6E">
            <w:pPr>
              <w:spacing w:before="156" w:beforeLines="50"/>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 xml:space="preserve">  主要原辅料理化性质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3"/>
              <w:gridCol w:w="3693"/>
              <w:gridCol w:w="2148"/>
              <w:gridCol w:w="1611"/>
            </w:tblGrid>
            <w:tr w14:paraId="7A90DB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tl2br w:val="nil"/>
                    <w:tr2bl w:val="nil"/>
                  </w:tcBorders>
                  <w:noWrap w:val="0"/>
                  <w:vAlign w:val="center"/>
                </w:tcPr>
                <w:p w14:paraId="6A3A52BB">
                  <w:pPr>
                    <w:adjustRightIn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220" w:type="pct"/>
                  <w:tcBorders>
                    <w:tl2br w:val="nil"/>
                    <w:tr2bl w:val="nil"/>
                  </w:tcBorders>
                  <w:noWrap w:val="0"/>
                  <w:vAlign w:val="center"/>
                </w:tcPr>
                <w:p w14:paraId="57058B6E">
                  <w:pPr>
                    <w:adjustRightIn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理化性质</w:t>
                  </w:r>
                </w:p>
              </w:tc>
              <w:tc>
                <w:tcPr>
                  <w:tcW w:w="1291" w:type="pct"/>
                  <w:tcBorders>
                    <w:tl2br w:val="nil"/>
                    <w:tr2bl w:val="nil"/>
                  </w:tcBorders>
                  <w:noWrap w:val="0"/>
                  <w:vAlign w:val="center"/>
                </w:tcPr>
                <w:p w14:paraId="3B782EDB">
                  <w:pPr>
                    <w:tabs>
                      <w:tab w:val="left" w:pos="1059"/>
                    </w:tabs>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Cs w:val="21"/>
                    </w:rPr>
                    <w:t>燃烧爆炸性</w:t>
                  </w:r>
                </w:p>
              </w:tc>
              <w:tc>
                <w:tcPr>
                  <w:tcW w:w="968" w:type="pct"/>
                  <w:tcBorders>
                    <w:tl2br w:val="nil"/>
                    <w:tr2bl w:val="nil"/>
                  </w:tcBorders>
                  <w:noWrap w:val="0"/>
                  <w:vAlign w:val="center"/>
                </w:tcPr>
                <w:p w14:paraId="1FEA18A8">
                  <w:pPr>
                    <w:tabs>
                      <w:tab w:val="left" w:pos="1059"/>
                    </w:tabs>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color w:val="auto"/>
                      <w:szCs w:val="21"/>
                    </w:rPr>
                    <w:t>毒理性质</w:t>
                  </w:r>
                </w:p>
              </w:tc>
            </w:tr>
            <w:tr w14:paraId="472F3D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tl2br w:val="nil"/>
                    <w:tr2bl w:val="nil"/>
                  </w:tcBorders>
                  <w:noWrap w:val="0"/>
                  <w:vAlign w:val="center"/>
                </w:tcPr>
                <w:p w14:paraId="77343E94">
                  <w:pPr>
                    <w:pStyle w:val="53"/>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zh-TW" w:eastAsia="zh-CN"/>
                    </w:rPr>
                    <w:t>淬火油</w:t>
                  </w:r>
                </w:p>
              </w:tc>
              <w:tc>
                <w:tcPr>
                  <w:tcW w:w="2220" w:type="pct"/>
                  <w:tcBorders>
                    <w:tl2br w:val="nil"/>
                    <w:tr2bl w:val="nil"/>
                  </w:tcBorders>
                  <w:noWrap w:val="0"/>
                  <w:vAlign w:val="center"/>
                </w:tcPr>
                <w:p w14:paraId="5971B07D">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棕红色微透明油状液体；相对密度（20℃）0.85g/cm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；闪点（开口）不低于180℃</w:t>
                  </w:r>
                </w:p>
              </w:tc>
              <w:tc>
                <w:tcPr>
                  <w:tcW w:w="1291" w:type="pct"/>
                  <w:tcBorders>
                    <w:tl2br w:val="nil"/>
                    <w:tr2bl w:val="nil"/>
                  </w:tcBorders>
                  <w:noWrap w:val="0"/>
                  <w:vAlign w:val="center"/>
                </w:tcPr>
                <w:p w14:paraId="6623BD0C">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遇高温、明火等可能会起火燃烧</w:t>
                  </w:r>
                </w:p>
              </w:tc>
              <w:tc>
                <w:tcPr>
                  <w:tcW w:w="968" w:type="pct"/>
                  <w:tcBorders>
                    <w:tl2br w:val="nil"/>
                    <w:tr2bl w:val="nil"/>
                  </w:tcBorders>
                  <w:noWrap w:val="0"/>
                  <w:vAlign w:val="center"/>
                </w:tcPr>
                <w:p w14:paraId="30CAFCB2">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有害燃烧产物为浓烟、碳的氧化物，未完全燃烧产物、有害气体</w:t>
                  </w:r>
                </w:p>
              </w:tc>
            </w:tr>
            <w:tr w14:paraId="2F108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tl2br w:val="nil"/>
                    <w:tr2bl w:val="nil"/>
                  </w:tcBorders>
                  <w:noWrap w:val="0"/>
                  <w:vAlign w:val="center"/>
                </w:tcPr>
                <w:p w14:paraId="09613700">
                  <w:pPr>
                    <w:pStyle w:val="53"/>
                    <w:rPr>
                      <w:rFonts w:hint="default" w:ascii="Times New Roman" w:hAnsi="Times New Roman" w:eastAsia="宋体" w:cs="Times New Roman"/>
                      <w:color w:val="auto"/>
                      <w:sz w:val="21"/>
                      <w:szCs w:val="21"/>
                      <w:lang w:val="zh-TW" w:eastAsia="zh-TW"/>
                    </w:rPr>
                  </w:pPr>
                  <w:r>
                    <w:rPr>
                      <w:rFonts w:hint="default" w:ascii="Times New Roman" w:hAnsi="Times New Roman" w:eastAsia="宋体" w:cs="Times New Roman"/>
                      <w:color w:val="auto"/>
                      <w:kern w:val="0"/>
                      <w:sz w:val="21"/>
                      <w:szCs w:val="21"/>
                      <w:lang w:bidi="ar"/>
                    </w:rPr>
                    <w:t>液氮</w:t>
                  </w:r>
                </w:p>
              </w:tc>
              <w:tc>
                <w:tcPr>
                  <w:tcW w:w="2220" w:type="pct"/>
                  <w:tcBorders>
                    <w:tl2br w:val="nil"/>
                    <w:tr2bl w:val="nil"/>
                  </w:tcBorders>
                  <w:noWrap w:val="0"/>
                  <w:vAlign w:val="center"/>
                </w:tcPr>
                <w:p w14:paraId="2D3EA1CF">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是指惰性、无色、无嗅、无腐蚀性、不可燃的氮气在温度极低的环境下而得到的液体。液氮是惰性，无色，无味，低粘度，无腐蚀性，不可燃，温度极低的透明液体，</w:t>
                  </w:r>
                  <w:r>
                    <w:rPr>
                      <w:rFonts w:hint="eastAsia" w:ascii="Times New Roman" w:hAnsi="Times New Roman" w:eastAsia="宋体" w:cs="Times New Roman"/>
                      <w:color w:val="auto"/>
                      <w:sz w:val="21"/>
                      <w:szCs w:val="21"/>
                      <w:lang w:val="en-US" w:eastAsia="zh-CN"/>
                    </w:rPr>
                    <w:t>气化</w:t>
                  </w:r>
                  <w:r>
                    <w:rPr>
                      <w:rFonts w:hint="default" w:ascii="Times New Roman" w:hAnsi="Times New Roman" w:eastAsia="宋体" w:cs="Times New Roman"/>
                      <w:color w:val="auto"/>
                      <w:sz w:val="21"/>
                      <w:szCs w:val="21"/>
                    </w:rPr>
                    <w:t>时大量吸热接触造成冻伤。</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"https://baike.baidu.com/item/%E6%B0%AE%E6%B0%94/166548?fromModule=lemma_inlink" \t "https://baike.baidu.com/item/%E6%B6%B2%E6%B0%AE/_blank"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氮气</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构成了大气的大部分（体积比78.03 %，重量比75.5 %）。在常压下，氮的沸点为-196.56 ℃，1立方米的液氮可以膨胀至696立方米的纯气态氮（21℃）。如果加压，可以在更高的温度下得到液氮。人体若在无保护措施的情况下接触液氮，皮肤可能会被严重冻伤。如在常压下</w:t>
                  </w:r>
                  <w:r>
                    <w:rPr>
                      <w:rFonts w:hint="eastAsia" w:ascii="Times New Roman" w:hAnsi="Times New Roman" w:eastAsia="宋体" w:cs="Times New Roman"/>
                      <w:color w:val="auto"/>
                      <w:sz w:val="21"/>
                      <w:szCs w:val="21"/>
                      <w:lang w:val="en-US" w:eastAsia="zh-CN"/>
                    </w:rPr>
                    <w:t>气化</w:t>
                  </w:r>
                  <w:r>
                    <w:rPr>
                      <w:rFonts w:hint="default" w:ascii="Times New Roman" w:hAnsi="Times New Roman" w:eastAsia="宋体" w:cs="Times New Roman"/>
                      <w:color w:val="auto"/>
                      <w:sz w:val="21"/>
                      <w:szCs w:val="21"/>
                    </w:rPr>
                    <w:t>产生的氮气过量，可能会使空气中氧分压下降，引起缺氧窒息。</w:t>
                  </w:r>
                </w:p>
              </w:tc>
              <w:tc>
                <w:tcPr>
                  <w:tcW w:w="1291" w:type="pct"/>
                  <w:tcBorders>
                    <w:tl2br w:val="nil"/>
                    <w:tr2bl w:val="nil"/>
                  </w:tcBorders>
                  <w:noWrap w:val="0"/>
                  <w:vAlign w:val="center"/>
                </w:tcPr>
                <w:p w14:paraId="417AD078">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不燃</w:t>
                  </w:r>
                </w:p>
              </w:tc>
              <w:tc>
                <w:tcPr>
                  <w:tcW w:w="968" w:type="pct"/>
                  <w:tcBorders>
                    <w:tl2br w:val="nil"/>
                    <w:tr2bl w:val="nil"/>
                  </w:tcBorders>
                  <w:noWrap w:val="0"/>
                  <w:vAlign w:val="center"/>
                </w:tcPr>
                <w:p w14:paraId="1DB0D6F4">
                  <w:pPr>
                    <w:pStyle w:val="53"/>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1D911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tl2br w:val="nil"/>
                    <w:tr2bl w:val="nil"/>
                  </w:tcBorders>
                  <w:noWrap w:val="0"/>
                  <w:vAlign w:val="center"/>
                </w:tcPr>
                <w:p w14:paraId="74F1CEBC">
                  <w:pPr>
                    <w:pStyle w:val="53"/>
                    <w:rPr>
                      <w:rFonts w:hint="default" w:ascii="Times New Roman" w:hAnsi="Times New Roman" w:eastAsia="宋体" w:cs="Times New Roman"/>
                      <w:color w:val="auto"/>
                      <w:sz w:val="21"/>
                      <w:szCs w:val="21"/>
                      <w:lang w:val="zh-TW"/>
                    </w:rPr>
                  </w:pPr>
                  <w:r>
                    <w:rPr>
                      <w:rFonts w:hint="default" w:ascii="Times New Roman" w:hAnsi="Times New Roman" w:eastAsia="宋体" w:cs="Times New Roman"/>
                      <w:color w:val="auto"/>
                      <w:kern w:val="0"/>
                      <w:sz w:val="21"/>
                      <w:szCs w:val="21"/>
                      <w:lang w:bidi="ar"/>
                    </w:rPr>
                    <w:t>液氩</w:t>
                  </w:r>
                </w:p>
              </w:tc>
              <w:tc>
                <w:tcPr>
                  <w:tcW w:w="2220" w:type="pct"/>
                  <w:tcBorders>
                    <w:tl2br w:val="nil"/>
                    <w:tr2bl w:val="nil"/>
                  </w:tcBorders>
                  <w:noWrap w:val="0"/>
                  <w:vAlign w:val="center"/>
                </w:tcPr>
                <w:p w14:paraId="72B06EF9">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液态的氩，为一种化学品，微溶于水，化学式为Ar。</w:t>
                  </w:r>
                  <w:r>
                    <w:rPr>
                      <w:rFonts w:hint="default" w:ascii="Times New Roman" w:hAnsi="Times New Roman" w:eastAsia="宋体" w:cs="Times New Roman"/>
                      <w:color w:val="auto"/>
                      <w:sz w:val="21"/>
                      <w:szCs w:val="21"/>
                      <w:lang w:val="en-US" w:eastAsia="zh-CN"/>
                    </w:rPr>
                    <w:t>熔点：-189.2℃</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沸点：-185.9℃</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密度：1.784kg/m</w:t>
                  </w:r>
                  <w:r>
                    <w:rPr>
                      <w:rFonts w:hint="default"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1394kg/m³（饱和液氩，1atm）</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外观：无色无臭气体</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HYPERLINK "https://baike.baidu.com/item/%E6%BA%B6%E8%A7%A3%E6%80%A7/1134279?fromModule=lemma_inlink" \t "https://baike.baidu.com/item/_blank"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eastAsia="宋体" w:cs="Times New Roman"/>
                      <w:color w:val="auto"/>
                      <w:sz w:val="21"/>
                      <w:szCs w:val="21"/>
                    </w:rPr>
                    <w:t>溶解性</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eastAsia="宋体" w:cs="Times New Roman"/>
                      <w:color w:val="auto"/>
                      <w:sz w:val="21"/>
                      <w:szCs w:val="21"/>
                      <w:lang w:val="en-US" w:eastAsia="zh-CN"/>
                    </w:rPr>
                    <w:t>：微溶于水</w:t>
                  </w:r>
                  <w:r>
                    <w:rPr>
                      <w:rFonts w:hint="eastAsia" w:ascii="Times New Roman" w:hAnsi="Times New Roman" w:eastAsia="宋体" w:cs="Times New Roman"/>
                      <w:color w:val="auto"/>
                      <w:sz w:val="21"/>
                      <w:szCs w:val="21"/>
                      <w:lang w:val="en-US" w:eastAsia="zh-CN"/>
                    </w:rPr>
                    <w:t>。</w:t>
                  </w:r>
                </w:p>
              </w:tc>
              <w:tc>
                <w:tcPr>
                  <w:tcW w:w="1291" w:type="pct"/>
                  <w:tcBorders>
                    <w:tl2br w:val="nil"/>
                    <w:tr2bl w:val="nil"/>
                  </w:tcBorders>
                  <w:noWrap w:val="0"/>
                  <w:vAlign w:val="center"/>
                </w:tcPr>
                <w:p w14:paraId="0303CEF0">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氩本身不燃烧，但盛装氩气容器与设备遇明火高温可使器</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"https://baike.baidu.com/item/%E5%86%85%E5%8E%8B%E5%8A%9B/53323460?fromModule=lemma_inlink" \t "https://baike.baidu.com/item/_blank"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内压力</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急剧升高直至爆炸，应用水冷却火中容器。</w:t>
                  </w:r>
                </w:p>
              </w:tc>
              <w:tc>
                <w:tcPr>
                  <w:tcW w:w="968" w:type="pct"/>
                  <w:tcBorders>
                    <w:tl2br w:val="nil"/>
                    <w:tr2bl w:val="nil"/>
                  </w:tcBorders>
                  <w:noWrap w:val="0"/>
                  <w:vAlign w:val="center"/>
                </w:tcPr>
                <w:p w14:paraId="6B84AD80">
                  <w:pPr>
                    <w:pStyle w:val="53"/>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4B3A2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tl2br w:val="nil"/>
                    <w:tr2bl w:val="nil"/>
                  </w:tcBorders>
                  <w:noWrap w:val="0"/>
                  <w:vAlign w:val="center"/>
                </w:tcPr>
                <w:p w14:paraId="3F0543ED">
                  <w:pPr>
                    <w:pStyle w:val="53"/>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rPr>
                    <w:t>碳酸钠</w:t>
                  </w:r>
                </w:p>
              </w:tc>
              <w:tc>
                <w:tcPr>
                  <w:tcW w:w="2220" w:type="pct"/>
                  <w:tcBorders>
                    <w:tl2br w:val="nil"/>
                    <w:tr2bl w:val="nil"/>
                  </w:tcBorders>
                  <w:noWrap w:val="0"/>
                  <w:vAlign w:val="center"/>
                </w:tcPr>
                <w:p w14:paraId="606F0437">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化学式为Na</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，俗名苏打、纯碱、碱灰、碳酸二钠盐、苏打灰，通常情况下为白色粉末，为强电解质，密度为2.532g/cm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，熔点为851°C，易溶于水和甘油，微溶于无水乙醇，难溶于丙醇，具有盐的通性，属于无机盐。</w:t>
                  </w:r>
                </w:p>
              </w:tc>
              <w:tc>
                <w:tcPr>
                  <w:tcW w:w="1291" w:type="pct"/>
                  <w:tcBorders>
                    <w:tl2br w:val="nil"/>
                    <w:tr2bl w:val="nil"/>
                  </w:tcBorders>
                  <w:noWrap w:val="0"/>
                  <w:vAlign w:val="center"/>
                </w:tcPr>
                <w:p w14:paraId="7DC0702B">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不可燃</w:t>
                  </w:r>
                </w:p>
              </w:tc>
              <w:tc>
                <w:tcPr>
                  <w:tcW w:w="968" w:type="pct"/>
                  <w:tcBorders>
                    <w:tl2br w:val="nil"/>
                    <w:tr2bl w:val="nil"/>
                  </w:tcBorders>
                  <w:noWrap w:val="0"/>
                  <w:vAlign w:val="center"/>
                </w:tcPr>
                <w:p w14:paraId="1D3BB2B2">
                  <w:pPr>
                    <w:pStyle w:val="53"/>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碳酸钠水解后形成的氢氧化钠具有较强的刺激性和腐蚀性，过量吸入可能会对呼吸道、食管等造成损伤。</w:t>
                  </w:r>
                </w:p>
              </w:tc>
            </w:tr>
            <w:tr w14:paraId="3978CB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tl2br w:val="nil"/>
                    <w:tr2bl w:val="nil"/>
                  </w:tcBorders>
                  <w:noWrap w:val="0"/>
                  <w:vAlign w:val="center"/>
                </w:tcPr>
                <w:p w14:paraId="15DF0779">
                  <w:pPr>
                    <w:pStyle w:val="53"/>
                    <w:rPr>
                      <w:rFonts w:hint="default" w:ascii="Times New Roman" w:hAnsi="Times New Roman" w:eastAsia="宋体" w:cs="Times New Roman"/>
                      <w:color w:val="auto"/>
                      <w:kern w:val="0"/>
                      <w:sz w:val="21"/>
                      <w:szCs w:val="21"/>
                      <w:lang w:bidi="ar"/>
                    </w:rPr>
                  </w:pPr>
                  <w:r>
                    <w:rPr>
                      <w:rFonts w:hint="eastAsia" w:ascii="Times New Roman" w:hAnsi="Times New Roman" w:eastAsia="宋体" w:cs="Times New Roman"/>
                      <w:color w:val="auto"/>
                      <w:kern w:val="0"/>
                      <w:sz w:val="21"/>
                      <w:szCs w:val="21"/>
                      <w:lang w:val="en-US" w:eastAsia="zh-CN"/>
                    </w:rPr>
                    <w:t>碳酸钾</w:t>
                  </w:r>
                </w:p>
              </w:tc>
              <w:tc>
                <w:tcPr>
                  <w:tcW w:w="2220" w:type="pct"/>
                  <w:tcBorders>
                    <w:tl2br w:val="nil"/>
                    <w:tr2bl w:val="nil"/>
                  </w:tcBorders>
                  <w:noWrap w:val="0"/>
                  <w:vAlign w:val="center"/>
                </w:tcPr>
                <w:p w14:paraId="3ABBAFBB">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碳酸钾是一种无机物，化学式为K</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，分子量为138.206，呈白色结晶粉末，密度2.428g/cm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，熔点891℃。易溶于水，水溶液呈</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"https://baike.baidu.com/item/%E7%A2%B1%E6%80%A7/1246225?fromModule=lemma_inlink" \t "https://baike.baidu.com/item/_blank"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碱性</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，不溶于</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"https://baike.baidu.com/item/%E4%B9%99%E9%86%87/135334?fromModule=lemma_inlink" \t "https://baike.baidu.com/item/_blank"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乙醇</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"https://baike.baidu.com/item/%E4%B8%99%E9%85%AE/955883?fromModule=lemma_inlink" \t "https://baike.baidu.com/item/_blank"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丙酮</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和</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"https://baike.baidu.com/item/%E4%B9%99%E9%86%9A/316922?fromModule=lemma_inlink" \t "https://baike.baidu.com/item/_blank"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乙醚</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"https://baike.baidu.com/item/%E5%90%B8%E6%B9%BF%E6%80%A7/10930709?fromModule=lemma_inlink" \t "https://baike.baidu.com/item/_blank"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吸湿性</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强，暴露在空气中能吸收</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"https://baike.baidu.com/item/%E4%BA%8C%E6%B0%A7%E5%8C%96%E7%A2%B3/349143?fromModule=lemma_inlink" \t "https://baike.baidu.com/item/_blank"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二氧化碳</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和水分，转变为</w:t>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HYPERLINK "https://baike.baidu.com/item/%E7%A2%B3%E9%85%B8%E6%B0%A2%E9%92%BE/382791?fromModule=lemma_inlink" \t "https://baike.baidu.com/item/_blank"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t>碳酸氢钾</w:t>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t>，应密封包装。</w:t>
                  </w:r>
                </w:p>
              </w:tc>
              <w:tc>
                <w:tcPr>
                  <w:tcW w:w="1291" w:type="pct"/>
                  <w:tcBorders>
                    <w:tl2br w:val="nil"/>
                    <w:tr2bl w:val="nil"/>
                  </w:tcBorders>
                  <w:noWrap w:val="0"/>
                  <w:vAlign w:val="center"/>
                </w:tcPr>
                <w:p w14:paraId="0D9BDDA5">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不可燃</w:t>
                  </w:r>
                </w:p>
              </w:tc>
              <w:tc>
                <w:tcPr>
                  <w:tcW w:w="968" w:type="pct"/>
                  <w:tcBorders>
                    <w:tl2br w:val="nil"/>
                    <w:tr2bl w:val="nil"/>
                  </w:tcBorders>
                  <w:noWrap w:val="0"/>
                  <w:vAlign w:val="center"/>
                </w:tcPr>
                <w:p w14:paraId="4FDCA4A5">
                  <w:pPr>
                    <w:pStyle w:val="53"/>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14:paraId="20CCC0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tl2br w:val="nil"/>
                    <w:tr2bl w:val="nil"/>
                  </w:tcBorders>
                  <w:noWrap w:val="0"/>
                  <w:vAlign w:val="center"/>
                </w:tcPr>
                <w:p w14:paraId="4D944D8F">
                  <w:pPr>
                    <w:pStyle w:val="53"/>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尿素</w:t>
                  </w:r>
                </w:p>
              </w:tc>
              <w:tc>
                <w:tcPr>
                  <w:tcW w:w="2220" w:type="pct"/>
                  <w:tcBorders>
                    <w:tl2br w:val="nil"/>
                    <w:tr2bl w:val="nil"/>
                  </w:tcBorders>
                  <w:noWrap w:val="0"/>
                  <w:vAlign w:val="center"/>
                </w:tcPr>
                <w:p w14:paraId="1AE97AF0">
                  <w:pPr>
                    <w:pStyle w:val="5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尿素（Urea），又称脲、碳酰胺，化学式是CH4N2O或CO(NH</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vertAlign w:val="subscript"/>
                    </w:rPr>
                    <w:t>2</w:t>
                  </w:r>
                  <w:r>
                    <w:rPr>
                      <w:rFonts w:hint="default" w:ascii="Times New Roman" w:hAnsi="Times New Roman" w:eastAsia="宋体" w:cs="Times New Roman"/>
                      <w:color w:val="auto"/>
                      <w:sz w:val="21"/>
                      <w:szCs w:val="21"/>
                    </w:rPr>
                    <w:t>，是一种白色晶体，无味无臭</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易溶于水，在20℃时100毫升水中可溶解108克，水溶液呈中性。易溶于水、乙醇和苯，微溶于乙醚、氯仿。熔点（通则0612）为132~135℃</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密度：1.335 g/cm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c>
                <w:tcPr>
                  <w:tcW w:w="1291" w:type="pct"/>
                  <w:tcBorders>
                    <w:tl2br w:val="nil"/>
                    <w:tr2bl w:val="nil"/>
                  </w:tcBorders>
                  <w:noWrap w:val="0"/>
                  <w:vAlign w:val="center"/>
                </w:tcPr>
                <w:p w14:paraId="4559AF63">
                  <w:pPr>
                    <w:pStyle w:val="53"/>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不易燃</w:t>
                  </w:r>
                </w:p>
              </w:tc>
              <w:tc>
                <w:tcPr>
                  <w:tcW w:w="968" w:type="pct"/>
                  <w:tcBorders>
                    <w:tl2br w:val="nil"/>
                    <w:tr2bl w:val="nil"/>
                  </w:tcBorders>
                  <w:noWrap w:val="0"/>
                  <w:vAlign w:val="center"/>
                </w:tcPr>
                <w:p w14:paraId="00B860DE">
                  <w:pPr>
                    <w:pStyle w:val="53"/>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无毒</w:t>
                  </w:r>
                </w:p>
              </w:tc>
            </w:tr>
            <w:tr w14:paraId="5F3444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9" w:type="pct"/>
                  <w:tcBorders>
                    <w:tl2br w:val="nil"/>
                    <w:tr2bl w:val="nil"/>
                  </w:tcBorders>
                  <w:shd w:val="clear" w:color="auto" w:fill="auto"/>
                  <w:noWrap w:val="0"/>
                  <w:vAlign w:val="center"/>
                </w:tcPr>
                <w:p w14:paraId="727E6092">
                  <w:pPr>
                    <w:pStyle w:val="53"/>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sz w:val="21"/>
                      <w:szCs w:val="21"/>
                      <w:lang w:val="en-US" w:eastAsia="zh-CN"/>
                    </w:rPr>
                    <w:t>碳氢清洗剂</w:t>
                  </w:r>
                </w:p>
              </w:tc>
              <w:tc>
                <w:tcPr>
                  <w:tcW w:w="2220" w:type="pct"/>
                  <w:tcBorders>
                    <w:tl2br w:val="nil"/>
                    <w:tr2bl w:val="nil"/>
                  </w:tcBorders>
                  <w:shd w:val="clear" w:color="auto" w:fill="auto"/>
                  <w:noWrap w:val="0"/>
                  <w:vAlign w:val="center"/>
                </w:tcPr>
                <w:p w14:paraId="33A6462A">
                  <w:pPr>
                    <w:pStyle w:val="53"/>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无色透明液体，易溶醇、醚等有机溶剂，不溶于水；闪点（闭口）：61℃，沸点/范围：180~215℃，密度：0.7~0.8g/cm³@20℃，自燃温度：＞200℃。</w:t>
                  </w:r>
                </w:p>
              </w:tc>
              <w:tc>
                <w:tcPr>
                  <w:tcW w:w="1291" w:type="pct"/>
                  <w:tcBorders>
                    <w:tl2br w:val="nil"/>
                    <w:tr2bl w:val="nil"/>
                  </w:tcBorders>
                  <w:shd w:val="clear" w:color="auto" w:fill="auto"/>
                  <w:noWrap w:val="0"/>
                  <w:vAlign w:val="center"/>
                </w:tcPr>
                <w:p w14:paraId="17DF8538">
                  <w:pPr>
                    <w:pStyle w:val="53"/>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可燃</w:t>
                  </w:r>
                </w:p>
              </w:tc>
              <w:tc>
                <w:tcPr>
                  <w:tcW w:w="968" w:type="pct"/>
                  <w:tcBorders>
                    <w:tl2br w:val="nil"/>
                    <w:tr2bl w:val="nil"/>
                  </w:tcBorders>
                  <w:shd w:val="clear" w:color="auto" w:fill="auto"/>
                  <w:noWrap w:val="0"/>
                  <w:vAlign w:val="center"/>
                </w:tcPr>
                <w:p w14:paraId="6CAE580E">
                  <w:pPr>
                    <w:pStyle w:val="53"/>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急性毒性：LD50＞2000mg/kg</w:t>
                  </w:r>
                </w:p>
              </w:tc>
            </w:tr>
          </w:tbl>
          <w:p w14:paraId="7520A787">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（2）清洗剂VOCs含量相符性分析</w:t>
            </w:r>
          </w:p>
          <w:p w14:paraId="565259E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color w:val="auto"/>
                <w:sz w:val="24"/>
                <w:szCs w:val="24"/>
                <w:lang w:val="en-US" w:eastAsia="zh-CN"/>
              </w:rPr>
              <w:t>根据</w:t>
            </w:r>
            <w:r>
              <w:rPr>
                <w:rFonts w:hint="eastAsia" w:ascii="Times New Roman" w:hAnsi="Times New Roman" w:eastAsia="宋体" w:cs="Times New Roman"/>
                <w:color w:val="auto"/>
                <w:sz w:val="24"/>
                <w:szCs w:val="24"/>
                <w:lang w:val="en-US" w:eastAsia="zh-CN"/>
              </w:rPr>
              <w:t>建设单位提供碳氢清洗剂VOC检测报告</w:t>
            </w:r>
            <w:r>
              <w:rPr>
                <w:rFonts w:hint="default" w:ascii="Times New Roman" w:hAnsi="Times New Roman" w:eastAsia="宋体" w:cs="Times New Roman"/>
                <w:color w:val="auto"/>
                <w:sz w:val="24"/>
                <w:szCs w:val="24"/>
                <w:lang w:val="en-US" w:eastAsia="zh-CN"/>
              </w:rPr>
              <w:t>，本项目所使用</w:t>
            </w:r>
            <w:r>
              <w:rPr>
                <w:rFonts w:hint="eastAsia" w:ascii="Times New Roman" w:hAnsi="Times New Roman" w:eastAsia="宋体" w:cs="Times New Roman"/>
                <w:color w:val="auto"/>
                <w:sz w:val="24"/>
                <w:szCs w:val="24"/>
                <w:lang w:val="en-US" w:eastAsia="zh-CN"/>
              </w:rPr>
              <w:t>碳氢清洗剂</w:t>
            </w:r>
            <w:r>
              <w:rPr>
                <w:rFonts w:hint="default" w:ascii="Times New Roman" w:hAnsi="Times New Roman" w:eastAsia="宋体" w:cs="Times New Roman"/>
                <w:color w:val="auto"/>
                <w:sz w:val="24"/>
                <w:szCs w:val="24"/>
                <w:lang w:val="en-US" w:eastAsia="zh-CN"/>
              </w:rPr>
              <w:t>VOC含量为</w:t>
            </w:r>
            <w:r>
              <w:rPr>
                <w:rFonts w:hint="eastAsia" w:ascii="Times New Roman" w:hAnsi="Times New Roman" w:eastAsia="宋体" w:cs="Times New Roman"/>
                <w:color w:val="auto"/>
                <w:sz w:val="24"/>
                <w:szCs w:val="24"/>
                <w:lang w:val="en-US" w:eastAsia="zh-CN"/>
              </w:rPr>
              <w:t>7540</w:t>
            </w:r>
            <w:r>
              <w:rPr>
                <w:rFonts w:hint="default" w:ascii="Times New Roman" w:hAnsi="Times New Roman" w:eastAsia="宋体" w:cs="Times New Roman"/>
                <w:color w:val="auto"/>
                <w:sz w:val="24"/>
                <w:szCs w:val="24"/>
                <w:lang w:val="en-US" w:eastAsia="zh-CN"/>
              </w:rPr>
              <w:t>g/L，符合《清洗剂挥发性有机化合物含量限值》（GB 38508-2020）中表</w:t>
            </w:r>
            <w:r>
              <w:rPr>
                <w:rFonts w:hint="eastAsia" w:ascii="Times New Roman" w:hAnsi="Times New Roman" w:eastAsia="宋体" w:cs="Times New Roman"/>
                <w:color w:val="auto"/>
                <w:sz w:val="24"/>
                <w:szCs w:val="24"/>
                <w:lang w:val="en-US" w:eastAsia="zh-CN"/>
              </w:rPr>
              <w:t>1有机溶剂清洗剂限值要求</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90</w:t>
            </w:r>
            <w:r>
              <w:rPr>
                <w:rFonts w:hint="default" w:ascii="Times New Roman" w:hAnsi="Times New Roman" w:eastAsia="宋体" w:cs="Times New Roman"/>
                <w:color w:val="auto"/>
                <w:sz w:val="24"/>
                <w:szCs w:val="24"/>
                <w:lang w:val="en-US" w:eastAsia="zh-CN"/>
              </w:rPr>
              <w:t>0g/L）</w:t>
            </w:r>
            <w:r>
              <w:rPr>
                <w:rFonts w:hint="default" w:ascii="Times New Roman" w:hAnsi="Times New Roman" w:eastAsia="宋体" w:cs="Times New Roman"/>
                <w:color w:val="auto"/>
                <w:kern w:val="0"/>
                <w:sz w:val="24"/>
                <w:szCs w:val="24"/>
              </w:rPr>
              <w:t>。</w:t>
            </w:r>
          </w:p>
          <w:p w14:paraId="377D81D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w:t>
            </w:r>
            <w:r>
              <w:rPr>
                <w:rFonts w:hint="eastAsia" w:ascii="Times New Roman" w:hAnsi="Times New Roman" w:eastAsia="宋体" w:cs="Times New Roman"/>
                <w:b w:val="0"/>
                <w:bCs/>
                <w:color w:val="auto"/>
                <w:sz w:val="24"/>
                <w:lang w:val="en-US" w:eastAsia="zh-CN"/>
              </w:rPr>
              <w:t>3</w:t>
            </w:r>
            <w:r>
              <w:rPr>
                <w:rFonts w:hint="default" w:ascii="Times New Roman" w:hAnsi="Times New Roman" w:eastAsia="宋体" w:cs="Times New Roman"/>
                <w:b w:val="0"/>
                <w:bCs/>
                <w:color w:val="auto"/>
                <w:sz w:val="24"/>
                <w:lang w:val="en-US" w:eastAsia="zh-CN"/>
              </w:rPr>
              <w:t>）VOCs平衡</w:t>
            </w:r>
          </w:p>
          <w:p w14:paraId="225642D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①VOCs含量分析</w:t>
            </w:r>
          </w:p>
          <w:p w14:paraId="1450BB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本项目含VOCs物料主要包括：</w:t>
            </w:r>
            <w:r>
              <w:rPr>
                <w:rFonts w:hint="eastAsia" w:ascii="Times New Roman" w:hAnsi="Times New Roman" w:eastAsia="宋体" w:cs="Times New Roman"/>
                <w:b w:val="0"/>
                <w:bCs/>
                <w:color w:val="auto"/>
                <w:sz w:val="24"/>
                <w:lang w:val="en-US" w:eastAsia="zh-CN"/>
              </w:rPr>
              <w:t>碳氢</w:t>
            </w:r>
            <w:r>
              <w:rPr>
                <w:rFonts w:hint="default" w:ascii="Times New Roman" w:hAnsi="Times New Roman" w:eastAsia="宋体" w:cs="Times New Roman"/>
                <w:b w:val="0"/>
                <w:bCs/>
                <w:color w:val="auto"/>
                <w:sz w:val="24"/>
                <w:lang w:val="en-US" w:eastAsia="zh-CN"/>
              </w:rPr>
              <w:t>清洗剂</w:t>
            </w:r>
            <w:r>
              <w:rPr>
                <w:rFonts w:hint="eastAsia"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lang w:val="en-US" w:eastAsia="zh-CN"/>
              </w:rPr>
              <w:t>生产过程中</w:t>
            </w:r>
            <w:r>
              <w:rPr>
                <w:rFonts w:hint="eastAsia" w:ascii="Times New Roman" w:hAnsi="Times New Roman" w:eastAsia="宋体" w:cs="Times New Roman"/>
                <w:b w:val="0"/>
                <w:bCs/>
                <w:color w:val="auto"/>
                <w:sz w:val="24"/>
                <w:lang w:val="en-US" w:eastAsia="zh-CN"/>
              </w:rPr>
              <w:t>其</w:t>
            </w:r>
            <w:r>
              <w:rPr>
                <w:rFonts w:hint="default" w:ascii="Times New Roman" w:hAnsi="Times New Roman" w:eastAsia="宋体" w:cs="Times New Roman"/>
                <w:b w:val="0"/>
                <w:bCs/>
                <w:color w:val="auto"/>
                <w:sz w:val="24"/>
                <w:lang w:val="en-US" w:eastAsia="zh-CN"/>
              </w:rPr>
              <w:t>VOCs产生情况见表2-</w:t>
            </w:r>
            <w:r>
              <w:rPr>
                <w:rFonts w:hint="eastAsia" w:ascii="Times New Roman" w:hAnsi="Times New Roman" w:eastAsia="宋体" w:cs="Times New Roman"/>
                <w:b w:val="0"/>
                <w:bCs/>
                <w:color w:val="auto"/>
                <w:sz w:val="24"/>
                <w:lang w:val="en-US" w:eastAsia="zh-CN"/>
              </w:rPr>
              <w:t>5</w:t>
            </w:r>
            <w:r>
              <w:rPr>
                <w:rFonts w:hint="default" w:ascii="Times New Roman" w:hAnsi="Times New Roman" w:eastAsia="宋体" w:cs="Times New Roman"/>
                <w:b w:val="0"/>
                <w:bCs/>
                <w:color w:val="auto"/>
                <w:sz w:val="24"/>
                <w:lang w:val="en-US" w:eastAsia="zh-CN"/>
              </w:rPr>
              <w:t>。</w:t>
            </w:r>
          </w:p>
          <w:p w14:paraId="5B73AE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表2-</w:t>
            </w:r>
            <w:r>
              <w:rPr>
                <w:rFonts w:hint="eastAsia" w:ascii="Times New Roman" w:hAnsi="Times New Roman" w:eastAsia="宋体" w:cs="Times New Roman"/>
                <w:b/>
                <w:color w:val="auto"/>
                <w:sz w:val="24"/>
                <w:lang w:val="en-US" w:eastAsia="zh-CN"/>
              </w:rPr>
              <w:t>5</w:t>
            </w:r>
            <w:r>
              <w:rPr>
                <w:rFonts w:hint="default" w:ascii="Times New Roman" w:hAnsi="Times New Roman" w:eastAsia="宋体" w:cs="Times New Roman"/>
                <w:b/>
                <w:color w:val="auto"/>
                <w:sz w:val="24"/>
                <w:lang w:val="en-US" w:eastAsia="zh-CN"/>
              </w:rPr>
              <w:t xml:space="preserve">  物料VOCs产生情况</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1484"/>
              <w:gridCol w:w="1479"/>
              <w:gridCol w:w="2191"/>
              <w:gridCol w:w="1679"/>
            </w:tblGrid>
            <w:tr w14:paraId="7E0342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1" w:type="pct"/>
                  <w:tcBorders>
                    <w:tl2br w:val="nil"/>
                    <w:tr2bl w:val="nil"/>
                  </w:tcBorders>
                  <w:vAlign w:val="center"/>
                </w:tcPr>
                <w:p w14:paraId="661F04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生产工序</w:t>
                  </w:r>
                </w:p>
              </w:tc>
              <w:tc>
                <w:tcPr>
                  <w:tcW w:w="892" w:type="pct"/>
                  <w:tcBorders>
                    <w:tl2br w:val="nil"/>
                    <w:tr2bl w:val="nil"/>
                  </w:tcBorders>
                  <w:vAlign w:val="center"/>
                </w:tcPr>
                <w:p w14:paraId="58E4F3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原料名称</w:t>
                  </w:r>
                </w:p>
              </w:tc>
              <w:tc>
                <w:tcPr>
                  <w:tcW w:w="889" w:type="pct"/>
                  <w:tcBorders>
                    <w:tl2br w:val="nil"/>
                    <w:tr2bl w:val="nil"/>
                  </w:tcBorders>
                  <w:vAlign w:val="center"/>
                </w:tcPr>
                <w:p w14:paraId="050956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vertAlign w:val="baseline"/>
                      <w:lang w:val="en-US" w:eastAsia="zh-CN"/>
                    </w:rPr>
                  </w:pPr>
                  <w:r>
                    <w:rPr>
                      <w:rFonts w:hint="default" w:ascii="Times New Roman" w:hAnsi="Times New Roman" w:eastAsia="宋体" w:cs="Times New Roman"/>
                      <w:b/>
                      <w:color w:val="auto"/>
                      <w:sz w:val="21"/>
                      <w:szCs w:val="21"/>
                      <w:vertAlign w:val="baseline"/>
                      <w:lang w:val="en-US" w:eastAsia="zh-CN"/>
                    </w:rPr>
                    <w:t>原料用量</w:t>
                  </w:r>
                </w:p>
              </w:tc>
              <w:tc>
                <w:tcPr>
                  <w:tcW w:w="1317" w:type="pct"/>
                  <w:tcBorders>
                    <w:tl2br w:val="nil"/>
                    <w:tr2bl w:val="nil"/>
                  </w:tcBorders>
                  <w:vAlign w:val="center"/>
                </w:tcPr>
                <w:p w14:paraId="143834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VOCs含量限值</w:t>
                  </w:r>
                </w:p>
              </w:tc>
              <w:tc>
                <w:tcPr>
                  <w:tcW w:w="1009" w:type="pct"/>
                  <w:tcBorders>
                    <w:tl2br w:val="nil"/>
                    <w:tr2bl w:val="nil"/>
                  </w:tcBorders>
                  <w:vAlign w:val="center"/>
                </w:tcPr>
                <w:p w14:paraId="32EE9C6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2"/>
                      <w:sz w:val="21"/>
                      <w:szCs w:val="21"/>
                      <w:vertAlign w:val="baseline"/>
                      <w:lang w:val="en-US" w:eastAsia="zh-CN" w:bidi="ar-SA"/>
                    </w:rPr>
                  </w:pPr>
                  <w:r>
                    <w:rPr>
                      <w:rFonts w:hint="default" w:ascii="Times New Roman" w:hAnsi="Times New Roman" w:eastAsia="宋体" w:cs="Times New Roman"/>
                      <w:b/>
                      <w:bCs/>
                      <w:color w:val="auto"/>
                      <w:sz w:val="21"/>
                      <w:szCs w:val="21"/>
                      <w:lang w:val="en-US" w:eastAsia="zh-CN"/>
                    </w:rPr>
                    <w:t>VOCs产生量（t）</w:t>
                  </w:r>
                </w:p>
              </w:tc>
            </w:tr>
            <w:tr w14:paraId="4FB7F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1" w:type="pct"/>
                  <w:tcBorders>
                    <w:tl2br w:val="nil"/>
                    <w:tr2bl w:val="nil"/>
                  </w:tcBorders>
                  <w:vAlign w:val="center"/>
                </w:tcPr>
                <w:p w14:paraId="040B9A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清洗</w:t>
                  </w:r>
                </w:p>
              </w:tc>
              <w:tc>
                <w:tcPr>
                  <w:tcW w:w="892" w:type="pct"/>
                  <w:tcBorders>
                    <w:tl2br w:val="nil"/>
                    <w:tr2bl w:val="nil"/>
                  </w:tcBorders>
                  <w:vAlign w:val="center"/>
                </w:tcPr>
                <w:p w14:paraId="1BE2F1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清洗剂</w:t>
                  </w:r>
                </w:p>
              </w:tc>
              <w:tc>
                <w:tcPr>
                  <w:tcW w:w="889" w:type="pct"/>
                  <w:tcBorders>
                    <w:tl2br w:val="nil"/>
                    <w:tr2bl w:val="nil"/>
                  </w:tcBorders>
                  <w:vAlign w:val="center"/>
                </w:tcPr>
                <w:p w14:paraId="4FE025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400L</w:t>
                  </w:r>
                </w:p>
              </w:tc>
              <w:tc>
                <w:tcPr>
                  <w:tcW w:w="1317" w:type="pct"/>
                  <w:tcBorders>
                    <w:tl2br w:val="nil"/>
                    <w:tr2bl w:val="nil"/>
                  </w:tcBorders>
                  <w:vAlign w:val="center"/>
                </w:tcPr>
                <w:p w14:paraId="40BAD3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754</w:t>
                  </w:r>
                  <w:r>
                    <w:rPr>
                      <w:rFonts w:hint="default" w:ascii="Times New Roman" w:hAnsi="Times New Roman" w:eastAsia="宋体" w:cs="Times New Roman"/>
                      <w:b w:val="0"/>
                      <w:bCs w:val="0"/>
                      <w:color w:val="auto"/>
                      <w:sz w:val="21"/>
                      <w:szCs w:val="21"/>
                      <w:lang w:val="en-US" w:eastAsia="zh-CN"/>
                    </w:rPr>
                    <w:t>g/L</w:t>
                  </w:r>
                </w:p>
              </w:tc>
              <w:tc>
                <w:tcPr>
                  <w:tcW w:w="1009" w:type="pct"/>
                  <w:tcBorders>
                    <w:tl2br w:val="nil"/>
                    <w:tr2bl w:val="nil"/>
                  </w:tcBorders>
                  <w:vAlign w:val="center"/>
                </w:tcPr>
                <w:p w14:paraId="562A56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0.302</w:t>
                  </w:r>
                </w:p>
              </w:tc>
            </w:tr>
          </w:tbl>
          <w:p w14:paraId="7C5274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②VOCs平衡</w:t>
            </w:r>
          </w:p>
          <w:p w14:paraId="0CF1570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本项目VOCs平衡见图2-</w:t>
            </w:r>
            <w:r>
              <w:rPr>
                <w:rFonts w:hint="eastAsia" w:ascii="Times New Roman" w:hAnsi="Times New Roman" w:eastAsia="宋体" w:cs="Times New Roman"/>
                <w:b w:val="0"/>
                <w:bCs/>
                <w:color w:val="auto"/>
                <w:sz w:val="24"/>
                <w:lang w:val="en-US" w:eastAsia="zh-CN"/>
              </w:rPr>
              <w:t>1</w:t>
            </w:r>
            <w:r>
              <w:rPr>
                <w:rFonts w:hint="default" w:ascii="Times New Roman" w:hAnsi="Times New Roman" w:eastAsia="宋体" w:cs="Times New Roman"/>
                <w:b w:val="0"/>
                <w:bCs/>
                <w:color w:val="auto"/>
                <w:sz w:val="24"/>
                <w:lang w:val="en-US" w:eastAsia="zh-CN"/>
              </w:rPr>
              <w:t>。</w:t>
            </w:r>
          </w:p>
          <w:p w14:paraId="1D486FD0">
            <w:pPr>
              <w:spacing w:line="360" w:lineRule="auto"/>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drawing>
                <wp:inline distT="0" distB="0" distL="114300" distR="114300">
                  <wp:extent cx="5265420" cy="1604645"/>
                  <wp:effectExtent l="0" t="0" r="0" b="0"/>
                  <wp:docPr id="8" name="图片 8" descr="VOCs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VOCs平衡"/>
                          <pic:cNvPicPr>
                            <a:picLocks noChangeAspect="1"/>
                          </pic:cNvPicPr>
                        </pic:nvPicPr>
                        <pic:blipFill>
                          <a:blip r:embed="rId17"/>
                          <a:stretch>
                            <a:fillRect/>
                          </a:stretch>
                        </pic:blipFill>
                        <pic:spPr>
                          <a:xfrm>
                            <a:off x="0" y="0"/>
                            <a:ext cx="5265420" cy="1604645"/>
                          </a:xfrm>
                          <a:prstGeom prst="rect">
                            <a:avLst/>
                          </a:prstGeom>
                        </pic:spPr>
                      </pic:pic>
                    </a:graphicData>
                  </a:graphic>
                </wp:inline>
              </w:drawing>
            </w:r>
          </w:p>
          <w:p w14:paraId="36724252">
            <w:pPr>
              <w:spacing w:line="360" w:lineRule="auto"/>
              <w:jc w:val="center"/>
              <w:rPr>
                <w:rFonts w:hint="eastAsia" w:ascii="Times New Roman" w:hAnsi="Times New Roman" w:cs="Times New Roman" w:eastAsiaTheme="minorEastAsia"/>
                <w:b/>
                <w:color w:val="auto"/>
                <w:sz w:val="24"/>
                <w:lang w:val="en-US" w:eastAsia="zh-CN"/>
              </w:rPr>
            </w:pPr>
            <w:r>
              <w:rPr>
                <w:rFonts w:hint="default" w:ascii="Times New Roman" w:hAnsi="Times New Roman" w:eastAsia="宋体" w:cs="Times New Roman"/>
                <w:b/>
                <w:color w:val="auto"/>
                <w:sz w:val="24"/>
                <w:lang w:val="en-US" w:eastAsia="zh-CN"/>
              </w:rPr>
              <w:t>图2-1  VOCs平衡图</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单位：t/a</w:t>
            </w:r>
            <w:r>
              <w:rPr>
                <w:rFonts w:hint="default" w:ascii="Times New Roman" w:hAnsi="Times New Roman" w:eastAsia="宋体" w:cs="Times New Roman"/>
                <w:b/>
                <w:bCs/>
                <w:color w:val="auto"/>
                <w:sz w:val="24"/>
                <w:szCs w:val="24"/>
                <w:lang w:eastAsia="zh-CN"/>
              </w:rPr>
              <w:t>）</w:t>
            </w:r>
          </w:p>
          <w:p w14:paraId="34B0D52D">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、项目工程情况</w:t>
            </w:r>
          </w:p>
          <w:p w14:paraId="4A1A9176">
            <w:pPr>
              <w:pStyle w:val="54"/>
              <w:spacing w:line="360" w:lineRule="auto"/>
              <w:ind w:right="130"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本项目主体、公用及辅助工程</w:t>
            </w:r>
            <w:r>
              <w:rPr>
                <w:rFonts w:hint="default" w:ascii="Times New Roman" w:hAnsi="Times New Roman" w:eastAsia="宋体" w:cs="Times New Roman"/>
                <w:color w:val="auto"/>
                <w:spacing w:val="-2"/>
                <w:sz w:val="24"/>
              </w:rPr>
              <w:t>组成详见表2-</w:t>
            </w:r>
            <w:r>
              <w:rPr>
                <w:rFonts w:hint="eastAsia" w:ascii="Times New Roman" w:hAnsi="Times New Roman" w:eastAsia="宋体" w:cs="Times New Roman"/>
                <w:color w:val="auto"/>
                <w:spacing w:val="-2"/>
                <w:sz w:val="24"/>
                <w:lang w:val="en-US" w:eastAsia="zh-CN"/>
              </w:rPr>
              <w:t>6</w:t>
            </w:r>
            <w:r>
              <w:rPr>
                <w:rFonts w:hint="default" w:ascii="Times New Roman" w:hAnsi="Times New Roman" w:eastAsia="宋体" w:cs="Times New Roman"/>
                <w:color w:val="auto"/>
                <w:spacing w:val="-2"/>
                <w:sz w:val="24"/>
              </w:rPr>
              <w:t>。</w:t>
            </w:r>
          </w:p>
          <w:p w14:paraId="5A42EF0C">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w:t>
            </w:r>
            <w:r>
              <w:rPr>
                <w:rFonts w:hint="eastAsia" w:ascii="Times New Roman" w:hAnsi="Times New Roman" w:eastAsia="宋体" w:cs="Times New Roman"/>
                <w:b/>
                <w:color w:val="auto"/>
                <w:sz w:val="24"/>
                <w:lang w:val="en-US" w:eastAsia="zh-CN"/>
              </w:rPr>
              <w:t>6</w:t>
            </w:r>
            <w:r>
              <w:rPr>
                <w:rFonts w:hint="default" w:ascii="Times New Roman" w:hAnsi="Times New Roman" w:eastAsia="宋体" w:cs="Times New Roman"/>
                <w:b/>
                <w:color w:val="auto"/>
                <w:sz w:val="24"/>
              </w:rPr>
              <w:t xml:space="preserve">  项目主体、公用、辅助及环保工程情况表</w:t>
            </w:r>
          </w:p>
          <w:tbl>
            <w:tblPr>
              <w:tblStyle w:val="28"/>
              <w:tblW w:w="4996"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73"/>
              <w:gridCol w:w="1216"/>
              <w:gridCol w:w="1188"/>
              <w:gridCol w:w="1420"/>
              <w:gridCol w:w="2801"/>
              <w:gridCol w:w="914"/>
            </w:tblGrid>
            <w:tr w14:paraId="1E75ED0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Align w:val="center"/>
                </w:tcPr>
                <w:p w14:paraId="29CDF7AF">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类别</w:t>
                  </w:r>
                </w:p>
              </w:tc>
              <w:tc>
                <w:tcPr>
                  <w:tcW w:w="1446" w:type="pct"/>
                  <w:gridSpan w:val="2"/>
                  <w:vAlign w:val="center"/>
                </w:tcPr>
                <w:p w14:paraId="605AD9B2">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建设名称</w:t>
                  </w:r>
                </w:p>
              </w:tc>
              <w:tc>
                <w:tcPr>
                  <w:tcW w:w="854" w:type="pct"/>
                  <w:vAlign w:val="center"/>
                </w:tcPr>
                <w:p w14:paraId="7C5CF2BB">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设计能力</w:t>
                  </w:r>
                </w:p>
              </w:tc>
              <w:tc>
                <w:tcPr>
                  <w:tcW w:w="1684" w:type="pct"/>
                  <w:vAlign w:val="center"/>
                </w:tcPr>
                <w:p w14:paraId="39046EB8">
                  <w:pPr>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工程内容</w:t>
                  </w:r>
                </w:p>
              </w:tc>
              <w:tc>
                <w:tcPr>
                  <w:tcW w:w="549" w:type="pct"/>
                  <w:vAlign w:val="center"/>
                </w:tcPr>
                <w:p w14:paraId="0AA4E545">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备注</w:t>
                  </w:r>
                </w:p>
              </w:tc>
            </w:tr>
            <w:tr w14:paraId="5FC31EF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Align w:val="center"/>
                </w:tcPr>
                <w:p w14:paraId="491828F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主体工程</w:t>
                  </w:r>
                </w:p>
              </w:tc>
              <w:tc>
                <w:tcPr>
                  <w:tcW w:w="1446" w:type="pct"/>
                  <w:gridSpan w:val="2"/>
                  <w:vAlign w:val="center"/>
                </w:tcPr>
                <w:p w14:paraId="1E58E21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生产车间</w:t>
                  </w:r>
                </w:p>
              </w:tc>
              <w:tc>
                <w:tcPr>
                  <w:tcW w:w="854" w:type="pct"/>
                  <w:vAlign w:val="center"/>
                </w:tcPr>
                <w:p w14:paraId="3A35941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建筑面积约4454.9</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4" w:type="pct"/>
                  <w:vAlign w:val="center"/>
                </w:tcPr>
                <w:p w14:paraId="3112CA4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3F，一层（3/4区域）主要为热处理区（包括真空气淬炉、真空油淬炉、回火炉、盐浴氮化炉、盐浴氧化炉、井式预热炉、高频淬火热处理炉等）；二层（3/4区域）为光亮炉；三层（3/4区域）为办公区、原料、成品仓库和喷砂机加工区</w:t>
                  </w:r>
                </w:p>
              </w:tc>
              <w:tc>
                <w:tcPr>
                  <w:tcW w:w="549" w:type="pct"/>
                  <w:vMerge w:val="restart"/>
                  <w:vAlign w:val="center"/>
                </w:tcPr>
                <w:p w14:paraId="5C74602B">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依托现有空置厂房</w:t>
                  </w:r>
                  <w:r>
                    <w:rPr>
                      <w:rFonts w:hint="eastAsia" w:ascii="Times New Roman" w:hAnsi="Times New Roman" w:eastAsia="宋体" w:cs="Times New Roman"/>
                      <w:color w:val="auto"/>
                      <w:szCs w:val="21"/>
                      <w:lang w:val="en-US" w:eastAsia="zh-CN"/>
                    </w:rPr>
                    <w:t>，本项目为一层、二层、三层的3/4区域；其余1/4区域不属于本项目</w:t>
                  </w:r>
                </w:p>
              </w:tc>
            </w:tr>
            <w:tr w14:paraId="60121C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restart"/>
                  <w:vAlign w:val="center"/>
                </w:tcPr>
                <w:p w14:paraId="2C1DC5C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贮运工程</w:t>
                  </w:r>
                </w:p>
              </w:tc>
              <w:tc>
                <w:tcPr>
                  <w:tcW w:w="1446" w:type="pct"/>
                  <w:gridSpan w:val="2"/>
                  <w:vAlign w:val="center"/>
                </w:tcPr>
                <w:p w14:paraId="5A8AE59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成品仓库</w:t>
                  </w:r>
                </w:p>
              </w:tc>
              <w:tc>
                <w:tcPr>
                  <w:tcW w:w="854" w:type="pct"/>
                  <w:vAlign w:val="center"/>
                </w:tcPr>
                <w:p w14:paraId="2BD8B10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35</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4" w:type="pct"/>
                  <w:vAlign w:val="center"/>
                </w:tcPr>
                <w:p w14:paraId="6E489142">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位于车间</w:t>
                  </w:r>
                  <w:r>
                    <w:rPr>
                      <w:rFonts w:hint="eastAsia" w:ascii="Times New Roman" w:hAnsi="Times New Roman" w:eastAsia="宋体" w:cs="Times New Roman"/>
                      <w:color w:val="auto"/>
                      <w:szCs w:val="21"/>
                      <w:lang w:val="en-US" w:eastAsia="zh-CN"/>
                    </w:rPr>
                    <w:t>三层</w:t>
                  </w:r>
                </w:p>
              </w:tc>
              <w:tc>
                <w:tcPr>
                  <w:tcW w:w="549" w:type="pct"/>
                  <w:vMerge w:val="continue"/>
                  <w:vAlign w:val="center"/>
                </w:tcPr>
                <w:p w14:paraId="3CBEE95C">
                  <w:pPr>
                    <w:jc w:val="center"/>
                    <w:rPr>
                      <w:rFonts w:hint="default" w:ascii="Times New Roman" w:hAnsi="Times New Roman" w:eastAsia="宋体" w:cs="Times New Roman"/>
                      <w:color w:val="auto"/>
                      <w:szCs w:val="21"/>
                      <w:lang w:val="en-US" w:eastAsia="zh-CN"/>
                    </w:rPr>
                  </w:pPr>
                </w:p>
              </w:tc>
            </w:tr>
            <w:tr w14:paraId="597C6C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continue"/>
                  <w:vAlign w:val="center"/>
                </w:tcPr>
                <w:p w14:paraId="35D78C87">
                  <w:pPr>
                    <w:jc w:val="center"/>
                    <w:rPr>
                      <w:rFonts w:hint="default" w:ascii="Times New Roman" w:hAnsi="Times New Roman" w:eastAsia="宋体" w:cs="Times New Roman"/>
                      <w:color w:val="auto"/>
                      <w:szCs w:val="21"/>
                    </w:rPr>
                  </w:pPr>
                </w:p>
              </w:tc>
              <w:tc>
                <w:tcPr>
                  <w:tcW w:w="1446" w:type="pct"/>
                  <w:gridSpan w:val="2"/>
                  <w:vAlign w:val="center"/>
                </w:tcPr>
                <w:p w14:paraId="1F34B99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原料仓库</w:t>
                  </w:r>
                </w:p>
              </w:tc>
              <w:tc>
                <w:tcPr>
                  <w:tcW w:w="854" w:type="pct"/>
                  <w:vAlign w:val="center"/>
                </w:tcPr>
                <w:p w14:paraId="7836DDC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建筑面积约</w:t>
                  </w:r>
                  <w:r>
                    <w:rPr>
                      <w:rFonts w:hint="eastAsia" w:ascii="Times New Roman" w:hAnsi="Times New Roman" w:eastAsia="宋体" w:cs="Times New Roman"/>
                      <w:color w:val="auto"/>
                      <w:szCs w:val="21"/>
                      <w:lang w:val="en-US" w:eastAsia="zh-CN"/>
                    </w:rPr>
                    <w:t>35</w:t>
                  </w:r>
                  <w:r>
                    <w:rPr>
                      <w:rFonts w:hint="default" w:ascii="Times New Roman" w:hAnsi="Times New Roman" w:eastAsia="宋体" w:cs="Times New Roman"/>
                      <w:color w:val="auto"/>
                      <w:szCs w:val="21"/>
                      <w:lang w:val="en-US" w:eastAsia="zh-CN"/>
                    </w:rPr>
                    <w:t>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4" w:type="pct"/>
                  <w:vAlign w:val="center"/>
                </w:tcPr>
                <w:p w14:paraId="062D295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位于车间</w:t>
                  </w:r>
                  <w:r>
                    <w:rPr>
                      <w:rFonts w:hint="eastAsia" w:ascii="Times New Roman" w:hAnsi="Times New Roman" w:eastAsia="宋体" w:cs="Times New Roman"/>
                      <w:color w:val="auto"/>
                      <w:szCs w:val="21"/>
                      <w:lang w:val="en-US" w:eastAsia="zh-CN"/>
                    </w:rPr>
                    <w:t>三层</w:t>
                  </w:r>
                </w:p>
              </w:tc>
              <w:tc>
                <w:tcPr>
                  <w:tcW w:w="549" w:type="pct"/>
                  <w:vMerge w:val="continue"/>
                  <w:vAlign w:val="center"/>
                </w:tcPr>
                <w:p w14:paraId="00A71113">
                  <w:pPr>
                    <w:jc w:val="center"/>
                    <w:rPr>
                      <w:rFonts w:hint="default" w:ascii="Times New Roman" w:hAnsi="Times New Roman" w:eastAsia="宋体" w:cs="Times New Roman"/>
                      <w:color w:val="auto"/>
                      <w:szCs w:val="21"/>
                    </w:rPr>
                  </w:pPr>
                </w:p>
              </w:tc>
            </w:tr>
            <w:tr w14:paraId="703FA4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restart"/>
                  <w:vAlign w:val="center"/>
                </w:tcPr>
                <w:p w14:paraId="5467D46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公辅工程</w:t>
                  </w:r>
                </w:p>
              </w:tc>
              <w:tc>
                <w:tcPr>
                  <w:tcW w:w="1446" w:type="pct"/>
                  <w:gridSpan w:val="2"/>
                  <w:vAlign w:val="center"/>
                </w:tcPr>
                <w:p w14:paraId="0A40483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给水系统</w:t>
                  </w:r>
                </w:p>
              </w:tc>
              <w:tc>
                <w:tcPr>
                  <w:tcW w:w="854" w:type="pct"/>
                  <w:vAlign w:val="center"/>
                </w:tcPr>
                <w:p w14:paraId="111A9764">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876</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684" w:type="pct"/>
                  <w:vAlign w:val="center"/>
                </w:tcPr>
                <w:p w14:paraId="2A77E87A">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549" w:type="pct"/>
                  <w:vAlign w:val="center"/>
                </w:tcPr>
                <w:p w14:paraId="5E3BF7AF">
                  <w:pPr>
                    <w:pStyle w:val="53"/>
                    <w:widowControl/>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由城市给水管网供给</w:t>
                  </w:r>
                </w:p>
              </w:tc>
            </w:tr>
            <w:tr w14:paraId="796DB3C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64" w:type="pct"/>
                  <w:vMerge w:val="continue"/>
                  <w:vAlign w:val="center"/>
                </w:tcPr>
                <w:p w14:paraId="6CA5950E">
                  <w:pPr>
                    <w:jc w:val="center"/>
                    <w:rPr>
                      <w:rFonts w:hint="default" w:ascii="Times New Roman" w:hAnsi="Times New Roman" w:eastAsia="宋体" w:cs="Times New Roman"/>
                      <w:color w:val="auto"/>
                      <w:szCs w:val="21"/>
                    </w:rPr>
                  </w:pPr>
                </w:p>
              </w:tc>
              <w:tc>
                <w:tcPr>
                  <w:tcW w:w="731" w:type="pct"/>
                  <w:vMerge w:val="restart"/>
                  <w:tcBorders>
                    <w:right w:val="single" w:color="auto" w:sz="4" w:space="0"/>
                  </w:tcBorders>
                  <w:vAlign w:val="center"/>
                </w:tcPr>
                <w:p w14:paraId="071540F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排水系统</w:t>
                  </w:r>
                </w:p>
              </w:tc>
              <w:tc>
                <w:tcPr>
                  <w:tcW w:w="714" w:type="pct"/>
                  <w:tcBorders>
                    <w:left w:val="single" w:color="auto" w:sz="4" w:space="0"/>
                  </w:tcBorders>
                  <w:vAlign w:val="center"/>
                </w:tcPr>
                <w:p w14:paraId="6F75C82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w:t>
                  </w:r>
                </w:p>
              </w:tc>
              <w:tc>
                <w:tcPr>
                  <w:tcW w:w="854" w:type="pct"/>
                  <w:vAlign w:val="center"/>
                </w:tcPr>
                <w:p w14:paraId="031C991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384</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684" w:type="pct"/>
                  <w:vAlign w:val="center"/>
                </w:tcPr>
                <w:p w14:paraId="2FAEE02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生活污水</w:t>
                  </w:r>
                  <w:r>
                    <w:rPr>
                      <w:rFonts w:hint="default" w:ascii="Times New Roman" w:hAnsi="Times New Roman" w:eastAsia="宋体" w:cs="Times New Roman"/>
                      <w:color w:val="auto"/>
                      <w:szCs w:val="21"/>
                      <w:lang w:val="en-US" w:eastAsia="zh-CN"/>
                    </w:rPr>
                    <w:t>经化粪池预处理后接管至</w:t>
                  </w:r>
                  <w:r>
                    <w:rPr>
                      <w:rFonts w:hint="default" w:ascii="Times New Roman" w:hAnsi="Times New Roman" w:eastAsia="宋体" w:cs="Times New Roman"/>
                      <w:color w:val="auto"/>
                      <w:szCs w:val="21"/>
                    </w:rPr>
                    <w:t>常州市金坛区第二污水厂集中处理，尾水排入尧塘河</w:t>
                  </w:r>
                </w:p>
              </w:tc>
              <w:tc>
                <w:tcPr>
                  <w:tcW w:w="549" w:type="pct"/>
                  <w:vAlign w:val="center"/>
                </w:tcPr>
                <w:p w14:paraId="2E836E8D">
                  <w:pPr>
                    <w:pStyle w:val="53"/>
                    <w:widowControl/>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w:t>
                  </w:r>
                  <w:r>
                    <w:rPr>
                      <w:rFonts w:hint="eastAsia" w:ascii="Times New Roman" w:hAnsi="Times New Roman" w:eastAsia="宋体" w:cs="Times New Roman"/>
                      <w:color w:val="auto"/>
                      <w:lang w:val="en-US" w:eastAsia="zh-CN"/>
                    </w:rPr>
                    <w:t>园区</w:t>
                  </w:r>
                  <w:r>
                    <w:rPr>
                      <w:rFonts w:hint="default" w:ascii="Times New Roman" w:hAnsi="Times New Roman" w:eastAsia="宋体" w:cs="Times New Roman"/>
                      <w:color w:val="auto"/>
                      <w:lang w:val="en-US" w:eastAsia="zh-CN"/>
                    </w:rPr>
                    <w:t>现有</w:t>
                  </w:r>
                </w:p>
              </w:tc>
            </w:tr>
            <w:tr w14:paraId="0CD885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5" w:hRule="atLeast"/>
              </w:trPr>
              <w:tc>
                <w:tcPr>
                  <w:tcW w:w="464" w:type="pct"/>
                  <w:vMerge w:val="continue"/>
                  <w:vAlign w:val="center"/>
                </w:tcPr>
                <w:p w14:paraId="433D5741">
                  <w:pPr>
                    <w:jc w:val="center"/>
                    <w:rPr>
                      <w:rFonts w:hint="default" w:ascii="Times New Roman" w:hAnsi="Times New Roman" w:eastAsia="宋体" w:cs="Times New Roman"/>
                      <w:color w:val="auto"/>
                      <w:szCs w:val="21"/>
                    </w:rPr>
                  </w:pPr>
                </w:p>
              </w:tc>
              <w:tc>
                <w:tcPr>
                  <w:tcW w:w="731" w:type="pct"/>
                  <w:vMerge w:val="continue"/>
                  <w:tcBorders>
                    <w:right w:val="single" w:color="auto" w:sz="4" w:space="0"/>
                  </w:tcBorders>
                  <w:vAlign w:val="center"/>
                </w:tcPr>
                <w:p w14:paraId="77273418">
                  <w:pPr>
                    <w:jc w:val="center"/>
                    <w:rPr>
                      <w:rFonts w:hint="default" w:ascii="Times New Roman" w:hAnsi="Times New Roman" w:eastAsia="宋体" w:cs="Times New Roman"/>
                      <w:color w:val="auto"/>
                      <w:szCs w:val="21"/>
                    </w:rPr>
                  </w:pPr>
                </w:p>
              </w:tc>
              <w:tc>
                <w:tcPr>
                  <w:tcW w:w="714" w:type="pct"/>
                  <w:tcBorders>
                    <w:left w:val="single" w:color="auto" w:sz="4" w:space="0"/>
                  </w:tcBorders>
                  <w:vAlign w:val="center"/>
                </w:tcPr>
                <w:p w14:paraId="7E032C1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生产废水</w:t>
                  </w:r>
                </w:p>
              </w:tc>
              <w:tc>
                <w:tcPr>
                  <w:tcW w:w="854" w:type="pct"/>
                  <w:vAlign w:val="center"/>
                </w:tcPr>
                <w:p w14:paraId="6127EE7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236</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684" w:type="pct"/>
                  <w:vAlign w:val="center"/>
                </w:tcPr>
                <w:p w14:paraId="0634F40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经厂内污水处理站处理后回用于清洗工序，不外排</w:t>
                  </w:r>
                </w:p>
              </w:tc>
              <w:tc>
                <w:tcPr>
                  <w:tcW w:w="549" w:type="pct"/>
                  <w:vAlign w:val="center"/>
                </w:tcPr>
                <w:p w14:paraId="42E66306">
                  <w:pPr>
                    <w:pStyle w:val="53"/>
                    <w:widowControl/>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新建</w:t>
                  </w:r>
                </w:p>
              </w:tc>
            </w:tr>
            <w:tr w14:paraId="791A05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continue"/>
                  <w:vAlign w:val="center"/>
                </w:tcPr>
                <w:p w14:paraId="17E74644">
                  <w:pPr>
                    <w:jc w:val="center"/>
                    <w:rPr>
                      <w:rFonts w:hint="default" w:ascii="Times New Roman" w:hAnsi="Times New Roman" w:eastAsia="宋体" w:cs="Times New Roman"/>
                      <w:color w:val="auto"/>
                      <w:szCs w:val="21"/>
                    </w:rPr>
                  </w:pPr>
                </w:p>
              </w:tc>
              <w:tc>
                <w:tcPr>
                  <w:tcW w:w="1446" w:type="pct"/>
                  <w:gridSpan w:val="2"/>
                  <w:vAlign w:val="center"/>
                </w:tcPr>
                <w:p w14:paraId="31781A9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雨水排放系统</w:t>
                  </w:r>
                </w:p>
              </w:tc>
              <w:tc>
                <w:tcPr>
                  <w:tcW w:w="854" w:type="pct"/>
                  <w:vAlign w:val="center"/>
                </w:tcPr>
                <w:p w14:paraId="603E05C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684" w:type="pct"/>
                  <w:vAlign w:val="center"/>
                </w:tcPr>
                <w:p w14:paraId="3626BDC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雨水通过</w:t>
                  </w:r>
                  <w:r>
                    <w:rPr>
                      <w:rFonts w:hint="eastAsia" w:ascii="Times New Roman" w:hAnsi="Times New Roman" w:eastAsia="宋体" w:cs="Times New Roman"/>
                      <w:color w:val="auto"/>
                      <w:lang w:val="en-US" w:eastAsia="zh-CN"/>
                    </w:rPr>
                    <w:t>园区</w:t>
                  </w:r>
                  <w:r>
                    <w:rPr>
                      <w:rFonts w:hint="default" w:ascii="Times New Roman" w:hAnsi="Times New Roman" w:eastAsia="宋体" w:cs="Times New Roman"/>
                      <w:color w:val="auto"/>
                      <w:szCs w:val="21"/>
                    </w:rPr>
                    <w:t>现有雨水管网排入市政雨水管网</w:t>
                  </w:r>
                </w:p>
              </w:tc>
              <w:tc>
                <w:tcPr>
                  <w:tcW w:w="549" w:type="pct"/>
                  <w:vAlign w:val="center"/>
                </w:tcPr>
                <w:p w14:paraId="1957F865">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w:t>
                  </w:r>
                  <w:r>
                    <w:rPr>
                      <w:rFonts w:hint="eastAsia" w:ascii="Times New Roman" w:hAnsi="Times New Roman" w:eastAsia="宋体" w:cs="Times New Roman"/>
                      <w:color w:val="auto"/>
                      <w:lang w:val="en-US" w:eastAsia="zh-CN"/>
                    </w:rPr>
                    <w:t>园区</w:t>
                  </w:r>
                  <w:r>
                    <w:rPr>
                      <w:rFonts w:hint="default" w:ascii="Times New Roman" w:hAnsi="Times New Roman" w:eastAsia="宋体" w:cs="Times New Roman"/>
                      <w:color w:val="auto"/>
                      <w:lang w:val="en-US" w:eastAsia="zh-CN"/>
                    </w:rPr>
                    <w:t>现有</w:t>
                  </w:r>
                </w:p>
              </w:tc>
            </w:tr>
            <w:tr w14:paraId="70CE25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continue"/>
                  <w:vAlign w:val="center"/>
                </w:tcPr>
                <w:p w14:paraId="108B92FD">
                  <w:pPr>
                    <w:jc w:val="center"/>
                    <w:rPr>
                      <w:rFonts w:hint="default" w:ascii="Times New Roman" w:hAnsi="Times New Roman" w:eastAsia="宋体" w:cs="Times New Roman"/>
                      <w:color w:val="auto"/>
                      <w:szCs w:val="21"/>
                    </w:rPr>
                  </w:pPr>
                </w:p>
              </w:tc>
              <w:tc>
                <w:tcPr>
                  <w:tcW w:w="1446" w:type="pct"/>
                  <w:gridSpan w:val="2"/>
                  <w:vAlign w:val="center"/>
                </w:tcPr>
                <w:p w14:paraId="43D1D19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供电工程</w:t>
                  </w:r>
                </w:p>
              </w:tc>
              <w:tc>
                <w:tcPr>
                  <w:tcW w:w="854" w:type="pct"/>
                  <w:vAlign w:val="center"/>
                </w:tcPr>
                <w:p w14:paraId="60436EA0">
                  <w:pPr>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50</w:t>
                  </w:r>
                  <w:r>
                    <w:rPr>
                      <w:rFonts w:hint="default" w:ascii="Times New Roman" w:hAnsi="Times New Roman" w:eastAsia="宋体" w:cs="Times New Roman"/>
                      <w:color w:val="auto"/>
                      <w:szCs w:val="21"/>
                    </w:rPr>
                    <w:t>0万kWh/a</w:t>
                  </w:r>
                </w:p>
              </w:tc>
              <w:tc>
                <w:tcPr>
                  <w:tcW w:w="1684" w:type="pct"/>
                  <w:vAlign w:val="center"/>
                </w:tcPr>
                <w:p w14:paraId="5AF3B47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由城市电网供给</w:t>
                  </w:r>
                </w:p>
              </w:tc>
              <w:tc>
                <w:tcPr>
                  <w:tcW w:w="549" w:type="pct"/>
                  <w:vAlign w:val="center"/>
                </w:tcPr>
                <w:p w14:paraId="1F7BB2B4">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依托现有</w:t>
                  </w:r>
                </w:p>
              </w:tc>
            </w:tr>
            <w:tr w14:paraId="641D338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13" w:hRule="atLeast"/>
              </w:trPr>
              <w:tc>
                <w:tcPr>
                  <w:tcW w:w="464" w:type="pct"/>
                  <w:vMerge w:val="restart"/>
                  <w:vAlign w:val="center"/>
                </w:tcPr>
                <w:p w14:paraId="45342F7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环保工程</w:t>
                  </w:r>
                </w:p>
              </w:tc>
              <w:tc>
                <w:tcPr>
                  <w:tcW w:w="1446" w:type="pct"/>
                  <w:gridSpan w:val="2"/>
                  <w:vAlign w:val="center"/>
                </w:tcPr>
                <w:p w14:paraId="23CC843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规范化排污口、雨污分流管网</w:t>
                  </w:r>
                </w:p>
              </w:tc>
              <w:tc>
                <w:tcPr>
                  <w:tcW w:w="2539" w:type="pct"/>
                  <w:gridSpan w:val="2"/>
                  <w:vAlign w:val="center"/>
                </w:tcPr>
                <w:p w14:paraId="180F7C2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本项目实行</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雨污分流</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，雨水排入市政雨水管网，生活污水</w:t>
                  </w:r>
                  <w:r>
                    <w:rPr>
                      <w:rFonts w:hint="default" w:ascii="Times New Roman" w:hAnsi="Times New Roman" w:eastAsia="宋体" w:cs="Times New Roman"/>
                      <w:color w:val="auto"/>
                      <w:szCs w:val="21"/>
                      <w:lang w:val="en-US" w:eastAsia="zh-CN"/>
                    </w:rPr>
                    <w:t>经化粪池预处理后接管至</w:t>
                  </w:r>
                  <w:r>
                    <w:rPr>
                      <w:rFonts w:hint="default" w:ascii="Times New Roman" w:hAnsi="Times New Roman" w:eastAsia="宋体" w:cs="Times New Roman"/>
                      <w:color w:val="auto"/>
                      <w:szCs w:val="21"/>
                    </w:rPr>
                    <w:t>常州市金坛区第二污水厂集中处理，尾水排入尧塘河</w:t>
                  </w:r>
                </w:p>
              </w:tc>
              <w:tc>
                <w:tcPr>
                  <w:tcW w:w="549" w:type="pct"/>
                  <w:vAlign w:val="center"/>
                </w:tcPr>
                <w:p w14:paraId="64577B38">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lang w:val="en-US" w:eastAsia="zh-CN"/>
                    </w:rPr>
                    <w:t>依托现有</w:t>
                  </w:r>
                </w:p>
              </w:tc>
            </w:tr>
            <w:tr w14:paraId="6ED104F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continue"/>
                  <w:vAlign w:val="center"/>
                </w:tcPr>
                <w:p w14:paraId="4E97C6F3">
                  <w:pPr>
                    <w:jc w:val="center"/>
                    <w:rPr>
                      <w:rFonts w:hint="default" w:ascii="Times New Roman" w:hAnsi="Times New Roman" w:eastAsia="宋体" w:cs="Times New Roman"/>
                      <w:color w:val="auto"/>
                      <w:szCs w:val="21"/>
                    </w:rPr>
                  </w:pPr>
                </w:p>
              </w:tc>
              <w:tc>
                <w:tcPr>
                  <w:tcW w:w="731" w:type="pct"/>
                  <w:vMerge w:val="restart"/>
                  <w:vAlign w:val="center"/>
                </w:tcPr>
                <w:p w14:paraId="4C1CC3DD">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废水</w:t>
                  </w:r>
                </w:p>
              </w:tc>
              <w:tc>
                <w:tcPr>
                  <w:tcW w:w="714" w:type="pct"/>
                  <w:shd w:val="clear" w:color="auto" w:fill="auto"/>
                  <w:vAlign w:val="center"/>
                </w:tcPr>
                <w:p w14:paraId="64BCA24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生活污水</w:t>
                  </w:r>
                </w:p>
              </w:tc>
              <w:tc>
                <w:tcPr>
                  <w:tcW w:w="854" w:type="pct"/>
                  <w:shd w:val="clear" w:color="auto" w:fill="auto"/>
                  <w:vAlign w:val="center"/>
                </w:tcPr>
                <w:p w14:paraId="74A7C39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384</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684" w:type="pct"/>
                  <w:shd w:val="clear" w:color="auto" w:fill="auto"/>
                  <w:vAlign w:val="center"/>
                </w:tcPr>
                <w:p w14:paraId="5CC04EE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生活污水</w:t>
                  </w:r>
                  <w:r>
                    <w:rPr>
                      <w:rFonts w:hint="default" w:ascii="Times New Roman" w:hAnsi="Times New Roman" w:eastAsia="宋体" w:cs="Times New Roman"/>
                      <w:color w:val="auto"/>
                      <w:szCs w:val="21"/>
                      <w:lang w:val="en-US" w:eastAsia="zh-CN"/>
                    </w:rPr>
                    <w:t>经化粪池预处理后接管至</w:t>
                  </w:r>
                  <w:r>
                    <w:rPr>
                      <w:rFonts w:hint="default" w:ascii="Times New Roman" w:hAnsi="Times New Roman" w:eastAsia="宋体" w:cs="Times New Roman"/>
                      <w:color w:val="auto"/>
                      <w:szCs w:val="21"/>
                    </w:rPr>
                    <w:t>常州市金坛区第二污水厂集中处理，尾水排入尧塘河</w:t>
                  </w:r>
                </w:p>
              </w:tc>
              <w:tc>
                <w:tcPr>
                  <w:tcW w:w="549" w:type="pct"/>
                  <w:shd w:val="clear" w:color="auto" w:fill="auto"/>
                  <w:vAlign w:val="center"/>
                </w:tcPr>
                <w:p w14:paraId="3B02C374">
                  <w:pPr>
                    <w:pStyle w:val="53"/>
                    <w:widowControl/>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lang w:val="en-US" w:eastAsia="zh-CN"/>
                    </w:rPr>
                    <w:t>依托</w:t>
                  </w:r>
                  <w:r>
                    <w:rPr>
                      <w:rFonts w:hint="eastAsia" w:ascii="Times New Roman" w:hAnsi="Times New Roman" w:eastAsia="宋体" w:cs="Times New Roman"/>
                      <w:color w:val="auto"/>
                      <w:lang w:val="en-US" w:eastAsia="zh-CN"/>
                    </w:rPr>
                    <w:t>园区</w:t>
                  </w:r>
                  <w:r>
                    <w:rPr>
                      <w:rFonts w:hint="default" w:ascii="Times New Roman" w:hAnsi="Times New Roman" w:eastAsia="宋体" w:cs="Times New Roman"/>
                      <w:color w:val="auto"/>
                      <w:lang w:val="en-US" w:eastAsia="zh-CN"/>
                    </w:rPr>
                    <w:t>现有</w:t>
                  </w:r>
                </w:p>
              </w:tc>
            </w:tr>
            <w:tr w14:paraId="1A89B93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continue"/>
                  <w:vAlign w:val="center"/>
                </w:tcPr>
                <w:p w14:paraId="2147FB0E">
                  <w:pPr>
                    <w:jc w:val="center"/>
                    <w:rPr>
                      <w:rFonts w:hint="default" w:ascii="Times New Roman" w:hAnsi="Times New Roman" w:eastAsia="宋体" w:cs="Times New Roman"/>
                      <w:color w:val="auto"/>
                      <w:szCs w:val="21"/>
                    </w:rPr>
                  </w:pPr>
                </w:p>
              </w:tc>
              <w:tc>
                <w:tcPr>
                  <w:tcW w:w="731" w:type="pct"/>
                  <w:vMerge w:val="continue"/>
                  <w:vAlign w:val="center"/>
                </w:tcPr>
                <w:p w14:paraId="5585F77F">
                  <w:pPr>
                    <w:jc w:val="center"/>
                    <w:rPr>
                      <w:rFonts w:hint="default" w:ascii="Times New Roman" w:hAnsi="Times New Roman" w:eastAsia="宋体" w:cs="Times New Roman"/>
                      <w:color w:val="auto"/>
                      <w:szCs w:val="21"/>
                      <w:lang w:val="en-US" w:eastAsia="zh-CN"/>
                    </w:rPr>
                  </w:pPr>
                </w:p>
              </w:tc>
              <w:tc>
                <w:tcPr>
                  <w:tcW w:w="714" w:type="pct"/>
                  <w:shd w:val="clear" w:color="auto" w:fill="auto"/>
                  <w:vAlign w:val="center"/>
                </w:tcPr>
                <w:p w14:paraId="6961151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生产废水</w:t>
                  </w:r>
                </w:p>
              </w:tc>
              <w:tc>
                <w:tcPr>
                  <w:tcW w:w="854" w:type="pct"/>
                  <w:shd w:val="clear" w:color="auto" w:fill="auto"/>
                  <w:vAlign w:val="center"/>
                </w:tcPr>
                <w:p w14:paraId="5A1FBFA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236</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/a</w:t>
                  </w:r>
                </w:p>
              </w:tc>
              <w:tc>
                <w:tcPr>
                  <w:tcW w:w="1684" w:type="pct"/>
                  <w:shd w:val="clear" w:color="auto" w:fill="auto"/>
                  <w:vAlign w:val="center"/>
                </w:tcPr>
                <w:p w14:paraId="2039A5FD">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经厂内污水处理站处理后回用于清洗工序和水喷淋塔，不外排</w:t>
                  </w:r>
                </w:p>
              </w:tc>
              <w:tc>
                <w:tcPr>
                  <w:tcW w:w="549" w:type="pct"/>
                  <w:shd w:val="clear" w:color="auto" w:fill="auto"/>
                  <w:vAlign w:val="center"/>
                </w:tcPr>
                <w:p w14:paraId="11DD99E0">
                  <w:pPr>
                    <w:pStyle w:val="53"/>
                    <w:widowControl/>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lang w:val="en-US" w:eastAsia="zh-CN"/>
                    </w:rPr>
                    <w:t>新建</w:t>
                  </w:r>
                </w:p>
              </w:tc>
            </w:tr>
            <w:tr w14:paraId="1D58BB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continue"/>
                  <w:vAlign w:val="center"/>
                </w:tcPr>
                <w:p w14:paraId="634F876B">
                  <w:pPr>
                    <w:jc w:val="center"/>
                    <w:rPr>
                      <w:rFonts w:hint="default" w:ascii="Times New Roman" w:hAnsi="Times New Roman" w:eastAsia="宋体" w:cs="Times New Roman"/>
                      <w:color w:val="auto"/>
                      <w:szCs w:val="21"/>
                    </w:rPr>
                  </w:pPr>
                </w:p>
              </w:tc>
              <w:tc>
                <w:tcPr>
                  <w:tcW w:w="731" w:type="pct"/>
                  <w:vMerge w:val="restart"/>
                  <w:vAlign w:val="center"/>
                </w:tcPr>
                <w:p w14:paraId="637ED5B7">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废气</w:t>
                  </w:r>
                </w:p>
              </w:tc>
              <w:tc>
                <w:tcPr>
                  <w:tcW w:w="714" w:type="pct"/>
                  <w:vAlign w:val="center"/>
                </w:tcPr>
                <w:p w14:paraId="098AF88C">
                  <w:pPr>
                    <w:jc w:val="center"/>
                    <w:rPr>
                      <w:rFonts w:hint="default" w:ascii="Times New Roman" w:hAnsi="Times New Roman" w:eastAsia="宋体" w:cs="Times New Roman"/>
                      <w:color w:val="FF0000"/>
                      <w:szCs w:val="21"/>
                      <w:lang w:val="en-US"/>
                    </w:rPr>
                  </w:pPr>
                  <w:r>
                    <w:rPr>
                      <w:rFonts w:hint="eastAsia" w:ascii="Times New Roman" w:hAnsi="Times New Roman" w:eastAsia="宋体" w:cs="Times New Roman"/>
                      <w:color w:val="FF0000"/>
                      <w:szCs w:val="21"/>
                      <w:lang w:val="en-US" w:eastAsia="zh-CN"/>
                    </w:rPr>
                    <w:t>清洗工序</w:t>
                  </w:r>
                  <w:r>
                    <w:rPr>
                      <w:rFonts w:hint="default" w:ascii="Times New Roman" w:hAnsi="Times New Roman" w:eastAsia="宋体" w:cs="Times New Roman"/>
                      <w:color w:val="FF0000"/>
                      <w:szCs w:val="21"/>
                      <w:lang w:val="en-US" w:eastAsia="zh-CN"/>
                    </w:rPr>
                    <w:t>废气</w:t>
                  </w:r>
                </w:p>
              </w:tc>
              <w:tc>
                <w:tcPr>
                  <w:tcW w:w="854" w:type="pct"/>
                  <w:vAlign w:val="center"/>
                </w:tcPr>
                <w:p w14:paraId="3EFA0AFD">
                  <w:pPr>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rPr>
                    <w:t>设计风量</w:t>
                  </w:r>
                  <w:r>
                    <w:rPr>
                      <w:rFonts w:hint="eastAsia" w:ascii="Times New Roman" w:hAnsi="Times New Roman" w:eastAsia="宋体" w:cs="Times New Roman"/>
                      <w:color w:val="FF0000"/>
                      <w:szCs w:val="21"/>
                      <w:lang w:val="en-US" w:eastAsia="zh-CN"/>
                    </w:rPr>
                    <w:t>2</w:t>
                  </w:r>
                  <w:r>
                    <w:rPr>
                      <w:rFonts w:hint="default" w:ascii="Times New Roman" w:hAnsi="Times New Roman" w:eastAsia="宋体" w:cs="Times New Roman"/>
                      <w:color w:val="FF0000"/>
                      <w:szCs w:val="21"/>
                    </w:rPr>
                    <w:t>000m</w:t>
                  </w:r>
                  <w:r>
                    <w:rPr>
                      <w:rFonts w:hint="default" w:ascii="Times New Roman" w:hAnsi="Times New Roman" w:eastAsia="宋体" w:cs="Times New Roman"/>
                      <w:color w:val="FF0000"/>
                      <w:szCs w:val="21"/>
                      <w:vertAlign w:val="superscript"/>
                      <w:lang w:val="en-US" w:eastAsia="zh-CN"/>
                    </w:rPr>
                    <w:t>3</w:t>
                  </w:r>
                  <w:r>
                    <w:rPr>
                      <w:rFonts w:hint="default" w:ascii="Times New Roman" w:hAnsi="Times New Roman" w:eastAsia="宋体" w:cs="Times New Roman"/>
                      <w:color w:val="FF0000"/>
                      <w:szCs w:val="21"/>
                      <w:lang w:val="en-US" w:eastAsia="zh-CN"/>
                    </w:rPr>
                    <w:t>/</w:t>
                  </w:r>
                  <w:r>
                    <w:rPr>
                      <w:rFonts w:hint="default" w:ascii="Times New Roman" w:hAnsi="Times New Roman" w:eastAsia="宋体" w:cs="Times New Roman"/>
                      <w:color w:val="FF0000"/>
                      <w:szCs w:val="21"/>
                    </w:rPr>
                    <w:t>h</w:t>
                  </w:r>
                </w:p>
              </w:tc>
              <w:tc>
                <w:tcPr>
                  <w:tcW w:w="1684" w:type="pct"/>
                  <w:vAlign w:val="center"/>
                </w:tcPr>
                <w:p w14:paraId="2869E39E">
                  <w:pPr>
                    <w:jc w:val="center"/>
                    <w:rPr>
                      <w:rFonts w:hint="default" w:ascii="Times New Roman" w:hAnsi="Times New Roman" w:eastAsia="宋体" w:cs="Times New Roman"/>
                      <w:color w:val="FF0000"/>
                      <w:szCs w:val="21"/>
                    </w:rPr>
                  </w:pPr>
                  <w:r>
                    <w:rPr>
                      <w:rFonts w:hint="default" w:ascii="Times New Roman" w:hAnsi="Times New Roman" w:eastAsia="宋体" w:cs="Times New Roman"/>
                      <w:color w:val="FF0000"/>
                      <w:szCs w:val="21"/>
                      <w:lang w:val="en-US" w:eastAsia="zh-CN"/>
                    </w:rPr>
                    <w:t>集气罩、负压收集</w:t>
                  </w:r>
                  <w:r>
                    <w:rPr>
                      <w:rFonts w:hint="default" w:ascii="Times New Roman" w:hAnsi="Times New Roman" w:eastAsia="宋体" w:cs="Times New Roman"/>
                      <w:color w:val="FF0000"/>
                      <w:szCs w:val="21"/>
                    </w:rPr>
                    <w:t>+</w:t>
                  </w:r>
                  <w:r>
                    <w:rPr>
                      <w:rFonts w:hint="default" w:ascii="Times New Roman" w:hAnsi="Times New Roman" w:eastAsia="宋体" w:cs="Times New Roman"/>
                      <w:color w:val="FF0000"/>
                      <w:szCs w:val="21"/>
                      <w:lang w:val="en-US" w:eastAsia="zh-CN"/>
                    </w:rPr>
                    <w:t>二级活性炭吸附</w:t>
                  </w:r>
                  <w:r>
                    <w:rPr>
                      <w:rFonts w:hint="default" w:ascii="Times New Roman" w:hAnsi="Times New Roman" w:eastAsia="宋体" w:cs="Times New Roman"/>
                      <w:color w:val="FF0000"/>
                      <w:szCs w:val="21"/>
                    </w:rPr>
                    <w:t>装置+</w:t>
                  </w:r>
                  <w:r>
                    <w:rPr>
                      <w:rFonts w:hint="default" w:ascii="Times New Roman" w:hAnsi="Times New Roman" w:eastAsia="宋体" w:cs="Times New Roman"/>
                      <w:color w:val="FF0000"/>
                      <w:szCs w:val="21"/>
                      <w:lang w:val="en-US" w:eastAsia="zh-CN"/>
                    </w:rPr>
                    <w:t>20</w:t>
                  </w:r>
                  <w:r>
                    <w:rPr>
                      <w:rFonts w:hint="default" w:ascii="Times New Roman" w:hAnsi="Times New Roman" w:eastAsia="宋体" w:cs="Times New Roman"/>
                      <w:color w:val="FF0000"/>
                      <w:szCs w:val="21"/>
                    </w:rPr>
                    <w:t>m高排气筒</w:t>
                  </w:r>
                  <w:r>
                    <w:rPr>
                      <w:rFonts w:hint="default" w:ascii="Times New Roman" w:hAnsi="Times New Roman" w:eastAsia="宋体" w:cs="Times New Roman"/>
                      <w:color w:val="FF0000"/>
                      <w:szCs w:val="21"/>
                      <w:lang w:val="en-US" w:eastAsia="zh-CN"/>
                    </w:rPr>
                    <w:t>DA001</w:t>
                  </w:r>
                  <w:r>
                    <w:rPr>
                      <w:rFonts w:hint="default" w:ascii="Times New Roman" w:hAnsi="Times New Roman" w:eastAsia="宋体" w:cs="Times New Roman"/>
                      <w:color w:val="FF0000"/>
                      <w:szCs w:val="21"/>
                    </w:rPr>
                    <w:t>排放</w:t>
                  </w:r>
                </w:p>
              </w:tc>
              <w:tc>
                <w:tcPr>
                  <w:tcW w:w="549" w:type="pct"/>
                  <w:vAlign w:val="center"/>
                </w:tcPr>
                <w:p w14:paraId="3832F8AB">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r w14:paraId="36866B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continue"/>
                  <w:vAlign w:val="center"/>
                </w:tcPr>
                <w:p w14:paraId="64C83C7C">
                  <w:pPr>
                    <w:jc w:val="center"/>
                    <w:rPr>
                      <w:rFonts w:hint="default" w:ascii="Times New Roman" w:hAnsi="Times New Roman" w:eastAsia="宋体" w:cs="Times New Roman"/>
                      <w:color w:val="auto"/>
                      <w:szCs w:val="21"/>
                    </w:rPr>
                  </w:pPr>
                </w:p>
              </w:tc>
              <w:tc>
                <w:tcPr>
                  <w:tcW w:w="731" w:type="pct"/>
                  <w:vMerge w:val="continue"/>
                  <w:vAlign w:val="center"/>
                </w:tcPr>
                <w:p w14:paraId="397ADDF1">
                  <w:pPr>
                    <w:jc w:val="center"/>
                    <w:rPr>
                      <w:rFonts w:hint="default" w:ascii="Times New Roman" w:hAnsi="Times New Roman" w:eastAsia="宋体" w:cs="Times New Roman"/>
                      <w:color w:val="auto"/>
                      <w:szCs w:val="21"/>
                      <w:lang w:val="en-US" w:eastAsia="zh-CN"/>
                    </w:rPr>
                  </w:pPr>
                </w:p>
              </w:tc>
              <w:tc>
                <w:tcPr>
                  <w:tcW w:w="714" w:type="pct"/>
                  <w:vAlign w:val="center"/>
                </w:tcPr>
                <w:p w14:paraId="4A752EE6">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油淬-回火</w:t>
                  </w:r>
                  <w:r>
                    <w:rPr>
                      <w:rFonts w:hint="default" w:ascii="Times New Roman" w:hAnsi="Times New Roman" w:eastAsia="宋体" w:cs="Times New Roman"/>
                      <w:color w:val="auto"/>
                      <w:szCs w:val="21"/>
                      <w:lang w:val="en-US" w:eastAsia="zh-CN"/>
                    </w:rPr>
                    <w:t>废气</w:t>
                  </w:r>
                </w:p>
              </w:tc>
              <w:tc>
                <w:tcPr>
                  <w:tcW w:w="854" w:type="pct"/>
                  <w:vAlign w:val="center"/>
                </w:tcPr>
                <w:p w14:paraId="3BA7024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设计风量</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000m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h</w:t>
                  </w:r>
                </w:p>
              </w:tc>
              <w:tc>
                <w:tcPr>
                  <w:tcW w:w="1684" w:type="pct"/>
                  <w:vAlign w:val="center"/>
                </w:tcPr>
                <w:p w14:paraId="3032C77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集气罩+三级静电油雾净化装置+20</w:t>
                  </w:r>
                  <w:r>
                    <w:rPr>
                      <w:rFonts w:hint="default" w:ascii="Times New Roman" w:hAnsi="Times New Roman" w:eastAsia="宋体" w:cs="Times New Roman"/>
                      <w:color w:val="auto"/>
                      <w:szCs w:val="21"/>
                    </w:rPr>
                    <w:t>m高排气筒</w:t>
                  </w:r>
                  <w:r>
                    <w:rPr>
                      <w:rFonts w:hint="default" w:ascii="Times New Roman" w:hAnsi="Times New Roman" w:eastAsia="宋体" w:cs="Times New Roman"/>
                      <w:color w:val="auto"/>
                      <w:szCs w:val="21"/>
                      <w:lang w:val="en-US" w:eastAsia="zh-CN"/>
                    </w:rPr>
                    <w:t>DA002</w:t>
                  </w:r>
                  <w:r>
                    <w:rPr>
                      <w:rFonts w:hint="default" w:ascii="Times New Roman" w:hAnsi="Times New Roman" w:eastAsia="宋体" w:cs="Times New Roman"/>
                      <w:color w:val="auto"/>
                      <w:szCs w:val="21"/>
                    </w:rPr>
                    <w:t>排放</w:t>
                  </w:r>
                </w:p>
              </w:tc>
              <w:tc>
                <w:tcPr>
                  <w:tcW w:w="549" w:type="pct"/>
                  <w:vAlign w:val="center"/>
                </w:tcPr>
                <w:p w14:paraId="45643FB3">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r w14:paraId="63C954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2" w:hRule="atLeast"/>
              </w:trPr>
              <w:tc>
                <w:tcPr>
                  <w:tcW w:w="464" w:type="pct"/>
                  <w:vMerge w:val="continue"/>
                  <w:vAlign w:val="center"/>
                </w:tcPr>
                <w:p w14:paraId="5A5A97DD">
                  <w:pPr>
                    <w:jc w:val="center"/>
                    <w:rPr>
                      <w:rFonts w:hint="default" w:ascii="Times New Roman" w:hAnsi="Times New Roman" w:eastAsia="宋体" w:cs="Times New Roman"/>
                      <w:color w:val="auto"/>
                      <w:szCs w:val="21"/>
                    </w:rPr>
                  </w:pPr>
                </w:p>
              </w:tc>
              <w:tc>
                <w:tcPr>
                  <w:tcW w:w="731" w:type="pct"/>
                  <w:vMerge w:val="continue"/>
                  <w:vAlign w:val="center"/>
                </w:tcPr>
                <w:p w14:paraId="6394F406">
                  <w:pPr>
                    <w:jc w:val="center"/>
                    <w:rPr>
                      <w:rFonts w:hint="default" w:ascii="Times New Roman" w:hAnsi="Times New Roman" w:eastAsia="宋体" w:cs="Times New Roman"/>
                      <w:color w:val="auto"/>
                      <w:szCs w:val="21"/>
                      <w:lang w:val="en-US" w:eastAsia="zh-CN"/>
                    </w:rPr>
                  </w:pPr>
                </w:p>
              </w:tc>
              <w:tc>
                <w:tcPr>
                  <w:tcW w:w="714" w:type="pct"/>
                  <w:vAlign w:val="center"/>
                </w:tcPr>
                <w:p w14:paraId="4133349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氮化工序恶臭气体</w:t>
                  </w:r>
                </w:p>
              </w:tc>
              <w:tc>
                <w:tcPr>
                  <w:tcW w:w="854" w:type="pct"/>
                  <w:vAlign w:val="center"/>
                </w:tcPr>
                <w:p w14:paraId="66327CB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设计风量 </w:t>
                  </w:r>
                  <w:r>
                    <w:rPr>
                      <w:rFonts w:hint="eastAsia" w:ascii="Times New Roman" w:hAnsi="Times New Roman" w:eastAsia="宋体" w:cs="Times New Roman"/>
                      <w:color w:val="auto"/>
                      <w:szCs w:val="21"/>
                      <w:lang w:val="en-US" w:eastAsia="zh-CN"/>
                    </w:rPr>
                    <w:t>15</w:t>
                  </w:r>
                  <w:r>
                    <w:rPr>
                      <w:rFonts w:hint="default" w:ascii="Times New Roman" w:hAnsi="Times New Roman" w:eastAsia="宋体" w:cs="Times New Roman"/>
                      <w:color w:val="auto"/>
                      <w:szCs w:val="21"/>
                    </w:rPr>
                    <w:t>00m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h</w:t>
                  </w:r>
                </w:p>
              </w:tc>
              <w:tc>
                <w:tcPr>
                  <w:tcW w:w="1684" w:type="pct"/>
                  <w:vAlign w:val="center"/>
                </w:tcPr>
                <w:p w14:paraId="4F4635E8">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集气罩+</w:t>
                  </w:r>
                  <w:r>
                    <w:rPr>
                      <w:rFonts w:hint="eastAsia" w:ascii="Times New Roman" w:hAnsi="Times New Roman" w:eastAsia="宋体" w:cs="Times New Roman"/>
                      <w:color w:val="auto"/>
                      <w:szCs w:val="21"/>
                      <w:lang w:val="en-US" w:eastAsia="zh-CN"/>
                    </w:rPr>
                    <w:t>水喷淋塔</w:t>
                  </w:r>
                  <w:r>
                    <w:rPr>
                      <w:rFonts w:hint="default" w:ascii="Times New Roman" w:hAnsi="Times New Roman" w:eastAsia="宋体" w:cs="Times New Roman"/>
                      <w:color w:val="auto"/>
                      <w:szCs w:val="21"/>
                      <w:lang w:val="en-US" w:eastAsia="zh-CN"/>
                    </w:rPr>
                    <w:t>+20</w:t>
                  </w:r>
                  <w:r>
                    <w:rPr>
                      <w:rFonts w:hint="default" w:ascii="Times New Roman" w:hAnsi="Times New Roman" w:eastAsia="宋体" w:cs="Times New Roman"/>
                      <w:color w:val="auto"/>
                      <w:szCs w:val="21"/>
                    </w:rPr>
                    <w:t>m高排气筒</w:t>
                  </w:r>
                  <w:r>
                    <w:rPr>
                      <w:rFonts w:hint="default" w:ascii="Times New Roman" w:hAnsi="Times New Roman" w:eastAsia="宋体" w:cs="Times New Roman"/>
                      <w:color w:val="auto"/>
                      <w:szCs w:val="21"/>
                      <w:lang w:val="en-US" w:eastAsia="zh-CN"/>
                    </w:rPr>
                    <w:t>DA00</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rPr>
                    <w:t>排放</w:t>
                  </w:r>
                </w:p>
              </w:tc>
              <w:tc>
                <w:tcPr>
                  <w:tcW w:w="549" w:type="pct"/>
                  <w:vAlign w:val="center"/>
                </w:tcPr>
                <w:p w14:paraId="64A26886">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r w14:paraId="41570D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continue"/>
                  <w:vAlign w:val="center"/>
                </w:tcPr>
                <w:p w14:paraId="0E4F485E">
                  <w:pPr>
                    <w:jc w:val="center"/>
                    <w:rPr>
                      <w:rFonts w:hint="default" w:ascii="Times New Roman" w:hAnsi="Times New Roman" w:eastAsia="宋体" w:cs="Times New Roman"/>
                      <w:color w:val="auto"/>
                      <w:szCs w:val="21"/>
                    </w:rPr>
                  </w:pPr>
                </w:p>
              </w:tc>
              <w:tc>
                <w:tcPr>
                  <w:tcW w:w="731" w:type="pct"/>
                  <w:vMerge w:val="continue"/>
                  <w:vAlign w:val="center"/>
                </w:tcPr>
                <w:p w14:paraId="3553AB42">
                  <w:pPr>
                    <w:jc w:val="center"/>
                    <w:rPr>
                      <w:rFonts w:hint="default" w:ascii="Times New Roman" w:hAnsi="Times New Roman" w:eastAsia="宋体" w:cs="Times New Roman"/>
                      <w:color w:val="auto"/>
                      <w:szCs w:val="21"/>
                      <w:lang w:val="en-US" w:eastAsia="zh-CN"/>
                    </w:rPr>
                  </w:pPr>
                </w:p>
              </w:tc>
              <w:tc>
                <w:tcPr>
                  <w:tcW w:w="714" w:type="pct"/>
                  <w:vAlign w:val="center"/>
                </w:tcPr>
                <w:p w14:paraId="51B16B6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喷砂废气</w:t>
                  </w:r>
                </w:p>
              </w:tc>
              <w:tc>
                <w:tcPr>
                  <w:tcW w:w="854" w:type="pct"/>
                  <w:vAlign w:val="center"/>
                </w:tcPr>
                <w:p w14:paraId="0C9EF99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设计风量 </w:t>
                  </w:r>
                  <w:r>
                    <w:rPr>
                      <w:rFonts w:hint="eastAsia"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rPr>
                    <w:t>00m</w:t>
                  </w:r>
                  <w:r>
                    <w:rPr>
                      <w:rFonts w:hint="default" w:ascii="Times New Roman" w:hAnsi="Times New Roman" w:eastAsia="宋体" w:cs="Times New Roman"/>
                      <w:color w:val="auto"/>
                      <w:szCs w:val="21"/>
                      <w:vertAlign w:val="superscript"/>
                      <w:lang w:val="en-US" w:eastAsia="zh-CN"/>
                    </w:rPr>
                    <w:t>3</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rPr>
                    <w:t>h</w:t>
                  </w:r>
                </w:p>
              </w:tc>
              <w:tc>
                <w:tcPr>
                  <w:tcW w:w="1684" w:type="pct"/>
                  <w:vAlign w:val="center"/>
                </w:tcPr>
                <w:p w14:paraId="682185A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设备自带除尘设施（布袋除尘器）处理后通过</w:t>
                  </w:r>
                  <w:r>
                    <w:rPr>
                      <w:rFonts w:hint="default" w:ascii="Times New Roman" w:hAnsi="Times New Roman" w:eastAsia="宋体" w:cs="Times New Roman"/>
                      <w:color w:val="auto"/>
                      <w:szCs w:val="21"/>
                      <w:lang w:val="en-US" w:eastAsia="zh-CN"/>
                    </w:rPr>
                    <w:t>20</w:t>
                  </w:r>
                  <w:r>
                    <w:rPr>
                      <w:rFonts w:hint="default" w:ascii="Times New Roman" w:hAnsi="Times New Roman" w:eastAsia="宋体" w:cs="Times New Roman"/>
                      <w:color w:val="auto"/>
                      <w:szCs w:val="21"/>
                    </w:rPr>
                    <w:t>m高排气筒</w:t>
                  </w:r>
                  <w:r>
                    <w:rPr>
                      <w:rFonts w:hint="default" w:ascii="Times New Roman" w:hAnsi="Times New Roman" w:eastAsia="宋体" w:cs="Times New Roman"/>
                      <w:color w:val="auto"/>
                      <w:szCs w:val="21"/>
                      <w:lang w:val="en-US" w:eastAsia="zh-CN"/>
                    </w:rPr>
                    <w:t>DA00</w:t>
                  </w: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排放</w:t>
                  </w:r>
                </w:p>
              </w:tc>
              <w:tc>
                <w:tcPr>
                  <w:tcW w:w="549" w:type="pct"/>
                  <w:vAlign w:val="center"/>
                </w:tcPr>
                <w:p w14:paraId="39AC0834">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新建</w:t>
                  </w:r>
                </w:p>
              </w:tc>
            </w:tr>
            <w:tr w14:paraId="55933F7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continue"/>
                  <w:vAlign w:val="center"/>
                </w:tcPr>
                <w:p w14:paraId="1F711330">
                  <w:pPr>
                    <w:jc w:val="center"/>
                    <w:rPr>
                      <w:rFonts w:hint="default" w:ascii="Times New Roman" w:hAnsi="Times New Roman" w:eastAsia="宋体" w:cs="Times New Roman"/>
                      <w:color w:val="auto"/>
                      <w:szCs w:val="21"/>
                    </w:rPr>
                  </w:pPr>
                </w:p>
              </w:tc>
              <w:tc>
                <w:tcPr>
                  <w:tcW w:w="731" w:type="pct"/>
                  <w:vMerge w:val="continue"/>
                  <w:vAlign w:val="center"/>
                </w:tcPr>
                <w:p w14:paraId="22DE4C18">
                  <w:pPr>
                    <w:jc w:val="center"/>
                    <w:rPr>
                      <w:rFonts w:hint="default" w:ascii="Times New Roman" w:hAnsi="Times New Roman" w:eastAsia="宋体" w:cs="Times New Roman"/>
                      <w:color w:val="auto"/>
                      <w:szCs w:val="21"/>
                      <w:lang w:val="en-US" w:eastAsia="zh-CN"/>
                    </w:rPr>
                  </w:pPr>
                </w:p>
              </w:tc>
              <w:tc>
                <w:tcPr>
                  <w:tcW w:w="714" w:type="pct"/>
                  <w:vAlign w:val="center"/>
                </w:tcPr>
                <w:p w14:paraId="3D07B978">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危废库废气</w:t>
                  </w:r>
                </w:p>
              </w:tc>
              <w:tc>
                <w:tcPr>
                  <w:tcW w:w="854" w:type="pct"/>
                  <w:vAlign w:val="center"/>
                </w:tcPr>
                <w:p w14:paraId="3EB6FB25">
                  <w:pPr>
                    <w:jc w:val="center"/>
                    <w:rPr>
                      <w:rFonts w:hint="eastAsia"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w:t>
                  </w:r>
                </w:p>
              </w:tc>
              <w:tc>
                <w:tcPr>
                  <w:tcW w:w="1684" w:type="pct"/>
                  <w:vAlign w:val="center"/>
                </w:tcPr>
                <w:p w14:paraId="7183B246">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采用密闭桶或吨袋收集暂存危废</w:t>
                  </w:r>
                </w:p>
              </w:tc>
              <w:tc>
                <w:tcPr>
                  <w:tcW w:w="549" w:type="pct"/>
                  <w:vAlign w:val="center"/>
                </w:tcPr>
                <w:p w14:paraId="7D48C01D">
                  <w:pPr>
                    <w:jc w:val="center"/>
                    <w:rPr>
                      <w:rFonts w:hint="default" w:ascii="Times New Roman" w:hAnsi="Times New Roman" w:eastAsia="宋体" w:cs="Times New Roman"/>
                      <w:color w:val="FF0000"/>
                      <w:szCs w:val="21"/>
                      <w:lang w:val="en-US" w:eastAsia="zh-CN"/>
                    </w:rPr>
                  </w:pPr>
                  <w:r>
                    <w:rPr>
                      <w:rFonts w:hint="eastAsia" w:ascii="Times New Roman" w:hAnsi="Times New Roman" w:eastAsia="宋体" w:cs="Times New Roman"/>
                      <w:color w:val="FF0000"/>
                      <w:szCs w:val="21"/>
                      <w:lang w:val="en-US" w:eastAsia="zh-CN"/>
                    </w:rPr>
                    <w:t>新建</w:t>
                  </w:r>
                </w:p>
              </w:tc>
            </w:tr>
            <w:tr w14:paraId="2A8585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continue"/>
                  <w:vAlign w:val="center"/>
                </w:tcPr>
                <w:p w14:paraId="54538223">
                  <w:pPr>
                    <w:jc w:val="center"/>
                    <w:rPr>
                      <w:rFonts w:hint="default" w:ascii="Times New Roman" w:hAnsi="Times New Roman" w:eastAsia="宋体" w:cs="Times New Roman"/>
                      <w:color w:val="auto"/>
                      <w:szCs w:val="21"/>
                    </w:rPr>
                  </w:pPr>
                </w:p>
              </w:tc>
              <w:tc>
                <w:tcPr>
                  <w:tcW w:w="1446" w:type="pct"/>
                  <w:gridSpan w:val="2"/>
                  <w:vAlign w:val="center"/>
                </w:tcPr>
                <w:p w14:paraId="3B34C99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噪声</w:t>
                  </w:r>
                </w:p>
              </w:tc>
              <w:tc>
                <w:tcPr>
                  <w:tcW w:w="854" w:type="pct"/>
                  <w:vAlign w:val="center"/>
                </w:tcPr>
                <w:p w14:paraId="19F19375">
                  <w:pPr>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降噪25dB</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A</w:t>
                  </w:r>
                  <w:r>
                    <w:rPr>
                      <w:rFonts w:hint="default" w:ascii="Times New Roman" w:hAnsi="Times New Roman" w:eastAsia="宋体" w:cs="Times New Roman"/>
                      <w:color w:val="auto"/>
                      <w:szCs w:val="21"/>
                      <w:lang w:eastAsia="zh-CN"/>
                    </w:rPr>
                    <w:t>）</w:t>
                  </w:r>
                </w:p>
              </w:tc>
              <w:tc>
                <w:tcPr>
                  <w:tcW w:w="1684" w:type="pct"/>
                  <w:vAlign w:val="center"/>
                </w:tcPr>
                <w:p w14:paraId="41C06A7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选取厂房隔声、距离衰减</w:t>
                  </w:r>
                </w:p>
              </w:tc>
              <w:tc>
                <w:tcPr>
                  <w:tcW w:w="549" w:type="pct"/>
                  <w:vAlign w:val="center"/>
                </w:tcPr>
                <w:p w14:paraId="06A6028B">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厂界达标</w:t>
                  </w:r>
                </w:p>
              </w:tc>
            </w:tr>
            <w:tr w14:paraId="1AB0BEB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continue"/>
                  <w:vAlign w:val="center"/>
                </w:tcPr>
                <w:p w14:paraId="0EC2D599">
                  <w:pPr>
                    <w:jc w:val="center"/>
                    <w:rPr>
                      <w:rFonts w:hint="default" w:ascii="Times New Roman" w:hAnsi="Times New Roman" w:eastAsia="宋体" w:cs="Times New Roman"/>
                      <w:color w:val="auto"/>
                      <w:szCs w:val="21"/>
                    </w:rPr>
                  </w:pPr>
                </w:p>
              </w:tc>
              <w:tc>
                <w:tcPr>
                  <w:tcW w:w="731" w:type="pct"/>
                  <w:vMerge w:val="restart"/>
                  <w:vAlign w:val="center"/>
                </w:tcPr>
                <w:p w14:paraId="67BA9BC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714" w:type="pct"/>
                  <w:vAlign w:val="center"/>
                </w:tcPr>
                <w:p w14:paraId="4903A555">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一般固废</w:t>
                  </w:r>
                  <w:r>
                    <w:rPr>
                      <w:rFonts w:hint="eastAsia" w:ascii="Times New Roman" w:hAnsi="Times New Roman" w:eastAsia="宋体" w:cs="Times New Roman"/>
                      <w:color w:val="auto"/>
                      <w:szCs w:val="21"/>
                      <w:lang w:val="en-US" w:eastAsia="zh-CN"/>
                    </w:rPr>
                    <w:t>暂存区</w:t>
                  </w:r>
                </w:p>
              </w:tc>
              <w:tc>
                <w:tcPr>
                  <w:tcW w:w="854" w:type="pct"/>
                  <w:vAlign w:val="center"/>
                </w:tcPr>
                <w:p w14:paraId="3136D0A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20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4" w:type="pct"/>
                  <w:vAlign w:val="center"/>
                </w:tcPr>
                <w:p w14:paraId="46E9066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位于车间</w:t>
                  </w:r>
                  <w:r>
                    <w:rPr>
                      <w:rFonts w:hint="eastAsia" w:ascii="Times New Roman" w:hAnsi="Times New Roman" w:eastAsia="宋体" w:cs="Times New Roman"/>
                      <w:color w:val="auto"/>
                      <w:szCs w:val="21"/>
                      <w:lang w:val="en-US" w:eastAsia="zh-CN"/>
                    </w:rPr>
                    <w:t>一层</w:t>
                  </w:r>
                  <w:r>
                    <w:rPr>
                      <w:rFonts w:hint="default" w:ascii="Times New Roman" w:hAnsi="Times New Roman" w:eastAsia="宋体" w:cs="Times New Roman"/>
                      <w:color w:val="auto"/>
                      <w:szCs w:val="21"/>
                      <w:lang w:val="en-US" w:eastAsia="zh-CN"/>
                    </w:rPr>
                    <w:t>东</w:t>
                  </w:r>
                  <w:r>
                    <w:rPr>
                      <w:rFonts w:hint="eastAsia" w:ascii="Times New Roman" w:hAnsi="Times New Roman" w:eastAsia="宋体" w:cs="Times New Roman"/>
                      <w:color w:val="auto"/>
                      <w:szCs w:val="21"/>
                      <w:lang w:val="en-US" w:eastAsia="zh-CN"/>
                    </w:rPr>
                    <w:t>南</w:t>
                  </w:r>
                  <w:r>
                    <w:rPr>
                      <w:rFonts w:hint="default" w:ascii="Times New Roman" w:hAnsi="Times New Roman" w:eastAsia="宋体" w:cs="Times New Roman"/>
                      <w:color w:val="auto"/>
                      <w:szCs w:val="21"/>
                    </w:rPr>
                    <w:t>侧，堆放一般固废</w:t>
                  </w:r>
                </w:p>
              </w:tc>
              <w:tc>
                <w:tcPr>
                  <w:tcW w:w="549" w:type="pct"/>
                  <w:vAlign w:val="center"/>
                </w:tcPr>
                <w:p w14:paraId="6E71136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新建</w:t>
                  </w:r>
                </w:p>
              </w:tc>
            </w:tr>
            <w:tr w14:paraId="339EF1E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64" w:type="pct"/>
                  <w:vMerge w:val="continue"/>
                  <w:vAlign w:val="center"/>
                </w:tcPr>
                <w:p w14:paraId="348200B7">
                  <w:pPr>
                    <w:jc w:val="center"/>
                    <w:rPr>
                      <w:rFonts w:hint="default" w:ascii="Times New Roman" w:hAnsi="Times New Roman" w:eastAsia="宋体" w:cs="Times New Roman"/>
                      <w:color w:val="auto"/>
                      <w:szCs w:val="21"/>
                    </w:rPr>
                  </w:pPr>
                </w:p>
              </w:tc>
              <w:tc>
                <w:tcPr>
                  <w:tcW w:w="731" w:type="pct"/>
                  <w:vMerge w:val="continue"/>
                  <w:vAlign w:val="center"/>
                </w:tcPr>
                <w:p w14:paraId="7066022D">
                  <w:pPr>
                    <w:jc w:val="center"/>
                    <w:rPr>
                      <w:rFonts w:hint="default" w:ascii="Times New Roman" w:hAnsi="Times New Roman" w:eastAsia="宋体" w:cs="Times New Roman"/>
                      <w:color w:val="auto"/>
                      <w:szCs w:val="21"/>
                    </w:rPr>
                  </w:pPr>
                </w:p>
              </w:tc>
              <w:tc>
                <w:tcPr>
                  <w:tcW w:w="714" w:type="pct"/>
                  <w:vAlign w:val="center"/>
                </w:tcPr>
                <w:p w14:paraId="1293D92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危废</w:t>
                  </w:r>
                  <w:r>
                    <w:rPr>
                      <w:rFonts w:hint="default" w:ascii="Times New Roman" w:hAnsi="Times New Roman" w:eastAsia="宋体" w:cs="Times New Roman"/>
                      <w:color w:val="auto"/>
                      <w:szCs w:val="21"/>
                      <w:lang w:val="en-US" w:eastAsia="zh-CN"/>
                    </w:rPr>
                    <w:t>暂存间</w:t>
                  </w:r>
                </w:p>
              </w:tc>
              <w:tc>
                <w:tcPr>
                  <w:tcW w:w="854" w:type="pct"/>
                  <w:vAlign w:val="center"/>
                </w:tcPr>
                <w:p w14:paraId="19A15DE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rPr>
                    <w:t>m</w:t>
                  </w:r>
                  <w:r>
                    <w:rPr>
                      <w:rFonts w:hint="default" w:ascii="Times New Roman" w:hAnsi="Times New Roman" w:eastAsia="宋体" w:cs="Times New Roman"/>
                      <w:color w:val="auto"/>
                      <w:szCs w:val="21"/>
                      <w:vertAlign w:val="superscript"/>
                    </w:rPr>
                    <w:t>2</w:t>
                  </w:r>
                </w:p>
              </w:tc>
              <w:tc>
                <w:tcPr>
                  <w:tcW w:w="1684" w:type="pct"/>
                  <w:vAlign w:val="center"/>
                </w:tcPr>
                <w:p w14:paraId="6FE0654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位于车间</w:t>
                  </w:r>
                  <w:r>
                    <w:rPr>
                      <w:rFonts w:hint="eastAsia" w:ascii="Times New Roman" w:hAnsi="Times New Roman" w:eastAsia="宋体" w:cs="Times New Roman"/>
                      <w:color w:val="auto"/>
                      <w:szCs w:val="21"/>
                      <w:lang w:val="en-US" w:eastAsia="zh-CN"/>
                    </w:rPr>
                    <w:t>一层</w:t>
                  </w:r>
                  <w:r>
                    <w:rPr>
                      <w:rFonts w:hint="default" w:ascii="Times New Roman" w:hAnsi="Times New Roman" w:eastAsia="宋体" w:cs="Times New Roman"/>
                      <w:color w:val="auto"/>
                      <w:szCs w:val="21"/>
                      <w:lang w:val="en-US" w:eastAsia="zh-CN"/>
                    </w:rPr>
                    <w:t>东</w:t>
                  </w:r>
                  <w:r>
                    <w:rPr>
                      <w:rFonts w:hint="eastAsia" w:ascii="Times New Roman" w:hAnsi="Times New Roman" w:eastAsia="宋体" w:cs="Times New Roman"/>
                      <w:color w:val="auto"/>
                      <w:szCs w:val="21"/>
                      <w:lang w:val="en-US" w:eastAsia="zh-CN"/>
                    </w:rPr>
                    <w:t>南</w:t>
                  </w:r>
                  <w:r>
                    <w:rPr>
                      <w:rFonts w:hint="default" w:ascii="Times New Roman" w:hAnsi="Times New Roman" w:eastAsia="宋体" w:cs="Times New Roman"/>
                      <w:color w:val="auto"/>
                      <w:szCs w:val="21"/>
                    </w:rPr>
                    <w:t>侧，存放危险废物</w:t>
                  </w:r>
                </w:p>
              </w:tc>
              <w:tc>
                <w:tcPr>
                  <w:tcW w:w="549" w:type="pct"/>
                  <w:vAlign w:val="center"/>
                </w:tcPr>
                <w:p w14:paraId="705DCBA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新建</w:t>
                  </w:r>
                </w:p>
              </w:tc>
            </w:tr>
          </w:tbl>
          <w:p w14:paraId="3BA4789D">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依托可行性分析：</w:t>
            </w:r>
          </w:p>
          <w:p w14:paraId="2298087F">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本项目</w:t>
            </w:r>
            <w:r>
              <w:rPr>
                <w:rFonts w:hint="eastAsia" w:ascii="Times New Roman" w:hAnsi="Times New Roman" w:eastAsia="宋体" w:cs="Times New Roman"/>
                <w:color w:val="auto"/>
                <w:sz w:val="24"/>
                <w:lang w:val="en-US" w:eastAsia="zh-CN"/>
              </w:rPr>
              <w:t>购置位于</w:t>
            </w:r>
            <w:r>
              <w:rPr>
                <w:rFonts w:hint="default" w:ascii="Times New Roman" w:hAnsi="Times New Roman" w:eastAsia="宋体" w:cs="Times New Roman"/>
                <w:bCs/>
                <w:color w:val="auto"/>
                <w:sz w:val="24"/>
                <w:szCs w:val="24"/>
              </w:rPr>
              <w:t>华星科创产业园区</w:t>
            </w:r>
            <w:r>
              <w:rPr>
                <w:rFonts w:hint="eastAsia" w:ascii="Times New Roman" w:hAnsi="Times New Roman" w:eastAsia="宋体" w:cs="Times New Roman"/>
                <w:bCs/>
                <w:color w:val="auto"/>
                <w:sz w:val="24"/>
                <w:szCs w:val="24"/>
                <w:lang w:val="en-US" w:eastAsia="zh-CN"/>
              </w:rPr>
              <w:t>的厂房一层（3/4区域），建筑面积约1439.97平方米，另租用同一栋厂房二层（3/4区域）、三层（3/4区域），建筑面积共计约3014.93平方米</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可满足本项目生产所需；</w:t>
            </w:r>
            <w:r>
              <w:rPr>
                <w:rFonts w:hint="default" w:ascii="Times New Roman" w:hAnsi="Times New Roman" w:eastAsia="宋体" w:cs="Times New Roman"/>
                <w:bCs/>
                <w:color w:val="auto"/>
                <w:sz w:val="24"/>
                <w:szCs w:val="24"/>
              </w:rPr>
              <w:t>华星科创产业园区</w:t>
            </w:r>
            <w:r>
              <w:rPr>
                <w:rFonts w:hint="default" w:ascii="Times New Roman" w:hAnsi="Times New Roman" w:eastAsia="宋体" w:cs="Times New Roman"/>
                <w:color w:val="auto"/>
                <w:sz w:val="24"/>
                <w:lang w:eastAsia="zh-CN"/>
              </w:rPr>
              <w:t>内已实施雨污分流，已建设</w:t>
            </w:r>
            <w:r>
              <w:rPr>
                <w:rFonts w:hint="eastAsia" w:ascii="Times New Roman" w:hAnsi="Times New Roman" w:eastAsia="宋体" w:cs="Times New Roman"/>
                <w:color w:val="auto"/>
                <w:sz w:val="24"/>
                <w:lang w:val="en-US" w:eastAsia="zh-CN"/>
              </w:rPr>
              <w:t>化粪池、</w:t>
            </w:r>
            <w:r>
              <w:rPr>
                <w:rFonts w:hint="default" w:ascii="Times New Roman" w:hAnsi="Times New Roman" w:eastAsia="宋体" w:cs="Times New Roman"/>
                <w:color w:val="auto"/>
                <w:sz w:val="24"/>
                <w:lang w:eastAsia="zh-CN"/>
              </w:rPr>
              <w:t>污水管网及排口、雨水管网及排口、供电线路及供水管网</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雨水排口已设置雨水截止阀</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园区已建300m</w:t>
            </w:r>
            <w:r>
              <w:rPr>
                <w:rFonts w:hint="eastAsia" w:ascii="Times New Roman" w:hAnsi="Times New Roman" w:eastAsia="宋体" w:cs="Times New Roman"/>
                <w:color w:val="auto"/>
                <w:sz w:val="24"/>
                <w:vertAlign w:val="superscript"/>
                <w:lang w:val="en-US" w:eastAsia="zh-CN"/>
              </w:rPr>
              <w:t>3</w:t>
            </w:r>
            <w:r>
              <w:rPr>
                <w:rFonts w:hint="eastAsia" w:ascii="Times New Roman" w:hAnsi="Times New Roman" w:eastAsia="宋体" w:cs="Times New Roman"/>
                <w:color w:val="auto"/>
                <w:sz w:val="24"/>
                <w:lang w:val="en-US" w:eastAsia="zh-CN"/>
              </w:rPr>
              <w:t>事故应急池</w:t>
            </w:r>
            <w:r>
              <w:rPr>
                <w:rFonts w:hint="default" w:ascii="Times New Roman" w:hAnsi="Times New Roman" w:eastAsia="宋体" w:cs="Times New Roman"/>
                <w:color w:val="auto"/>
                <w:sz w:val="24"/>
                <w:lang w:eastAsia="zh-CN"/>
              </w:rPr>
              <w:t>。供水由市政给水管网提供，依托</w:t>
            </w:r>
            <w:r>
              <w:rPr>
                <w:rFonts w:hint="default" w:ascii="Times New Roman" w:hAnsi="Times New Roman" w:eastAsia="宋体" w:cs="Times New Roman"/>
                <w:bCs/>
                <w:color w:val="auto"/>
                <w:sz w:val="24"/>
                <w:szCs w:val="24"/>
              </w:rPr>
              <w:t>园区</w:t>
            </w:r>
            <w:r>
              <w:rPr>
                <w:rFonts w:hint="default" w:ascii="Times New Roman" w:hAnsi="Times New Roman" w:eastAsia="宋体" w:cs="Times New Roman"/>
                <w:color w:val="auto"/>
                <w:sz w:val="24"/>
                <w:lang w:eastAsia="zh-CN"/>
              </w:rPr>
              <w:t>已建管网；排水依托</w:t>
            </w:r>
            <w:r>
              <w:rPr>
                <w:rFonts w:hint="default" w:ascii="Times New Roman" w:hAnsi="Times New Roman" w:eastAsia="宋体" w:cs="Times New Roman"/>
                <w:bCs/>
                <w:color w:val="auto"/>
                <w:sz w:val="24"/>
                <w:szCs w:val="24"/>
              </w:rPr>
              <w:t>园区</w:t>
            </w:r>
            <w:r>
              <w:rPr>
                <w:rFonts w:hint="default" w:ascii="Times New Roman" w:hAnsi="Times New Roman" w:eastAsia="宋体" w:cs="Times New Roman"/>
                <w:color w:val="auto"/>
                <w:sz w:val="24"/>
                <w:lang w:eastAsia="zh-CN"/>
              </w:rPr>
              <w:t>现有雨污管网，供电依托</w:t>
            </w:r>
            <w:r>
              <w:rPr>
                <w:rFonts w:hint="default" w:ascii="Times New Roman" w:hAnsi="Times New Roman" w:eastAsia="宋体" w:cs="Times New Roman"/>
                <w:bCs/>
                <w:color w:val="auto"/>
                <w:sz w:val="24"/>
                <w:szCs w:val="24"/>
              </w:rPr>
              <w:t>园区</w:t>
            </w:r>
            <w:r>
              <w:rPr>
                <w:rFonts w:hint="default" w:ascii="Times New Roman" w:hAnsi="Times New Roman" w:eastAsia="宋体" w:cs="Times New Roman"/>
                <w:color w:val="auto"/>
                <w:sz w:val="24"/>
                <w:lang w:eastAsia="zh-CN"/>
              </w:rPr>
              <w:t>供电管网，满足本项目使用需求。</w:t>
            </w:r>
          </w:p>
          <w:p w14:paraId="496B3DD6">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公用工程说明：</w:t>
            </w:r>
          </w:p>
          <w:p w14:paraId="0DF7F829">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（1）给</w:t>
            </w:r>
            <w:r>
              <w:rPr>
                <w:rFonts w:hint="default" w:ascii="Times New Roman" w:hAnsi="Times New Roman" w:eastAsia="宋体" w:cs="Times New Roman"/>
                <w:b/>
                <w:color w:val="auto"/>
                <w:sz w:val="24"/>
                <w:szCs w:val="24"/>
                <w:lang w:val="en-US" w:eastAsia="zh-CN"/>
              </w:rPr>
              <w:t>排</w:t>
            </w:r>
            <w:r>
              <w:rPr>
                <w:rFonts w:hint="default" w:ascii="Times New Roman" w:hAnsi="Times New Roman" w:eastAsia="宋体" w:cs="Times New Roman"/>
                <w:b/>
                <w:color w:val="auto"/>
                <w:sz w:val="24"/>
                <w:szCs w:val="24"/>
              </w:rPr>
              <w:t>水</w:t>
            </w:r>
          </w:p>
          <w:p w14:paraId="6024BEEB">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生活用水：</w:t>
            </w:r>
            <w:r>
              <w:rPr>
                <w:rFonts w:hint="default" w:ascii="Times New Roman" w:hAnsi="Times New Roman" w:eastAsia="宋体" w:cs="Times New Roman"/>
                <w:bCs/>
                <w:color w:val="auto"/>
                <w:sz w:val="24"/>
                <w:szCs w:val="24"/>
              </w:rPr>
              <w:t>本项目员工定员为</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rPr>
              <w:t>0人，年工作日约300天，办公生活用水量按照80L/人·d计算，则本项目生活用水量为4</w:t>
            </w:r>
            <w:r>
              <w:rPr>
                <w:rFonts w:hint="default" w:ascii="Times New Roman" w:hAnsi="Times New Roman" w:eastAsia="宋体" w:cs="Times New Roman"/>
                <w:bCs/>
                <w:color w:val="auto"/>
                <w:sz w:val="24"/>
                <w:szCs w:val="24"/>
                <w:lang w:val="en-US" w:eastAsia="zh-CN"/>
              </w:rPr>
              <w:t>8</w:t>
            </w:r>
            <w:r>
              <w:rPr>
                <w:rFonts w:hint="default" w:ascii="Times New Roman" w:hAnsi="Times New Roman" w:eastAsia="宋体" w:cs="Times New Roman"/>
                <w:bCs/>
                <w:color w:val="auto"/>
                <w:sz w:val="24"/>
                <w:szCs w:val="24"/>
              </w:rPr>
              <w:t>0t/a。生活污水量按照用水量的80%计，污水产生量约</w:t>
            </w:r>
            <w:r>
              <w:rPr>
                <w:rFonts w:hint="default" w:ascii="Times New Roman" w:hAnsi="Times New Roman" w:eastAsia="宋体" w:cs="Times New Roman"/>
                <w:bCs/>
                <w:color w:val="auto"/>
                <w:sz w:val="24"/>
                <w:szCs w:val="24"/>
                <w:lang w:val="en-US" w:eastAsia="zh-CN"/>
              </w:rPr>
              <w:t>384</w:t>
            </w:r>
            <w:r>
              <w:rPr>
                <w:rFonts w:hint="default" w:ascii="Times New Roman" w:hAnsi="Times New Roman" w:eastAsia="宋体" w:cs="Times New Roman"/>
                <w:bCs/>
                <w:color w:val="auto"/>
                <w:sz w:val="24"/>
                <w:szCs w:val="24"/>
              </w:rPr>
              <w:t>t/a，</w:t>
            </w:r>
            <w:r>
              <w:rPr>
                <w:rFonts w:hint="default" w:ascii="Times New Roman" w:hAnsi="Times New Roman" w:eastAsia="宋体" w:cs="Times New Roman"/>
                <w:bCs/>
                <w:color w:val="auto"/>
                <w:sz w:val="24"/>
                <w:szCs w:val="24"/>
                <w:lang w:val="en-US" w:eastAsia="zh-CN"/>
              </w:rPr>
              <w:t>经化粪池预处理后接管至</w:t>
            </w:r>
            <w:r>
              <w:rPr>
                <w:rFonts w:hint="default" w:ascii="Times New Roman" w:hAnsi="Times New Roman" w:eastAsia="宋体" w:cs="Times New Roman"/>
                <w:color w:val="auto"/>
                <w:sz w:val="24"/>
              </w:rPr>
              <w:t>常州市金坛第二污水处理厂集中处理，处理后尾水排入尧塘河。</w:t>
            </w:r>
          </w:p>
          <w:p w14:paraId="744908E0">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eastAsia" w:eastAsia="宋体" w:cs="Times New Roman"/>
                <w:b/>
                <w:bCs/>
                <w:color w:val="auto"/>
                <w:sz w:val="24"/>
              </w:rPr>
            </w:pPr>
            <w:r>
              <w:rPr>
                <w:rFonts w:hint="eastAsia" w:eastAsia="宋体" w:cs="Times New Roman"/>
                <w:b/>
                <w:bCs/>
                <w:color w:val="auto"/>
                <w:sz w:val="24"/>
              </w:rPr>
              <w:t>生产设备循环冷却水：</w:t>
            </w:r>
          </w:p>
          <w:p w14:paraId="2E1674D4">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eastAsia="宋体" w:cs="Times New Roman"/>
                <w:b/>
                <w:bCs/>
                <w:color w:val="auto"/>
                <w:sz w:val="24"/>
                <w:lang w:val="en-US" w:eastAsia="zh-CN"/>
              </w:rPr>
            </w:pPr>
            <w:r>
              <w:rPr>
                <w:rFonts w:hint="eastAsia" w:eastAsia="宋体" w:cs="Times New Roman"/>
                <w:b/>
                <w:bCs/>
                <w:color w:val="auto"/>
                <w:sz w:val="24"/>
                <w:lang w:val="en-US" w:eastAsia="zh-CN"/>
              </w:rPr>
              <w:t>①冷水机循环用水</w:t>
            </w:r>
          </w:p>
          <w:p w14:paraId="1CB2C146">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rPr>
              <w:t>项目生产设备</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包括真空气淬炉、真空油淬炉、光亮炉等</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冷却方式为间接冷却，</w:t>
            </w:r>
            <w:r>
              <w:rPr>
                <w:rFonts w:hint="default" w:ascii="Times New Roman" w:hAnsi="Times New Roman" w:eastAsia="宋体" w:cs="Times New Roman"/>
                <w:color w:val="auto"/>
                <w:sz w:val="24"/>
                <w:lang w:val="en-US" w:eastAsia="zh-CN"/>
              </w:rPr>
              <w:t>通过冷水机和配套循环水池</w:t>
            </w:r>
            <w:r>
              <w:rPr>
                <w:rFonts w:hint="default" w:ascii="Times New Roman" w:hAnsi="Times New Roman" w:eastAsia="宋体" w:cs="Times New Roman"/>
                <w:color w:val="auto"/>
                <w:sz w:val="24"/>
              </w:rPr>
              <w:t>循环使用，不外排，冷却水循环量约为6m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r>
              <w:rPr>
                <w:rFonts w:hint="default" w:ascii="Times New Roman" w:hAnsi="Times New Roman" w:eastAsia="宋体" w:cs="Times New Roman"/>
                <w:color w:val="auto"/>
                <w:sz w:val="24"/>
                <w:lang w:val="en-US" w:eastAsia="zh-CN"/>
              </w:rPr>
              <w:t>日</w:t>
            </w:r>
            <w:r>
              <w:rPr>
                <w:rFonts w:hint="default" w:ascii="Times New Roman" w:hAnsi="Times New Roman" w:eastAsia="宋体" w:cs="Times New Roman"/>
                <w:color w:val="auto"/>
                <w:sz w:val="24"/>
              </w:rPr>
              <w:t>蒸发和损耗量以冷却水量的</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%计，需补充新鲜水量</w:t>
            </w:r>
            <w:r>
              <w:rPr>
                <w:rFonts w:hint="default" w:ascii="Times New Roman" w:hAnsi="Times New Roman" w:eastAsia="宋体" w:cs="Times New Roman"/>
                <w:color w:val="auto"/>
                <w:sz w:val="24"/>
                <w:lang w:val="en-US" w:eastAsia="zh-CN"/>
              </w:rPr>
              <w:t>0.96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d</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288</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p w14:paraId="25C187E7">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b/>
                <w:color w:val="auto"/>
                <w:sz w:val="24"/>
                <w:szCs w:val="24"/>
                <w:lang w:val="en-US" w:eastAsia="zh-CN"/>
              </w:rPr>
              <w:t>②高频淬火热处理炉内循环用水</w:t>
            </w:r>
          </w:p>
          <w:p w14:paraId="32ABC4B5">
            <w:pPr>
              <w:pStyle w:val="57"/>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项目高频淬火热处理炉内部设置冷却水</w:t>
            </w:r>
            <w:r>
              <w:rPr>
                <w:rFonts w:hint="eastAsia" w:ascii="Times New Roman" w:hAnsi="Times New Roman" w:eastAsia="宋体" w:cs="Times New Roman"/>
                <w:color w:val="auto"/>
                <w:sz w:val="24"/>
                <w:szCs w:val="24"/>
                <w:lang w:val="en-US" w:eastAsia="zh-CN"/>
              </w:rPr>
              <w:t>，用于产品急冷；冷却水</w:t>
            </w:r>
            <w:r>
              <w:rPr>
                <w:rFonts w:hint="default" w:ascii="Times New Roman" w:hAnsi="Times New Roman" w:eastAsia="宋体" w:cs="Times New Roman"/>
                <w:color w:val="auto"/>
                <w:sz w:val="24"/>
                <w:szCs w:val="24"/>
                <w:lang w:val="en-US" w:eastAsia="zh-CN"/>
              </w:rPr>
              <w:t>循环使用，不外排，</w:t>
            </w:r>
            <w:r>
              <w:rPr>
                <w:rFonts w:hint="default" w:ascii="Times New Roman" w:hAnsi="Times New Roman" w:eastAsia="宋体" w:cs="Times New Roman"/>
                <w:color w:val="auto"/>
                <w:sz w:val="24"/>
              </w:rPr>
              <w:t>冷却水循环量约为</w:t>
            </w:r>
            <w:r>
              <w:rPr>
                <w:rFonts w:hint="eastAsia" w:ascii="Times New Roman" w:hAnsi="Times New Roman" w:eastAsia="宋体" w:cs="Times New Roman"/>
                <w:color w:val="auto"/>
                <w:sz w:val="24"/>
                <w:lang w:val="en-US" w:eastAsia="zh-CN"/>
              </w:rPr>
              <w:t>2t/d</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日</w:t>
            </w:r>
            <w:r>
              <w:rPr>
                <w:rFonts w:hint="default" w:ascii="Times New Roman" w:hAnsi="Times New Roman" w:eastAsia="宋体" w:cs="Times New Roman"/>
                <w:color w:val="auto"/>
                <w:sz w:val="24"/>
              </w:rPr>
              <w:t>蒸发和损耗量以冷却水量的</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%计，需补充新鲜水量</w:t>
            </w:r>
            <w:r>
              <w:rPr>
                <w:rFonts w:hint="eastAsia" w:ascii="Times New Roman" w:hAnsi="Times New Roman" w:eastAsia="宋体" w:cs="Times New Roman"/>
                <w:color w:val="auto"/>
                <w:sz w:val="24"/>
                <w:lang w:val="en-US" w:eastAsia="zh-CN"/>
              </w:rPr>
              <w:t>0.02</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d</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6</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/a）。</w:t>
            </w:r>
          </w:p>
          <w:p w14:paraId="5C71D88F">
            <w:pPr>
              <w:pStyle w:val="57"/>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高频炉配套冷却塔进行设备</w:t>
            </w:r>
            <w:r>
              <w:rPr>
                <w:rFonts w:hint="default" w:ascii="Times New Roman" w:hAnsi="Times New Roman" w:eastAsia="宋体" w:cs="Times New Roman"/>
                <w:b w:val="0"/>
                <w:bCs w:val="0"/>
                <w:color w:val="auto"/>
                <w:sz w:val="24"/>
              </w:rPr>
              <w:t>间接</w:t>
            </w:r>
            <w:r>
              <w:rPr>
                <w:rFonts w:hint="eastAsia" w:ascii="Times New Roman" w:hAnsi="Times New Roman" w:eastAsia="宋体" w:cs="Times New Roman"/>
                <w:b w:val="0"/>
                <w:bCs w:val="0"/>
                <w:color w:val="auto"/>
                <w:sz w:val="24"/>
                <w:szCs w:val="24"/>
                <w:lang w:val="en-US" w:eastAsia="zh-CN"/>
              </w:rPr>
              <w:t>冷却，冷却水（外购纯水）循环使用，</w:t>
            </w:r>
            <w:r>
              <w:rPr>
                <w:rFonts w:hint="default" w:ascii="Times New Roman" w:hAnsi="Times New Roman" w:eastAsia="宋体" w:cs="Times New Roman"/>
                <w:b w:val="0"/>
                <w:bCs w:val="0"/>
                <w:color w:val="auto"/>
                <w:sz w:val="24"/>
              </w:rPr>
              <w:t>不外排，循环量约为</w:t>
            </w:r>
            <w:r>
              <w:rPr>
                <w:rFonts w:hint="eastAsia" w:ascii="Times New Roman" w:hAnsi="Times New Roman" w:eastAsia="宋体" w:cs="Times New Roman"/>
                <w:b w:val="0"/>
                <w:bCs w:val="0"/>
                <w:color w:val="auto"/>
                <w:sz w:val="24"/>
                <w:lang w:val="en-US" w:eastAsia="zh-CN"/>
              </w:rPr>
              <w:t>1</w:t>
            </w:r>
            <w:r>
              <w:rPr>
                <w:rFonts w:hint="default" w:ascii="Times New Roman" w:hAnsi="Times New Roman" w:eastAsia="宋体" w:cs="Times New Roman"/>
                <w:b w:val="0"/>
                <w:bCs w:val="0"/>
                <w:color w:val="auto"/>
                <w:sz w:val="24"/>
              </w:rPr>
              <w:t>m</w:t>
            </w:r>
            <w:r>
              <w:rPr>
                <w:rFonts w:hint="default" w:ascii="Times New Roman" w:hAnsi="Times New Roman" w:eastAsia="宋体" w:cs="Times New Roman"/>
                <w:b w:val="0"/>
                <w:bCs w:val="0"/>
                <w:color w:val="auto"/>
                <w:sz w:val="24"/>
                <w:vertAlign w:val="superscript"/>
              </w:rPr>
              <w:t>3</w:t>
            </w:r>
            <w:r>
              <w:rPr>
                <w:rFonts w:hint="default" w:ascii="Times New Roman" w:hAnsi="Times New Roman" w:eastAsia="宋体" w:cs="Times New Roman"/>
                <w:b w:val="0"/>
                <w:bCs w:val="0"/>
                <w:color w:val="auto"/>
                <w:sz w:val="24"/>
              </w:rPr>
              <w:t>/h，</w:t>
            </w:r>
            <w:r>
              <w:rPr>
                <w:rFonts w:hint="default" w:ascii="Times New Roman" w:hAnsi="Times New Roman" w:eastAsia="宋体" w:cs="Times New Roman"/>
                <w:b w:val="0"/>
                <w:bCs w:val="0"/>
                <w:color w:val="auto"/>
                <w:sz w:val="24"/>
                <w:lang w:val="en-US" w:eastAsia="zh-CN"/>
              </w:rPr>
              <w:t>日</w:t>
            </w:r>
            <w:r>
              <w:rPr>
                <w:rFonts w:hint="default" w:ascii="Times New Roman" w:hAnsi="Times New Roman" w:eastAsia="宋体" w:cs="Times New Roman"/>
                <w:b w:val="0"/>
                <w:bCs w:val="0"/>
                <w:color w:val="auto"/>
                <w:sz w:val="24"/>
              </w:rPr>
              <w:t>蒸发和损耗量以冷却水量的</w:t>
            </w:r>
            <w:r>
              <w:rPr>
                <w:rFonts w:hint="default" w:ascii="Times New Roman" w:hAnsi="Times New Roman" w:eastAsia="宋体" w:cs="Times New Roman"/>
                <w:b w:val="0"/>
                <w:bCs w:val="0"/>
                <w:color w:val="auto"/>
                <w:sz w:val="24"/>
                <w:lang w:val="en-US" w:eastAsia="zh-CN"/>
              </w:rPr>
              <w:t>1</w:t>
            </w:r>
            <w:r>
              <w:rPr>
                <w:rFonts w:hint="default" w:ascii="Times New Roman" w:hAnsi="Times New Roman" w:eastAsia="宋体" w:cs="Times New Roman"/>
                <w:b w:val="0"/>
                <w:bCs w:val="0"/>
                <w:color w:val="auto"/>
                <w:sz w:val="24"/>
              </w:rPr>
              <w:t>%计，需补充新鲜水量</w:t>
            </w:r>
            <w:r>
              <w:rPr>
                <w:rFonts w:hint="default" w:ascii="Times New Roman" w:hAnsi="Times New Roman" w:eastAsia="宋体" w:cs="Times New Roman"/>
                <w:b w:val="0"/>
                <w:bCs w:val="0"/>
                <w:color w:val="auto"/>
                <w:sz w:val="24"/>
                <w:lang w:val="en-US" w:eastAsia="zh-CN"/>
              </w:rPr>
              <w:t>0.</w:t>
            </w:r>
            <w:r>
              <w:rPr>
                <w:rFonts w:hint="eastAsia" w:ascii="Times New Roman" w:hAnsi="Times New Roman" w:eastAsia="宋体" w:cs="Times New Roman"/>
                <w:b w:val="0"/>
                <w:bCs w:val="0"/>
                <w:color w:val="auto"/>
                <w:sz w:val="24"/>
                <w:lang w:val="en-US" w:eastAsia="zh-CN"/>
              </w:rPr>
              <w:t>16</w:t>
            </w:r>
            <w:r>
              <w:rPr>
                <w:rFonts w:hint="default" w:ascii="Times New Roman" w:hAnsi="Times New Roman" w:eastAsia="宋体" w:cs="Times New Roman"/>
                <w:b w:val="0"/>
                <w:bCs w:val="0"/>
                <w:color w:val="auto"/>
                <w:sz w:val="24"/>
              </w:rPr>
              <w:t>m</w:t>
            </w:r>
            <w:r>
              <w:rPr>
                <w:rFonts w:hint="default" w:ascii="Times New Roman" w:hAnsi="Times New Roman" w:eastAsia="宋体" w:cs="Times New Roman"/>
                <w:b w:val="0"/>
                <w:bCs w:val="0"/>
                <w:color w:val="auto"/>
                <w:sz w:val="24"/>
                <w:vertAlign w:val="superscript"/>
              </w:rPr>
              <w:t>3</w:t>
            </w:r>
            <w:r>
              <w:rPr>
                <w:rFonts w:hint="default" w:ascii="Times New Roman" w:hAnsi="Times New Roman" w:eastAsia="宋体" w:cs="Times New Roman"/>
                <w:b w:val="0"/>
                <w:bCs w:val="0"/>
                <w:color w:val="auto"/>
                <w:sz w:val="24"/>
              </w:rPr>
              <w:t>/</w:t>
            </w:r>
            <w:r>
              <w:rPr>
                <w:rFonts w:hint="default" w:ascii="Times New Roman" w:hAnsi="Times New Roman" w:eastAsia="宋体" w:cs="Times New Roman"/>
                <w:b w:val="0"/>
                <w:bCs w:val="0"/>
                <w:color w:val="auto"/>
                <w:sz w:val="24"/>
                <w:lang w:val="en-US" w:eastAsia="zh-CN"/>
              </w:rPr>
              <w:t>d</w:t>
            </w:r>
            <w:r>
              <w:rPr>
                <w:rFonts w:hint="default" w:ascii="Times New Roman" w:hAnsi="Times New Roman" w:eastAsia="宋体" w:cs="Times New Roman"/>
                <w:b w:val="0"/>
                <w:bCs w:val="0"/>
                <w:color w:val="auto"/>
                <w:sz w:val="24"/>
              </w:rPr>
              <w:t>（</w:t>
            </w:r>
            <w:r>
              <w:rPr>
                <w:rFonts w:hint="eastAsia" w:ascii="Times New Roman" w:hAnsi="Times New Roman" w:eastAsia="宋体" w:cs="Times New Roman"/>
                <w:b w:val="0"/>
                <w:bCs w:val="0"/>
                <w:color w:val="auto"/>
                <w:sz w:val="24"/>
                <w:lang w:val="en-US" w:eastAsia="zh-CN"/>
              </w:rPr>
              <w:t>48</w:t>
            </w:r>
            <w:r>
              <w:rPr>
                <w:rFonts w:hint="default" w:ascii="Times New Roman" w:hAnsi="Times New Roman" w:eastAsia="宋体" w:cs="Times New Roman"/>
                <w:b w:val="0"/>
                <w:bCs w:val="0"/>
                <w:color w:val="auto"/>
                <w:sz w:val="24"/>
              </w:rPr>
              <w:t>m</w:t>
            </w:r>
            <w:r>
              <w:rPr>
                <w:rFonts w:hint="default" w:ascii="Times New Roman" w:hAnsi="Times New Roman" w:eastAsia="宋体" w:cs="Times New Roman"/>
                <w:b w:val="0"/>
                <w:bCs w:val="0"/>
                <w:color w:val="auto"/>
                <w:sz w:val="24"/>
                <w:vertAlign w:val="superscript"/>
              </w:rPr>
              <w:t>3</w:t>
            </w:r>
            <w:r>
              <w:rPr>
                <w:rFonts w:hint="default" w:ascii="Times New Roman" w:hAnsi="Times New Roman" w:eastAsia="宋体" w:cs="Times New Roman"/>
                <w:b w:val="0"/>
                <w:bCs w:val="0"/>
                <w:color w:val="auto"/>
                <w:sz w:val="24"/>
              </w:rPr>
              <w:t>/a）。</w:t>
            </w:r>
            <w:r>
              <w:rPr>
                <w:rFonts w:hint="eastAsia" w:ascii="Times New Roman" w:hAnsi="Times New Roman" w:eastAsia="宋体" w:cs="Times New Roman"/>
                <w:b w:val="0"/>
                <w:bCs w:val="0"/>
                <w:color w:val="auto"/>
                <w:sz w:val="24"/>
                <w:lang w:val="en-US" w:eastAsia="zh-CN"/>
              </w:rPr>
              <w:t xml:space="preserve"> </w:t>
            </w:r>
          </w:p>
          <w:p w14:paraId="2CF4B242">
            <w:pPr>
              <w:pStyle w:val="57"/>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喷淋</w:t>
            </w:r>
            <w:r>
              <w:rPr>
                <w:rFonts w:hint="eastAsia" w:ascii="Times New Roman" w:hAnsi="Times New Roman" w:eastAsia="宋体" w:cs="Times New Roman"/>
                <w:b/>
                <w:bCs/>
                <w:color w:val="auto"/>
                <w:sz w:val="24"/>
                <w:szCs w:val="24"/>
                <w:lang w:val="en-US" w:eastAsia="zh-CN"/>
              </w:rPr>
              <w:t>塔用</w:t>
            </w:r>
            <w:r>
              <w:rPr>
                <w:rFonts w:hint="default" w:ascii="Times New Roman" w:hAnsi="Times New Roman" w:eastAsia="宋体" w:cs="Times New Roman"/>
                <w:b/>
                <w:bCs/>
                <w:color w:val="auto"/>
                <w:sz w:val="24"/>
                <w:szCs w:val="24"/>
                <w:lang w:val="en-US" w:eastAsia="zh-CN"/>
              </w:rPr>
              <w:t>水</w:t>
            </w:r>
            <w:r>
              <w:rPr>
                <w:rFonts w:hint="eastAsia" w:ascii="Times New Roman" w:hAnsi="Times New Roman" w:eastAsia="宋体" w:cs="Times New Roman"/>
                <w:b/>
                <w:bCs/>
                <w:color w:val="auto"/>
                <w:sz w:val="24"/>
                <w:szCs w:val="24"/>
                <w:lang w:val="en-US" w:eastAsia="zh-CN"/>
              </w:rPr>
              <w:t>：</w:t>
            </w:r>
            <w:r>
              <w:rPr>
                <w:rFonts w:hint="default" w:ascii="Times New Roman" w:hAnsi="Times New Roman" w:eastAsia="宋体" w:cs="Times New Roman"/>
                <w:b w:val="0"/>
                <w:bCs w:val="0"/>
                <w:color w:val="auto"/>
                <w:sz w:val="24"/>
                <w:szCs w:val="24"/>
                <w:lang w:val="en-US" w:eastAsia="zh-CN"/>
              </w:rPr>
              <w:t>本项目设置一座水喷淋塔用于处理</w:t>
            </w:r>
            <w:r>
              <w:rPr>
                <w:rFonts w:hint="eastAsia" w:ascii="Times New Roman" w:hAnsi="Times New Roman" w:eastAsia="宋体" w:cs="Times New Roman"/>
                <w:b w:val="0"/>
                <w:bCs w:val="0"/>
                <w:color w:val="auto"/>
                <w:sz w:val="24"/>
                <w:szCs w:val="24"/>
                <w:lang w:val="en-US" w:eastAsia="zh-CN"/>
              </w:rPr>
              <w:t>氮化炉</w:t>
            </w:r>
            <w:r>
              <w:rPr>
                <w:rFonts w:hint="default" w:ascii="Times New Roman" w:hAnsi="Times New Roman" w:eastAsia="宋体" w:cs="Times New Roman"/>
                <w:b w:val="0"/>
                <w:bCs w:val="0"/>
                <w:color w:val="auto"/>
                <w:sz w:val="24"/>
                <w:szCs w:val="24"/>
                <w:lang w:val="en-US" w:eastAsia="zh-CN"/>
              </w:rPr>
              <w:t>产生的</w:t>
            </w:r>
            <w:r>
              <w:rPr>
                <w:rFonts w:hint="eastAsia" w:ascii="Times New Roman" w:hAnsi="Times New Roman" w:eastAsia="宋体" w:cs="Times New Roman"/>
                <w:b w:val="0"/>
                <w:bCs w:val="0"/>
                <w:color w:val="auto"/>
                <w:sz w:val="24"/>
                <w:szCs w:val="24"/>
                <w:lang w:val="en-US" w:eastAsia="zh-CN"/>
              </w:rPr>
              <w:t>恶臭气体（主要为氨气），</w:t>
            </w:r>
            <w:r>
              <w:rPr>
                <w:rFonts w:hint="default" w:ascii="Times New Roman" w:hAnsi="Times New Roman" w:eastAsia="宋体" w:cs="Times New Roman"/>
                <w:bCs/>
                <w:color w:val="auto"/>
                <w:sz w:val="24"/>
                <w:szCs w:val="24"/>
                <w:lang w:val="en-US" w:eastAsia="zh-CN"/>
              </w:rPr>
              <w:t>喷淋塔有效容积为20</w:t>
            </w:r>
            <w:r>
              <w:rPr>
                <w:rFonts w:hint="default" w:ascii="Times New Roman" w:hAnsi="Times New Roman" w:eastAsia="宋体" w:cs="Times New Roman"/>
                <w:bCs/>
                <w:color w:val="auto"/>
                <w:sz w:val="24"/>
                <w:szCs w:val="24"/>
              </w:rPr>
              <w:t>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rPr>
              <w:t>循环水量为1t/h，年循环水量为</w:t>
            </w:r>
            <w:r>
              <w:rPr>
                <w:rFonts w:hint="eastAsia" w:ascii="Times New Roman" w:hAnsi="Times New Roman" w:eastAsia="宋体" w:cs="Times New Roman"/>
                <w:bCs/>
                <w:color w:val="auto"/>
                <w:sz w:val="24"/>
                <w:szCs w:val="24"/>
                <w:lang w:val="en-US" w:eastAsia="zh-CN"/>
              </w:rPr>
              <w:t>48</w:t>
            </w:r>
            <w:r>
              <w:rPr>
                <w:rFonts w:hint="default" w:ascii="Times New Roman" w:hAnsi="Times New Roman" w:eastAsia="宋体" w:cs="Times New Roman"/>
                <w:bCs/>
                <w:color w:val="auto"/>
                <w:sz w:val="24"/>
                <w:szCs w:val="24"/>
              </w:rPr>
              <w:t>00m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/a，损耗蒸发水按照循环水的</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rPr>
              <w:t>%计，年需补充新鲜水量为</w:t>
            </w:r>
            <w:r>
              <w:rPr>
                <w:rFonts w:hint="eastAsia" w:ascii="Times New Roman" w:hAnsi="Times New Roman" w:eastAsia="宋体" w:cs="Times New Roman"/>
                <w:bCs/>
                <w:color w:val="auto"/>
                <w:sz w:val="24"/>
                <w:szCs w:val="24"/>
                <w:lang w:val="en-US" w:eastAsia="zh-CN"/>
              </w:rPr>
              <w:t>48</w:t>
            </w:r>
            <w:r>
              <w:rPr>
                <w:rFonts w:hint="default" w:ascii="Times New Roman" w:hAnsi="Times New Roman" w:eastAsia="宋体" w:cs="Times New Roman"/>
                <w:bCs/>
                <w:color w:val="auto"/>
                <w:sz w:val="24"/>
                <w:szCs w:val="24"/>
              </w:rPr>
              <w:t>m</w:t>
            </w:r>
            <w:r>
              <w:rPr>
                <w:rFonts w:hint="default" w:ascii="Times New Roman" w:hAnsi="Times New Roman" w:eastAsia="宋体" w:cs="Times New Roman"/>
                <w:bCs/>
                <w:color w:val="auto"/>
                <w:sz w:val="24"/>
                <w:szCs w:val="24"/>
                <w:vertAlign w:val="superscript"/>
              </w:rPr>
              <w:t>3</w:t>
            </w:r>
            <w:r>
              <w:rPr>
                <w:rFonts w:hint="default" w:ascii="Times New Roman" w:hAnsi="Times New Roman" w:eastAsia="宋体" w:cs="Times New Roman"/>
                <w:bCs/>
                <w:color w:val="auto"/>
                <w:sz w:val="24"/>
                <w:szCs w:val="24"/>
              </w:rPr>
              <w:t>/a。</w:t>
            </w:r>
            <w:r>
              <w:rPr>
                <w:rFonts w:hint="default" w:ascii="Times New Roman" w:hAnsi="Times New Roman" w:eastAsia="宋体" w:cs="Times New Roman"/>
                <w:bCs/>
                <w:color w:val="auto"/>
                <w:sz w:val="24"/>
                <w:szCs w:val="24"/>
                <w:lang w:val="en-US" w:eastAsia="zh-CN"/>
              </w:rPr>
              <w:t>喷淋塔</w:t>
            </w:r>
            <w:r>
              <w:rPr>
                <w:rFonts w:hint="default" w:ascii="Times New Roman" w:hAnsi="Times New Roman" w:eastAsia="宋体" w:cs="Times New Roman"/>
                <w:bCs/>
                <w:color w:val="auto"/>
                <w:sz w:val="24"/>
                <w:szCs w:val="24"/>
              </w:rPr>
              <w:t>循环用水使用到达一定程度需要进行更换，更换频次为</w:t>
            </w:r>
            <w:r>
              <w:rPr>
                <w:rFonts w:hint="default" w:ascii="Times New Roman" w:hAnsi="Times New Roman" w:eastAsia="宋体" w:cs="Times New Roman"/>
                <w:bCs/>
                <w:color w:val="auto"/>
                <w:sz w:val="24"/>
                <w:szCs w:val="24"/>
                <w:lang w:val="en-US" w:eastAsia="zh-CN"/>
              </w:rPr>
              <w:t>1</w:t>
            </w:r>
            <w:r>
              <w:rPr>
                <w:rFonts w:hint="default" w:ascii="Times New Roman" w:hAnsi="Times New Roman" w:eastAsia="宋体" w:cs="Times New Roman"/>
                <w:bCs/>
                <w:color w:val="auto"/>
                <w:sz w:val="24"/>
                <w:szCs w:val="24"/>
              </w:rPr>
              <w:t>次/年，产生</w:t>
            </w:r>
            <w:r>
              <w:rPr>
                <w:rFonts w:hint="default" w:ascii="Times New Roman" w:hAnsi="Times New Roman" w:eastAsia="宋体" w:cs="Times New Roman"/>
                <w:bCs/>
                <w:color w:val="auto"/>
                <w:sz w:val="24"/>
                <w:szCs w:val="24"/>
                <w:lang w:val="en-US" w:eastAsia="zh-CN"/>
              </w:rPr>
              <w:t>喷淋</w:t>
            </w:r>
            <w:r>
              <w:rPr>
                <w:rFonts w:hint="default" w:ascii="Times New Roman" w:hAnsi="Times New Roman" w:eastAsia="宋体" w:cs="Times New Roman"/>
                <w:bCs/>
                <w:color w:val="auto"/>
                <w:sz w:val="24"/>
                <w:szCs w:val="24"/>
              </w:rPr>
              <w:t>废</w:t>
            </w:r>
            <w:r>
              <w:rPr>
                <w:rFonts w:hint="default" w:ascii="Times New Roman" w:hAnsi="Times New Roman" w:eastAsia="宋体" w:cs="Times New Roman"/>
                <w:bCs/>
                <w:color w:val="auto"/>
                <w:sz w:val="24"/>
                <w:szCs w:val="24"/>
                <w:lang w:val="en-US" w:eastAsia="zh-CN"/>
              </w:rPr>
              <w:t>液20</w:t>
            </w:r>
            <w:r>
              <w:rPr>
                <w:rFonts w:hint="default" w:ascii="Times New Roman" w:hAnsi="Times New Roman" w:eastAsia="宋体" w:cs="Times New Roman"/>
                <w:bCs/>
                <w:color w:val="auto"/>
                <w:sz w:val="24"/>
                <w:szCs w:val="24"/>
              </w:rPr>
              <w:t>t/a，</w:t>
            </w:r>
            <w:r>
              <w:rPr>
                <w:rFonts w:hint="eastAsia" w:ascii="Times New Roman" w:hAnsi="Times New Roman" w:eastAsia="宋体" w:cs="Times New Roman"/>
                <w:color w:val="auto"/>
                <w:sz w:val="24"/>
                <w:szCs w:val="24"/>
                <w:lang w:val="en-US" w:eastAsia="zh-CN"/>
              </w:rPr>
              <w:t>经厂内污水处理站处理后回用于喷淋塔用水。</w:t>
            </w:r>
          </w:p>
          <w:p w14:paraId="1DBD33A6">
            <w:pPr>
              <w:pStyle w:val="57"/>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bCs/>
                <w:color w:val="auto"/>
                <w:sz w:val="24"/>
                <w:szCs w:val="24"/>
                <w:lang w:val="en-US" w:eastAsia="zh-CN"/>
              </w:rPr>
              <w:t>清洗用水：</w:t>
            </w:r>
            <w:r>
              <w:rPr>
                <w:rFonts w:hint="default" w:ascii="Times New Roman" w:hAnsi="Times New Roman" w:eastAsia="宋体" w:cs="Times New Roman"/>
                <w:color w:val="auto"/>
                <w:sz w:val="24"/>
                <w:szCs w:val="24"/>
                <w:lang w:val="en-US" w:eastAsia="zh-CN"/>
              </w:rPr>
              <w:t>项目工件盐浴后工件进</w:t>
            </w:r>
            <w:r>
              <w:rPr>
                <w:rFonts w:hint="eastAsia" w:ascii="Times New Roman" w:hAnsi="Times New Roman" w:eastAsia="宋体" w:cs="Times New Roman"/>
                <w:color w:val="auto"/>
                <w:sz w:val="24"/>
                <w:szCs w:val="24"/>
                <w:lang w:val="en-US" w:eastAsia="zh-CN"/>
              </w:rPr>
              <w:t>下水箱-喷淋水箱-</w:t>
            </w:r>
            <w:r>
              <w:rPr>
                <w:rFonts w:hint="default" w:ascii="Times New Roman" w:hAnsi="Times New Roman" w:eastAsia="宋体" w:cs="Times New Roman"/>
                <w:color w:val="auto"/>
                <w:sz w:val="24"/>
                <w:szCs w:val="24"/>
                <w:lang w:val="en-US" w:eastAsia="zh-CN"/>
              </w:rPr>
              <w:t>加热水箱中清洗后进行后续加工，</w:t>
            </w:r>
            <w:r>
              <w:rPr>
                <w:rFonts w:hint="eastAsia" w:ascii="Times New Roman" w:hAnsi="Times New Roman" w:eastAsia="宋体" w:cs="Times New Roman"/>
                <w:color w:val="auto"/>
                <w:sz w:val="24"/>
                <w:szCs w:val="24"/>
                <w:lang w:val="en-US" w:eastAsia="zh-CN"/>
              </w:rPr>
              <w:t>其中，下水箱水量为4t/次，每月更换2次，喷淋水箱用水量为0.5t/d，加热水箱用水量为</w:t>
            </w:r>
            <w:r>
              <w:rPr>
                <w:rFonts w:hint="default" w:ascii="Times New Roman" w:hAnsi="Times New Roman" w:eastAsia="宋体" w:cs="Times New Roman"/>
                <w:color w:val="auto"/>
                <w:sz w:val="24"/>
                <w:szCs w:val="24"/>
                <w:lang w:val="en-US" w:eastAsia="zh-CN"/>
              </w:rPr>
              <w:t>2t/次，每月更换一次</w:t>
            </w:r>
            <w:r>
              <w:rPr>
                <w:rFonts w:hint="eastAsia" w:ascii="Times New Roman" w:hAnsi="Times New Roman" w:eastAsia="宋体" w:cs="Times New Roman"/>
                <w:color w:val="auto"/>
                <w:sz w:val="24"/>
                <w:szCs w:val="24"/>
                <w:lang w:val="en-US" w:eastAsia="zh-CN"/>
              </w:rPr>
              <w:t>；综上，总用水量为0.9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270</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损耗量按用水量的20%计，则清洗废水量</w:t>
            </w:r>
            <w:r>
              <w:rPr>
                <w:rFonts w:hint="eastAsia" w:ascii="Times New Roman" w:hAnsi="Times New Roman" w:eastAsia="宋体" w:cs="Times New Roman"/>
                <w:color w:val="auto"/>
                <w:sz w:val="24"/>
                <w:szCs w:val="24"/>
                <w:lang w:val="en-US" w:eastAsia="zh-CN"/>
              </w:rPr>
              <w:t>约</w:t>
            </w:r>
            <w:r>
              <w:rPr>
                <w:rFonts w:hint="default" w:ascii="Times New Roman" w:hAnsi="Times New Roman" w:eastAsia="宋体" w:cs="Times New Roman"/>
                <w:color w:val="auto"/>
                <w:sz w:val="24"/>
                <w:szCs w:val="24"/>
                <w:lang w:val="en-US" w:eastAsia="zh-CN"/>
              </w:rPr>
              <w:t>为</w:t>
            </w:r>
            <w:r>
              <w:rPr>
                <w:rFonts w:hint="eastAsia" w:ascii="Times New Roman" w:hAnsi="Times New Roman" w:eastAsia="宋体" w:cs="Times New Roman"/>
                <w:color w:val="auto"/>
                <w:sz w:val="24"/>
                <w:szCs w:val="24"/>
                <w:lang w:val="en-US" w:eastAsia="zh-CN"/>
              </w:rPr>
              <w:t>0.72</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d</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216</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，经厂内污水处理站处理后回用于清洗用水。</w:t>
            </w:r>
          </w:p>
          <w:p w14:paraId="58180C54">
            <w:pPr>
              <w:keepNext w:val="0"/>
              <w:keepLines w:val="0"/>
              <w:pageBreakBefore w:val="0"/>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b/>
                <w:color w:val="auto"/>
                <w:sz w:val="24"/>
                <w:szCs w:val="24"/>
                <w:lang w:val="en-US" w:eastAsia="zh-CN"/>
              </w:rPr>
              <w:t>本项目</w:t>
            </w:r>
            <w:r>
              <w:rPr>
                <w:rFonts w:hint="eastAsia" w:ascii="Times New Roman" w:hAnsi="Times New Roman" w:eastAsia="宋体" w:cs="Times New Roman"/>
                <w:b/>
                <w:color w:val="auto"/>
                <w:sz w:val="24"/>
                <w:szCs w:val="24"/>
                <w:lang w:val="en-US" w:eastAsia="zh-CN"/>
              </w:rPr>
              <w:t>生产设备循环冷却水仅用于设备冷却，循环使用，定期添加，不外排；清洗工序仅对工件表面灰尘和沾染的少量盐类进行清洗，无其他污染物，定期更换的废水经拟建污水处理设施处理后回用，不外排；喷淋塔主要去除氮化工序产生的氨气，产生的废水经污水处理设施脱氨处理后，污染较小，可以继续回用于喷淋塔用水；</w:t>
            </w:r>
            <w:r>
              <w:rPr>
                <w:rFonts w:hint="default" w:ascii="Times New Roman" w:hAnsi="Times New Roman" w:eastAsia="宋体" w:cs="Times New Roman"/>
                <w:b/>
                <w:color w:val="auto"/>
                <w:sz w:val="24"/>
                <w:szCs w:val="24"/>
                <w:lang w:val="en-US" w:eastAsia="zh-CN"/>
              </w:rPr>
              <w:t>厂房生产过程中，地面基本保持清洁，仅进行定期的扫地，不需地面清洗，不产生清洗废水。</w:t>
            </w:r>
          </w:p>
          <w:p w14:paraId="06B6F2EF">
            <w:pPr>
              <w:pStyle w:val="57"/>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具体水平衡图见图2-</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p>
          <w:p w14:paraId="61B876D6">
            <w:pPr>
              <w:pStyle w:val="22"/>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szCs w:val="24"/>
                <w:lang w:eastAsia="zh-CN"/>
              </w:rPr>
            </w:pPr>
            <w:r>
              <w:rPr>
                <w:rFonts w:hint="default" w:ascii="Times New Roman" w:hAnsi="Times New Roman" w:eastAsia="宋体" w:cs="Times New Roman"/>
                <w:b/>
                <w:color w:val="auto"/>
                <w:sz w:val="24"/>
                <w:szCs w:val="24"/>
                <w:lang w:eastAsia="zh-CN"/>
              </w:rPr>
              <w:drawing>
                <wp:inline distT="0" distB="0" distL="114300" distR="114300">
                  <wp:extent cx="4613910" cy="7094220"/>
                  <wp:effectExtent l="0" t="0" r="0" b="0"/>
                  <wp:docPr id="6" name="图片 6" descr="水平衡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水平衡图"/>
                          <pic:cNvPicPr>
                            <a:picLocks noChangeAspect="1"/>
                          </pic:cNvPicPr>
                        </pic:nvPicPr>
                        <pic:blipFill>
                          <a:blip r:embed="rId18"/>
                          <a:stretch>
                            <a:fillRect/>
                          </a:stretch>
                        </pic:blipFill>
                        <pic:spPr>
                          <a:xfrm>
                            <a:off x="0" y="0"/>
                            <a:ext cx="4613910" cy="7094220"/>
                          </a:xfrm>
                          <a:prstGeom prst="rect">
                            <a:avLst/>
                          </a:prstGeom>
                        </pic:spPr>
                      </pic:pic>
                    </a:graphicData>
                  </a:graphic>
                </wp:inline>
              </w:drawing>
            </w:r>
          </w:p>
          <w:p w14:paraId="398F12BD">
            <w:pPr>
              <w:keepNext w:val="0"/>
              <w:keepLines w:val="0"/>
              <w:pageBreakBefore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图2-</w:t>
            </w:r>
            <w:r>
              <w:rPr>
                <w:rFonts w:hint="default" w:ascii="Times New Roman" w:hAnsi="Times New Roman" w:eastAsia="宋体" w:cs="Times New Roman"/>
                <w:b/>
                <w:color w:val="auto"/>
                <w:sz w:val="24"/>
                <w:szCs w:val="24"/>
                <w:lang w:val="en-US" w:eastAsia="zh-CN"/>
              </w:rPr>
              <w:t>2</w:t>
            </w:r>
            <w:r>
              <w:rPr>
                <w:rFonts w:hint="default" w:ascii="Times New Roman" w:hAnsi="Times New Roman" w:eastAsia="宋体" w:cs="Times New Roman"/>
                <w:b/>
                <w:color w:val="auto"/>
                <w:sz w:val="24"/>
                <w:szCs w:val="24"/>
              </w:rPr>
              <w:t xml:space="preserve">  水平衡图（t/a）</w:t>
            </w:r>
          </w:p>
          <w:p w14:paraId="139FA1D9">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w:t>
            </w:r>
            <w:r>
              <w:rPr>
                <w:rFonts w:hint="default" w:ascii="Times New Roman" w:hAnsi="Times New Roman" w:eastAsia="宋体" w:cs="Times New Roman"/>
                <w:bCs/>
                <w:color w:val="auto"/>
                <w:sz w:val="24"/>
                <w:szCs w:val="24"/>
                <w:lang w:val="en-US" w:eastAsia="zh-CN"/>
              </w:rPr>
              <w:t>2</w:t>
            </w:r>
            <w:r>
              <w:rPr>
                <w:rFonts w:hint="default" w:ascii="Times New Roman" w:hAnsi="Times New Roman" w:eastAsia="宋体" w:cs="Times New Roman"/>
                <w:bCs/>
                <w:color w:val="auto"/>
                <w:sz w:val="24"/>
                <w:szCs w:val="24"/>
              </w:rPr>
              <w:t>）供电</w:t>
            </w:r>
          </w:p>
          <w:p w14:paraId="2E77E709">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本项目生产设备使用电能，用电由市政电网接入，年用电量约为</w:t>
            </w:r>
            <w:r>
              <w:rPr>
                <w:rFonts w:hint="eastAsia" w:ascii="Times New Roman" w:hAnsi="Times New Roman" w:eastAsia="宋体" w:cs="Times New Roman"/>
                <w:bCs/>
                <w:color w:val="auto"/>
                <w:sz w:val="24"/>
                <w:szCs w:val="24"/>
                <w:lang w:val="en-US" w:eastAsia="zh-CN"/>
              </w:rPr>
              <w:t>50</w:t>
            </w:r>
            <w:r>
              <w:rPr>
                <w:rFonts w:hint="default" w:ascii="Times New Roman" w:hAnsi="Times New Roman" w:eastAsia="宋体" w:cs="Times New Roman"/>
                <w:bCs/>
                <w:color w:val="auto"/>
                <w:sz w:val="24"/>
                <w:szCs w:val="24"/>
              </w:rPr>
              <w:t>0万kW·h。</w:t>
            </w:r>
          </w:p>
          <w:p w14:paraId="55D2F36D">
            <w:pPr>
              <w:spacing w:line="360" w:lineRule="auto"/>
              <w:rPr>
                <w:rFonts w:hint="default" w:ascii="Times New Roman" w:hAnsi="Times New Roman" w:eastAsia="宋体" w:cs="Times New Roman"/>
                <w:b/>
                <w:color w:val="auto"/>
                <w:sz w:val="24"/>
              </w:rPr>
            </w:pPr>
            <w:bookmarkStart w:id="3" w:name="_Toc4904"/>
            <w:bookmarkStart w:id="4" w:name="_Toc457"/>
            <w:bookmarkStart w:id="5" w:name="_Toc21016"/>
            <w:bookmarkStart w:id="6" w:name="_Toc21599"/>
            <w:bookmarkStart w:id="7" w:name="_Toc9020"/>
            <w:r>
              <w:rPr>
                <w:rFonts w:hint="default" w:ascii="Times New Roman" w:hAnsi="Times New Roman" w:eastAsia="宋体" w:cs="Times New Roman"/>
                <w:b/>
                <w:color w:val="auto"/>
                <w:sz w:val="24"/>
                <w:lang w:val="en-US" w:eastAsia="zh-CN"/>
              </w:rPr>
              <w:t>7</w:t>
            </w:r>
            <w:r>
              <w:rPr>
                <w:rFonts w:hint="default" w:ascii="Times New Roman" w:hAnsi="Times New Roman" w:eastAsia="宋体" w:cs="Times New Roman"/>
                <w:b/>
                <w:color w:val="auto"/>
                <w:sz w:val="24"/>
              </w:rPr>
              <w:t>、项目周边概况及车间平面布置</w:t>
            </w:r>
          </w:p>
          <w:p w14:paraId="1C09AD61">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①项目周边概况</w:t>
            </w:r>
          </w:p>
          <w:p w14:paraId="0761FD5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建设项目选址位于</w:t>
            </w:r>
            <w:r>
              <w:rPr>
                <w:rFonts w:hint="default" w:ascii="Times New Roman" w:hAnsi="Times New Roman" w:eastAsia="宋体" w:cs="Times New Roman"/>
                <w:color w:val="auto"/>
                <w:sz w:val="24"/>
                <w:lang w:eastAsia="zh-CN"/>
              </w:rPr>
              <w:t>江苏省常州市金坛区金坛大道75号</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bCs/>
                <w:color w:val="auto"/>
                <w:sz w:val="24"/>
                <w:szCs w:val="24"/>
              </w:rPr>
              <w:t>华星科创产业园区</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厂区东侧</w:t>
            </w:r>
            <w:r>
              <w:rPr>
                <w:rFonts w:hint="eastAsia" w:ascii="Times New Roman" w:hAnsi="Times New Roman" w:eastAsia="宋体" w:cs="Times New Roman"/>
                <w:color w:val="auto"/>
                <w:sz w:val="24"/>
                <w:lang w:val="en-US" w:eastAsia="zh-CN"/>
              </w:rPr>
              <w:t>、西侧和南侧均为</w:t>
            </w:r>
            <w:r>
              <w:rPr>
                <w:rFonts w:hint="default" w:ascii="Times New Roman" w:hAnsi="Times New Roman" w:eastAsia="宋体" w:cs="Times New Roman"/>
                <w:bCs/>
                <w:color w:val="auto"/>
                <w:sz w:val="24"/>
                <w:szCs w:val="24"/>
              </w:rPr>
              <w:t>华星科创产业园区</w:t>
            </w:r>
            <w:r>
              <w:rPr>
                <w:rFonts w:hint="eastAsia" w:ascii="Times New Roman" w:hAnsi="Times New Roman" w:eastAsia="宋体" w:cs="Times New Roman"/>
                <w:bCs/>
                <w:color w:val="auto"/>
                <w:sz w:val="24"/>
                <w:szCs w:val="24"/>
                <w:lang w:val="en-US" w:eastAsia="zh-CN"/>
              </w:rPr>
              <w:t>内部厂房，北侧为金武快速路</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本项目500m范围内无环境保护目标</w:t>
            </w:r>
            <w:r>
              <w:rPr>
                <w:rFonts w:hint="default" w:ascii="Times New Roman" w:hAnsi="Times New Roman" w:eastAsia="宋体" w:cs="Times New Roman"/>
                <w:color w:val="auto"/>
                <w:sz w:val="24"/>
              </w:rPr>
              <w:t>。项目周边概况图详见附图2。</w:t>
            </w:r>
          </w:p>
          <w:p w14:paraId="68E54D27">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②车间平面布置</w:t>
            </w:r>
          </w:p>
          <w:p w14:paraId="4F2E42A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rPr>
              <w:t>建设项目</w:t>
            </w:r>
            <w:r>
              <w:rPr>
                <w:rFonts w:hint="eastAsia" w:ascii="Times New Roman" w:hAnsi="Times New Roman" w:eastAsia="宋体" w:cs="Times New Roman"/>
                <w:color w:val="auto"/>
                <w:sz w:val="24"/>
                <w:szCs w:val="24"/>
                <w:lang w:val="en-US" w:eastAsia="zh-CN"/>
              </w:rPr>
              <w:t>共计3层，</w:t>
            </w:r>
            <w:r>
              <w:rPr>
                <w:rFonts w:hint="default" w:ascii="Times New Roman" w:hAnsi="Times New Roman" w:eastAsia="宋体" w:cs="Times New Roman"/>
                <w:color w:val="auto"/>
                <w:sz w:val="24"/>
                <w:szCs w:val="24"/>
                <w:lang w:val="en-US" w:eastAsia="zh-CN"/>
              </w:rPr>
              <w:t>建筑面积约4454.9</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r>
              <w:rPr>
                <w:rFonts w:hint="eastAsia" w:ascii="Times New Roman" w:hAnsi="Times New Roman" w:eastAsia="宋体" w:cs="Times New Roman"/>
                <w:color w:val="auto"/>
                <w:sz w:val="24"/>
                <w:szCs w:val="24"/>
                <w:vertAlign w:val="baseline"/>
                <w:lang w:eastAsia="zh-CN"/>
              </w:rPr>
              <w:t>（</w:t>
            </w:r>
            <w:r>
              <w:rPr>
                <w:rFonts w:hint="eastAsia" w:ascii="Times New Roman" w:hAnsi="Times New Roman" w:eastAsia="宋体" w:cs="Times New Roman"/>
                <w:color w:val="auto"/>
                <w:sz w:val="24"/>
                <w:szCs w:val="24"/>
                <w:lang w:val="en-US" w:eastAsia="zh-CN"/>
              </w:rPr>
              <w:t>一层面积</w:t>
            </w:r>
            <w:r>
              <w:rPr>
                <w:rFonts w:hint="eastAsia" w:ascii="Times New Roman" w:hAnsi="Times New Roman" w:eastAsia="宋体" w:cs="Times New Roman"/>
                <w:bCs/>
                <w:color w:val="auto"/>
                <w:sz w:val="24"/>
                <w:szCs w:val="24"/>
                <w:lang w:val="en-US" w:eastAsia="zh-CN"/>
              </w:rPr>
              <w:t>1439.97平方米，二层、三层面积3014.93平方米</w:t>
            </w:r>
            <w:r>
              <w:rPr>
                <w:rFonts w:hint="eastAsia" w:ascii="Times New Roman" w:hAnsi="Times New Roman" w:eastAsia="宋体" w:cs="Times New Roman"/>
                <w:color w:val="auto"/>
                <w:sz w:val="24"/>
                <w:szCs w:val="24"/>
                <w:vertAlign w:val="baseline"/>
                <w:lang w:eastAsia="zh-CN"/>
              </w:rPr>
              <w:t>）</w:t>
            </w:r>
            <w:r>
              <w:rPr>
                <w:rFonts w:hint="default" w:ascii="Times New Roman" w:hAnsi="Times New Roman" w:eastAsia="宋体" w:cs="Times New Roman"/>
                <w:color w:val="auto"/>
                <w:sz w:val="24"/>
                <w:szCs w:val="24"/>
              </w:rPr>
              <w:t>，车间主要布置</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一层主要为热处理区（包括真空气淬炉、真空油淬炉、回火炉、盐浴氮化炉、盐浴氧化炉、井式预热炉、高频淬火热处理炉等）；二层为光亮炉和清洗区；三层为办公区、原料、成品仓库和喷砂机加工区</w:t>
            </w:r>
            <w:r>
              <w:rPr>
                <w:rFonts w:hint="default" w:ascii="Times New Roman" w:hAnsi="Times New Roman" w:eastAsia="宋体" w:cs="Times New Roman"/>
                <w:color w:val="auto"/>
                <w:sz w:val="24"/>
                <w:szCs w:val="24"/>
              </w:rPr>
              <w:t>。项目平面布置图详见附图3。</w:t>
            </w:r>
            <w:bookmarkEnd w:id="3"/>
            <w:bookmarkEnd w:id="4"/>
            <w:bookmarkEnd w:id="5"/>
            <w:bookmarkEnd w:id="6"/>
            <w:bookmarkEnd w:id="7"/>
          </w:p>
        </w:tc>
      </w:tr>
      <w:tr w14:paraId="575B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9" w:hRule="atLeast"/>
        </w:trPr>
        <w:tc>
          <w:tcPr>
            <w:tcW w:w="405" w:type="pct"/>
            <w:vAlign w:val="center"/>
          </w:tcPr>
          <w:p w14:paraId="16082599">
            <w:pPr>
              <w:jc w:val="both"/>
              <w:rPr>
                <w:rFonts w:hint="default" w:ascii="Times New Roman" w:hAnsi="Times New Roman" w:eastAsia="宋体" w:cs="Times New Roman"/>
                <w:b/>
                <w:color w:val="auto"/>
                <w:kern w:val="2"/>
                <w:sz w:val="24"/>
                <w:szCs w:val="22"/>
                <w:lang w:val="en-US" w:eastAsia="zh-CN" w:bidi="ar-SA"/>
              </w:rPr>
            </w:pPr>
            <w:r>
              <w:rPr>
                <w:rFonts w:hint="default" w:ascii="Times New Roman" w:hAnsi="Times New Roman" w:eastAsia="宋体" w:cs="Times New Roman"/>
                <w:b/>
                <w:color w:val="auto"/>
                <w:sz w:val="24"/>
              </w:rPr>
              <w:t>工艺流程和产排污环节</w:t>
            </w:r>
          </w:p>
        </w:tc>
        <w:tc>
          <w:tcPr>
            <w:tcW w:w="4594" w:type="pct"/>
            <w:vAlign w:val="top"/>
          </w:tcPr>
          <w:p w14:paraId="1BE25597">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一、工艺流程简述</w:t>
            </w:r>
          </w:p>
          <w:p w14:paraId="6FC655F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lang w:val="en-US" w:eastAsia="zh-CN"/>
              </w:rPr>
            </w:pPr>
            <w:bookmarkStart w:id="8" w:name="_Toc20544"/>
            <w:bookmarkStart w:id="9" w:name="_Toc23344"/>
            <w:bookmarkStart w:id="10" w:name="_Toc21734"/>
            <w:bookmarkStart w:id="11" w:name="_Toc18182"/>
            <w:r>
              <w:rPr>
                <w:rFonts w:hint="default" w:ascii="Times New Roman" w:hAnsi="Times New Roman" w:eastAsia="宋体" w:cs="Times New Roman"/>
                <w:b/>
                <w:bCs w:val="0"/>
                <w:color w:val="auto"/>
                <w:sz w:val="24"/>
                <w:lang w:val="en-US" w:eastAsia="zh-CN"/>
              </w:rPr>
              <w:t>1、汽车增压器零部件生产工艺</w:t>
            </w:r>
          </w:p>
          <w:p w14:paraId="537D263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根据产品要求，需对金属零部件进行不同的热处理加工，具体</w:t>
            </w:r>
            <w:r>
              <w:rPr>
                <w:rFonts w:hint="default" w:ascii="Times New Roman" w:hAnsi="Times New Roman" w:eastAsia="宋体" w:cs="Times New Roman"/>
                <w:b w:val="0"/>
                <w:bCs/>
                <w:color w:val="auto"/>
                <w:sz w:val="24"/>
                <w:lang w:val="en-US" w:eastAsia="zh-CN"/>
              </w:rPr>
              <w:t>生产工艺见图2-3。</w:t>
            </w:r>
          </w:p>
          <w:bookmarkEnd w:id="8"/>
          <w:bookmarkEnd w:id="9"/>
          <w:bookmarkEnd w:id="10"/>
          <w:bookmarkEnd w:id="11"/>
          <w:p w14:paraId="295617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drawing>
                <wp:inline distT="0" distB="0" distL="114300" distR="114300">
                  <wp:extent cx="5256530" cy="3837305"/>
                  <wp:effectExtent l="0" t="0" r="0" b="0"/>
                  <wp:docPr id="21" name="图片 21" descr="工艺流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工艺流程"/>
                          <pic:cNvPicPr>
                            <a:picLocks noChangeAspect="1"/>
                          </pic:cNvPicPr>
                        </pic:nvPicPr>
                        <pic:blipFill>
                          <a:blip r:embed="rId19"/>
                          <a:stretch>
                            <a:fillRect/>
                          </a:stretch>
                        </pic:blipFill>
                        <pic:spPr>
                          <a:xfrm>
                            <a:off x="0" y="0"/>
                            <a:ext cx="5256530" cy="3837305"/>
                          </a:xfrm>
                          <a:prstGeom prst="rect">
                            <a:avLst/>
                          </a:prstGeom>
                        </pic:spPr>
                      </pic:pic>
                    </a:graphicData>
                  </a:graphic>
                </wp:inline>
              </w:drawing>
            </w:r>
          </w:p>
          <w:p w14:paraId="64E107E4">
            <w:pPr>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图2-</w:t>
            </w:r>
            <w:r>
              <w:rPr>
                <w:rFonts w:hint="default" w:ascii="Times New Roman" w:hAnsi="Times New Roman" w:eastAsia="宋体" w:cs="Times New Roman"/>
                <w:b/>
                <w:bCs/>
                <w:color w:val="auto"/>
                <w:sz w:val="24"/>
                <w:lang w:val="en-US" w:eastAsia="zh-CN"/>
              </w:rPr>
              <w:t>3</w:t>
            </w:r>
            <w:r>
              <w:rPr>
                <w:rFonts w:hint="default" w:ascii="Times New Roman" w:hAnsi="Times New Roman" w:eastAsia="宋体" w:cs="Times New Roman"/>
                <w:b/>
                <w:bCs/>
                <w:color w:val="auto"/>
                <w:sz w:val="24"/>
              </w:rPr>
              <w:t xml:space="preserve">  </w:t>
            </w:r>
            <w:r>
              <w:rPr>
                <w:rFonts w:hint="default" w:ascii="Times New Roman" w:hAnsi="Times New Roman" w:eastAsia="宋体" w:cs="Times New Roman"/>
                <w:b/>
                <w:bCs/>
                <w:color w:val="auto"/>
                <w:sz w:val="24"/>
                <w:lang w:val="en-US" w:eastAsia="zh-CN"/>
              </w:rPr>
              <w:t>生产工</w:t>
            </w:r>
            <w:r>
              <w:rPr>
                <w:rFonts w:hint="default" w:ascii="Times New Roman" w:hAnsi="Times New Roman" w:eastAsia="宋体" w:cs="Times New Roman"/>
                <w:b/>
                <w:bCs/>
                <w:color w:val="auto"/>
                <w:sz w:val="24"/>
              </w:rPr>
              <w:t>艺流程及产污环节示意图</w:t>
            </w:r>
          </w:p>
          <w:p w14:paraId="64736DC0">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生产工艺简述：</w:t>
            </w:r>
          </w:p>
          <w:p w14:paraId="6594533E">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（1）真空气淬件</w:t>
            </w:r>
          </w:p>
          <w:p w14:paraId="237A09A5">
            <w:pPr>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真空清洗：</w:t>
            </w:r>
            <w:r>
              <w:rPr>
                <w:rFonts w:hint="eastAsia" w:ascii="Times New Roman" w:hAnsi="Times New Roman" w:eastAsia="宋体" w:cs="Times New Roman"/>
                <w:b w:val="0"/>
                <w:bCs w:val="0"/>
                <w:color w:val="auto"/>
                <w:sz w:val="24"/>
                <w:lang w:val="en-US" w:eastAsia="zh-CN"/>
              </w:rPr>
              <w:t>根据产品要求，电工纯铁件需进行真空清洗，将工件放入真空清洗机中进行清洗，使用碳氢清洗剂清洗，不另外添加水；该工序产生清洗废气G1、噪声N、废包装桶S1和清洗废渣S2。</w:t>
            </w:r>
          </w:p>
          <w:p w14:paraId="0632B795">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真空气淬、深冷：</w:t>
            </w:r>
            <w:r>
              <w:rPr>
                <w:rFonts w:hint="eastAsia" w:ascii="Times New Roman" w:hAnsi="Times New Roman" w:eastAsia="宋体" w:cs="Times New Roman"/>
                <w:b w:val="0"/>
                <w:bCs w:val="0"/>
                <w:color w:val="auto"/>
                <w:sz w:val="24"/>
                <w:lang w:val="en-US" w:eastAsia="zh-CN"/>
              </w:rPr>
              <w:t>将工件放入真空气淬炉中进行热处理加工（在真空气淬火炉内，加热区域由电阻加热器和石墨加热棒组成，通过对加热器和加热棒的控制，对材料进行加热。在材料达到所需温度后，通过控制惰性气体流量和压力，对材料进行淬火。淬火过程中，惰性气体起到保护作用，避免材料表面氧化，并促进材料的快速冷却，从而达到所需的材料性能，大大提高耐磨性、抗疲劳性等性能指标），加热温度为800～1000℃，时间4-6h，采用电加热；真空气淬后部分工件进行深冷加工；该工序产生设备噪声N；</w:t>
            </w:r>
          </w:p>
          <w:p w14:paraId="0F5AEC23">
            <w:pPr>
              <w:spacing w:line="360" w:lineRule="auto"/>
              <w:ind w:firstLine="482" w:firstLineChars="200"/>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bCs/>
                <w:color w:val="auto"/>
                <w:sz w:val="24"/>
                <w:lang w:val="en-US" w:eastAsia="zh-CN"/>
              </w:rPr>
              <w:t>回火：</w:t>
            </w:r>
            <w:r>
              <w:rPr>
                <w:rFonts w:hint="eastAsia" w:ascii="Times New Roman" w:hAnsi="Times New Roman" w:eastAsia="宋体" w:cs="Times New Roman"/>
                <w:b w:val="0"/>
                <w:bCs w:val="0"/>
                <w:color w:val="auto"/>
                <w:sz w:val="24"/>
                <w:lang w:val="en-US" w:eastAsia="zh-CN"/>
              </w:rPr>
              <w:t>为了减少或消除淬火‌</w:t>
            </w:r>
            <w:r>
              <w:rPr>
                <w:rFonts w:hint="eastAsia" w:ascii="Times New Roman" w:hAnsi="Times New Roman" w:eastAsia="宋体" w:cs="Times New Roman"/>
                <w:b w:val="0"/>
                <w:bCs w:val="0"/>
                <w:color w:val="auto"/>
                <w:sz w:val="24"/>
                <w:lang w:val="en-US" w:eastAsia="zh-CN"/>
              </w:rPr>
              <w:fldChar w:fldCharType="begin"/>
            </w:r>
            <w:r>
              <w:rPr>
                <w:rFonts w:hint="eastAsia" w:ascii="Times New Roman" w:hAnsi="Times New Roman" w:eastAsia="宋体" w:cs="Times New Roman"/>
                <w:b w:val="0"/>
                <w:bCs w:val="0"/>
                <w:color w:val="auto"/>
                <w:sz w:val="24"/>
                <w:lang w:val="en-US" w:eastAsia="zh-CN"/>
              </w:rPr>
              <w:instrText xml:space="preserve"> HYPERLINK "https://www.baidu.com/s?wd=%E5%86%85%E5%BA%94%E5%8A%9B&amp;rsv_idx=2&amp;tn=48021271_25_hao_pg&amp;usm=4&amp;ie=utf-8&amp;rsv_pq=ff6f460f00044d39&amp;oq=%E9%AB%98%E6%B8%A9%E6%B7%AC%E7%81%AB%E5%90%8E%E5%9B%9E%E7%81%AB%E7%9A%84%E5%8E%9F%E5%9B%A0&amp;rsv_t=26b9wmeeSHQvZO8UWFwNEpz+MnC+LAwjdfYsEMB4XqKiGm289oN3RSW6HNOJoXhm4DzPXBz0q3Hx&amp;sa=re_dqa_generate" \t "https://www.baidu.com/_self" </w:instrText>
            </w:r>
            <w:r>
              <w:rPr>
                <w:rFonts w:hint="eastAsia" w:ascii="Times New Roman" w:hAnsi="Times New Roman" w:eastAsia="宋体" w:cs="Times New Roman"/>
                <w:b w:val="0"/>
                <w:bCs w:val="0"/>
                <w:color w:val="auto"/>
                <w:sz w:val="24"/>
                <w:lang w:val="en-US" w:eastAsia="zh-CN"/>
              </w:rPr>
              <w:fldChar w:fldCharType="separate"/>
            </w:r>
            <w:r>
              <w:rPr>
                <w:rFonts w:hint="eastAsia" w:ascii="Times New Roman" w:hAnsi="Times New Roman" w:eastAsia="宋体" w:cs="Times New Roman"/>
                <w:b w:val="0"/>
                <w:bCs w:val="0"/>
                <w:color w:val="auto"/>
                <w:sz w:val="24"/>
                <w:lang w:val="en-US" w:eastAsia="zh-CN"/>
              </w:rPr>
              <w:t>内应力</w:t>
            </w:r>
            <w:r>
              <w:rPr>
                <w:rFonts w:hint="eastAsia" w:ascii="Times New Roman" w:hAnsi="Times New Roman" w:eastAsia="宋体" w:cs="Times New Roman"/>
                <w:b w:val="0"/>
                <w:bCs w:val="0"/>
                <w:color w:val="auto"/>
                <w:sz w:val="24"/>
                <w:lang w:val="en-US" w:eastAsia="zh-CN"/>
              </w:rPr>
              <w:fldChar w:fldCharType="end"/>
            </w:r>
            <w:r>
              <w:rPr>
                <w:rFonts w:hint="eastAsia" w:ascii="Times New Roman" w:hAnsi="Times New Roman" w:eastAsia="宋体" w:cs="Times New Roman"/>
                <w:b w:val="0"/>
                <w:bCs w:val="0"/>
                <w:color w:val="auto"/>
                <w:sz w:val="24"/>
                <w:lang w:val="en-US" w:eastAsia="zh-CN"/>
              </w:rPr>
              <w:t>，防止变形或开裂，高温淬火后，工件浸回火炉中进行回火，回火温度为350°C，时间为2h，采用电加热；</w:t>
            </w:r>
          </w:p>
          <w:p w14:paraId="52E7217D">
            <w:pPr>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color w:val="auto"/>
                <w:sz w:val="24"/>
                <w:lang w:val="en-US" w:eastAsia="zh-CN"/>
              </w:rPr>
              <w:t>成品入库：</w:t>
            </w:r>
            <w:r>
              <w:rPr>
                <w:rFonts w:hint="eastAsia" w:ascii="Times New Roman" w:hAnsi="Times New Roman" w:eastAsia="宋体" w:cs="Times New Roman"/>
                <w:b w:val="0"/>
                <w:bCs/>
                <w:color w:val="auto"/>
                <w:sz w:val="24"/>
                <w:lang w:val="en-US" w:eastAsia="zh-CN"/>
              </w:rPr>
              <w:t>热处理后得到成品，存放至成品仓库。</w:t>
            </w:r>
          </w:p>
          <w:p w14:paraId="4CBDB23D">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（2）高频淬火处理件</w:t>
            </w:r>
          </w:p>
          <w:p w14:paraId="134017EA">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高频淬火：</w:t>
            </w:r>
            <w:r>
              <w:rPr>
                <w:rFonts w:hint="eastAsia" w:ascii="Times New Roman" w:hAnsi="Times New Roman" w:eastAsia="宋体" w:cs="Times New Roman"/>
                <w:b w:val="0"/>
                <w:bCs w:val="0"/>
                <w:color w:val="auto"/>
                <w:sz w:val="24"/>
                <w:lang w:val="en-US" w:eastAsia="zh-CN"/>
              </w:rPr>
              <w:t>将工件放入高频淬火热处理炉中进行热处理加工（将工件放在用空心铜管绕成的感应器内，通入高频交流电后，在工件表面形成同频率的感应电流，将零件表面或局部迅速加热（几秒钟内即可升温800～1000℃，心部仍接近室温）若干秒钟后迅速立即喷水冷却完成淬火工作，使工件表面或局部达到相应的硬度要求）；该工序产生设备噪声N；</w:t>
            </w:r>
          </w:p>
          <w:p w14:paraId="1D4D1D7C">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回火：</w:t>
            </w:r>
            <w:r>
              <w:rPr>
                <w:rFonts w:hint="eastAsia" w:ascii="Times New Roman" w:hAnsi="Times New Roman" w:eastAsia="宋体" w:cs="Times New Roman"/>
                <w:b w:val="0"/>
                <w:bCs w:val="0"/>
                <w:color w:val="auto"/>
                <w:sz w:val="24"/>
                <w:lang w:val="en-US" w:eastAsia="zh-CN"/>
              </w:rPr>
              <w:t>为了减少或消除淬火‌</w:t>
            </w:r>
            <w:r>
              <w:rPr>
                <w:rFonts w:hint="eastAsia" w:ascii="Times New Roman" w:hAnsi="Times New Roman" w:eastAsia="宋体" w:cs="Times New Roman"/>
                <w:b w:val="0"/>
                <w:bCs w:val="0"/>
                <w:color w:val="auto"/>
                <w:sz w:val="24"/>
                <w:lang w:val="en-US" w:eastAsia="zh-CN"/>
              </w:rPr>
              <w:fldChar w:fldCharType="begin"/>
            </w:r>
            <w:r>
              <w:rPr>
                <w:rFonts w:hint="eastAsia" w:ascii="Times New Roman" w:hAnsi="Times New Roman" w:eastAsia="宋体" w:cs="Times New Roman"/>
                <w:b w:val="0"/>
                <w:bCs w:val="0"/>
                <w:color w:val="auto"/>
                <w:sz w:val="24"/>
                <w:lang w:val="en-US" w:eastAsia="zh-CN"/>
              </w:rPr>
              <w:instrText xml:space="preserve"> HYPERLINK "https://www.baidu.com/s?wd=%E5%86%85%E5%BA%94%E5%8A%9B&amp;rsv_idx=2&amp;tn=48021271_25_hao_pg&amp;usm=4&amp;ie=utf-8&amp;rsv_pq=ff6f460f00044d39&amp;oq=%E9%AB%98%E6%B8%A9%E6%B7%AC%E7%81%AB%E5%90%8E%E5%9B%9E%E7%81%AB%E7%9A%84%E5%8E%9F%E5%9B%A0&amp;rsv_t=26b9wmeeSHQvZO8UWFwNEpz+MnC+LAwjdfYsEMB4XqKiGm289oN3RSW6HNOJoXhm4DzPXBz0q3Hx&amp;sa=re_dqa_generate" \t "https://www.baidu.com/_self" </w:instrText>
            </w:r>
            <w:r>
              <w:rPr>
                <w:rFonts w:hint="eastAsia" w:ascii="Times New Roman" w:hAnsi="Times New Roman" w:eastAsia="宋体" w:cs="Times New Roman"/>
                <w:b w:val="0"/>
                <w:bCs w:val="0"/>
                <w:color w:val="auto"/>
                <w:sz w:val="24"/>
                <w:lang w:val="en-US" w:eastAsia="zh-CN"/>
              </w:rPr>
              <w:fldChar w:fldCharType="separate"/>
            </w:r>
            <w:r>
              <w:rPr>
                <w:rFonts w:hint="eastAsia" w:ascii="Times New Roman" w:hAnsi="Times New Roman" w:eastAsia="宋体" w:cs="Times New Roman"/>
                <w:b w:val="0"/>
                <w:bCs w:val="0"/>
                <w:color w:val="auto"/>
                <w:sz w:val="24"/>
                <w:lang w:val="en-US" w:eastAsia="zh-CN"/>
              </w:rPr>
              <w:t>内应力</w:t>
            </w:r>
            <w:r>
              <w:rPr>
                <w:rFonts w:hint="eastAsia" w:ascii="Times New Roman" w:hAnsi="Times New Roman" w:eastAsia="宋体" w:cs="Times New Roman"/>
                <w:b w:val="0"/>
                <w:bCs w:val="0"/>
                <w:color w:val="auto"/>
                <w:sz w:val="24"/>
                <w:lang w:val="en-US" w:eastAsia="zh-CN"/>
              </w:rPr>
              <w:fldChar w:fldCharType="end"/>
            </w:r>
            <w:r>
              <w:rPr>
                <w:rFonts w:hint="eastAsia" w:ascii="Times New Roman" w:hAnsi="Times New Roman" w:eastAsia="宋体" w:cs="Times New Roman"/>
                <w:b w:val="0"/>
                <w:bCs w:val="0"/>
                <w:color w:val="auto"/>
                <w:sz w:val="24"/>
                <w:lang w:val="en-US" w:eastAsia="zh-CN"/>
              </w:rPr>
              <w:t>，防止变形或开裂，高温淬火后，工件浸回火炉中进行回火，回火温度为350°C，时间为2h，采用电加热；该工序产生设备噪声N；</w:t>
            </w:r>
          </w:p>
          <w:p w14:paraId="4AE87987">
            <w:pPr>
              <w:spacing w:line="360" w:lineRule="auto"/>
              <w:ind w:firstLine="482"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color w:val="auto"/>
                <w:sz w:val="24"/>
                <w:lang w:val="en-US" w:eastAsia="zh-CN"/>
              </w:rPr>
              <w:t>成品入库：</w:t>
            </w:r>
            <w:r>
              <w:rPr>
                <w:rFonts w:hint="eastAsia" w:ascii="Times New Roman" w:hAnsi="Times New Roman" w:eastAsia="宋体" w:cs="Times New Roman"/>
                <w:b w:val="0"/>
                <w:bCs/>
                <w:color w:val="auto"/>
                <w:sz w:val="24"/>
                <w:lang w:val="en-US" w:eastAsia="zh-CN"/>
              </w:rPr>
              <w:t>热处理后得到成品，存放至成品仓库。</w:t>
            </w:r>
          </w:p>
          <w:p w14:paraId="6F377A21">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（3）真空油淬件</w:t>
            </w:r>
          </w:p>
          <w:p w14:paraId="5DBE8429">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真空油淬：</w:t>
            </w:r>
            <w:r>
              <w:rPr>
                <w:rFonts w:hint="eastAsia" w:ascii="Times New Roman" w:hAnsi="Times New Roman" w:eastAsia="宋体" w:cs="Times New Roman"/>
                <w:b w:val="0"/>
                <w:bCs w:val="0"/>
                <w:color w:val="auto"/>
                <w:sz w:val="24"/>
                <w:lang w:val="en-US" w:eastAsia="zh-CN"/>
              </w:rPr>
              <w:t>将工件放入真空油淬炉内，工件在真空炉腔内被加热到预定温度，加热温度为800～1000℃，时间4-6h，采用电加热。然后，通过转移机构将工件浸入淬火油槽中，进行快速冷却。该工序产生油淬废气G2、噪声N和废淬火油桶S3、废淬火油S4；</w:t>
            </w:r>
          </w:p>
          <w:p w14:paraId="3070D186">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回火：</w:t>
            </w:r>
            <w:r>
              <w:rPr>
                <w:rFonts w:hint="eastAsia" w:ascii="Times New Roman" w:hAnsi="Times New Roman" w:eastAsia="宋体" w:cs="Times New Roman"/>
                <w:b w:val="0"/>
                <w:bCs w:val="0"/>
                <w:color w:val="auto"/>
                <w:sz w:val="24"/>
                <w:lang w:val="en-US" w:eastAsia="zh-CN"/>
              </w:rPr>
              <w:t>为了减少或消除淬火‌</w:t>
            </w:r>
            <w:r>
              <w:rPr>
                <w:rFonts w:hint="eastAsia" w:ascii="Times New Roman" w:hAnsi="Times New Roman" w:eastAsia="宋体" w:cs="Times New Roman"/>
                <w:b w:val="0"/>
                <w:bCs w:val="0"/>
                <w:color w:val="auto"/>
                <w:sz w:val="24"/>
                <w:lang w:val="en-US" w:eastAsia="zh-CN"/>
              </w:rPr>
              <w:fldChar w:fldCharType="begin"/>
            </w:r>
            <w:r>
              <w:rPr>
                <w:rFonts w:hint="eastAsia" w:ascii="Times New Roman" w:hAnsi="Times New Roman" w:eastAsia="宋体" w:cs="Times New Roman"/>
                <w:b w:val="0"/>
                <w:bCs w:val="0"/>
                <w:color w:val="auto"/>
                <w:sz w:val="24"/>
                <w:lang w:val="en-US" w:eastAsia="zh-CN"/>
              </w:rPr>
              <w:instrText xml:space="preserve"> HYPERLINK "https://www.baidu.com/s?wd=%E5%86%85%E5%BA%94%E5%8A%9B&amp;rsv_idx=2&amp;tn=48021271_25_hao_pg&amp;usm=4&amp;ie=utf-8&amp;rsv_pq=ff6f460f00044d39&amp;oq=%E9%AB%98%E6%B8%A9%E6%B7%AC%E7%81%AB%E5%90%8E%E5%9B%9E%E7%81%AB%E7%9A%84%E5%8E%9F%E5%9B%A0&amp;rsv_t=26b9wmeeSHQvZO8UWFwNEpz+MnC+LAwjdfYsEMB4XqKiGm289oN3RSW6HNOJoXhm4DzPXBz0q3Hx&amp;sa=re_dqa_generate" \t "https://www.baidu.com/_self" </w:instrText>
            </w:r>
            <w:r>
              <w:rPr>
                <w:rFonts w:hint="eastAsia" w:ascii="Times New Roman" w:hAnsi="Times New Roman" w:eastAsia="宋体" w:cs="Times New Roman"/>
                <w:b w:val="0"/>
                <w:bCs w:val="0"/>
                <w:color w:val="auto"/>
                <w:sz w:val="24"/>
                <w:lang w:val="en-US" w:eastAsia="zh-CN"/>
              </w:rPr>
              <w:fldChar w:fldCharType="separate"/>
            </w:r>
            <w:r>
              <w:rPr>
                <w:rFonts w:hint="eastAsia" w:ascii="Times New Roman" w:hAnsi="Times New Roman" w:eastAsia="宋体" w:cs="Times New Roman"/>
                <w:b w:val="0"/>
                <w:bCs w:val="0"/>
                <w:color w:val="auto"/>
                <w:sz w:val="24"/>
                <w:lang w:val="en-US" w:eastAsia="zh-CN"/>
              </w:rPr>
              <w:t>内应力</w:t>
            </w:r>
            <w:r>
              <w:rPr>
                <w:rFonts w:hint="eastAsia" w:ascii="Times New Roman" w:hAnsi="Times New Roman" w:eastAsia="宋体" w:cs="Times New Roman"/>
                <w:b w:val="0"/>
                <w:bCs w:val="0"/>
                <w:color w:val="auto"/>
                <w:sz w:val="24"/>
                <w:lang w:val="en-US" w:eastAsia="zh-CN"/>
              </w:rPr>
              <w:fldChar w:fldCharType="end"/>
            </w:r>
            <w:r>
              <w:rPr>
                <w:rFonts w:hint="eastAsia" w:ascii="Times New Roman" w:hAnsi="Times New Roman" w:eastAsia="宋体" w:cs="Times New Roman"/>
                <w:b w:val="0"/>
                <w:bCs w:val="0"/>
                <w:color w:val="auto"/>
                <w:sz w:val="24"/>
                <w:lang w:val="en-US" w:eastAsia="zh-CN"/>
              </w:rPr>
              <w:t>，防止变形或开裂，高温淬火后，工件浸回火炉中进行回火，回火温度为350°C，时间为2h，采用电加热；该工序产生油淬废气G3、噪声N；</w:t>
            </w:r>
          </w:p>
          <w:p w14:paraId="57EDD0CB">
            <w:pPr>
              <w:spacing w:line="360" w:lineRule="auto"/>
              <w:ind w:firstLine="482"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color w:val="auto"/>
                <w:sz w:val="24"/>
                <w:lang w:val="en-US" w:eastAsia="zh-CN"/>
              </w:rPr>
              <w:t>成品入库：</w:t>
            </w:r>
            <w:r>
              <w:rPr>
                <w:rFonts w:hint="eastAsia" w:ascii="Times New Roman" w:hAnsi="Times New Roman" w:eastAsia="宋体" w:cs="Times New Roman"/>
                <w:b w:val="0"/>
                <w:bCs/>
                <w:color w:val="auto"/>
                <w:sz w:val="24"/>
                <w:lang w:val="en-US" w:eastAsia="zh-CN"/>
              </w:rPr>
              <w:t>热处理后得到成品，存放至成品仓库。</w:t>
            </w:r>
          </w:p>
          <w:p w14:paraId="6F7CB14B">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（4）光亮炉加工件</w:t>
            </w:r>
          </w:p>
          <w:p w14:paraId="77B25FF1">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光亮炉加工：</w:t>
            </w:r>
            <w:r>
              <w:rPr>
                <w:rFonts w:hint="eastAsia" w:ascii="Times New Roman" w:hAnsi="Times New Roman" w:eastAsia="宋体" w:cs="Times New Roman"/>
                <w:b w:val="0"/>
                <w:bCs w:val="0"/>
                <w:color w:val="auto"/>
                <w:sz w:val="24"/>
                <w:lang w:val="en-US" w:eastAsia="zh-CN"/>
              </w:rPr>
              <w:t>将工件放入光亮炉中进行热处理加工，用以消除钢铁铸件和焊接件的内应力；加热温度为800～1000℃，连续时间2h，采用电加热；该工序产生设备噪声N；</w:t>
            </w:r>
          </w:p>
          <w:p w14:paraId="764C67DF">
            <w:pPr>
              <w:spacing w:line="360" w:lineRule="auto"/>
              <w:ind w:firstLine="482" w:firstLineChars="200"/>
              <w:rPr>
                <w:rFonts w:hint="eastAsia"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上油：</w:t>
            </w:r>
            <w:r>
              <w:rPr>
                <w:rFonts w:hint="eastAsia" w:ascii="Times New Roman" w:hAnsi="Times New Roman" w:eastAsia="宋体" w:cs="Times New Roman"/>
                <w:b w:val="0"/>
                <w:bCs/>
                <w:color w:val="auto"/>
                <w:sz w:val="24"/>
                <w:lang w:val="en-US" w:eastAsia="zh-CN"/>
              </w:rPr>
              <w:t>光亮炉加工后，部分工件根据产品要求放入防锈油槽进行浸泡上油，防锈油定期添加，每年更换一次；该工序产生废防锈油桶S6、废防锈油S7。</w:t>
            </w:r>
          </w:p>
          <w:p w14:paraId="6417D58F">
            <w:pPr>
              <w:spacing w:line="360" w:lineRule="auto"/>
              <w:ind w:firstLine="482"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color w:val="auto"/>
                <w:sz w:val="24"/>
                <w:lang w:val="en-US" w:eastAsia="zh-CN"/>
              </w:rPr>
              <w:t>成品入库：</w:t>
            </w:r>
            <w:r>
              <w:rPr>
                <w:rFonts w:hint="eastAsia" w:ascii="Times New Roman" w:hAnsi="Times New Roman" w:eastAsia="宋体" w:cs="Times New Roman"/>
                <w:b w:val="0"/>
                <w:bCs/>
                <w:color w:val="auto"/>
                <w:sz w:val="24"/>
                <w:lang w:val="en-US" w:eastAsia="zh-CN"/>
              </w:rPr>
              <w:t>热处理后得到成品，存放至成品仓库。</w:t>
            </w:r>
          </w:p>
          <w:p w14:paraId="243D072E">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（5）盐浴件</w:t>
            </w:r>
          </w:p>
          <w:p w14:paraId="391E2D23">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预热：</w:t>
            </w:r>
            <w:r>
              <w:rPr>
                <w:rFonts w:hint="eastAsia" w:ascii="Times New Roman" w:hAnsi="Times New Roman" w:eastAsia="宋体" w:cs="Times New Roman"/>
                <w:b w:val="0"/>
                <w:bCs w:val="0"/>
                <w:color w:val="auto"/>
                <w:sz w:val="24"/>
                <w:lang w:val="en-US" w:eastAsia="zh-CN"/>
              </w:rPr>
              <w:t>将工件放入预热炉内进行加热，加热温度为350℃，时间2h，采用电加热；</w:t>
            </w:r>
          </w:p>
          <w:p w14:paraId="331BAA07">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盐浴氮化：</w:t>
            </w:r>
            <w:r>
              <w:rPr>
                <w:rFonts w:hint="eastAsia" w:ascii="Times New Roman" w:hAnsi="Times New Roman" w:eastAsia="宋体" w:cs="Times New Roman"/>
                <w:b w:val="0"/>
                <w:bCs w:val="0"/>
                <w:color w:val="auto"/>
                <w:sz w:val="24"/>
                <w:lang w:val="en-US" w:eastAsia="zh-CN"/>
              </w:rPr>
              <w:t>预热后，工件进盐浴氮化炉内进行热处理加工（金属表面的氮元素与盐浴中的氮化物离子发生化学反应，生成氮化层），加热温度为560℃，时间2-4h，采用电加热；该工序产生设备氮化废气G4、噪声N；</w:t>
            </w:r>
          </w:p>
          <w:p w14:paraId="39CA2351">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原理：</w:t>
            </w:r>
            <w:r>
              <w:rPr>
                <w:rFonts w:hint="eastAsia" w:ascii="Times New Roman" w:hAnsi="Times New Roman" w:eastAsia="宋体" w:cs="Times New Roman"/>
                <w:b w:val="0"/>
                <w:bCs w:val="0"/>
                <w:color w:val="auto"/>
                <w:sz w:val="24"/>
                <w:lang w:val="en-US" w:eastAsia="zh-CN"/>
              </w:rPr>
              <w:t>采用盐浴氮化炉对金属表面分子处理所用的N-A原材料进行加热，同时将工件放入介质中进行处理，为核心工序。介质中氰酸根的分解而产生的活性氮原子渗入工件，在工件表面形成耐磨性和抗蚀性很高的化合物层和耐疲劳的扩散层。氮离子渗入炉温度头510~580℃，炉中介质处于熔融状态，处理时间一般为60~120min。主要化学反应如下：</w:t>
            </w:r>
          </w:p>
          <w:p w14:paraId="07FD57F6">
            <w:pPr>
              <w:spacing w:line="360" w:lineRule="auto"/>
              <w:jc w:val="center"/>
              <w:rPr>
                <w:rFonts w:hint="eastAsia" w:ascii="Times New Roman" w:hAnsi="Times New Roman" w:eastAsia="宋体" w:cs="Times New Roman"/>
                <w:b/>
                <w:bCs/>
                <w:color w:val="auto"/>
                <w:sz w:val="24"/>
                <w:lang w:val="en-US" w:eastAsia="zh-CN"/>
              </w:rPr>
            </w:pPr>
            <w:r>
              <w:rPr>
                <w:color w:val="auto"/>
              </w:rPr>
              <w:drawing>
                <wp:inline distT="0" distB="0" distL="114300" distR="114300">
                  <wp:extent cx="3124200" cy="1238250"/>
                  <wp:effectExtent l="0" t="0" r="0" b="635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0"/>
                          <a:stretch>
                            <a:fillRect/>
                          </a:stretch>
                        </pic:blipFill>
                        <pic:spPr>
                          <a:xfrm>
                            <a:off x="0" y="0"/>
                            <a:ext cx="3124200" cy="1238250"/>
                          </a:xfrm>
                          <a:prstGeom prst="rect">
                            <a:avLst/>
                          </a:prstGeom>
                          <a:noFill/>
                          <a:ln>
                            <a:noFill/>
                          </a:ln>
                        </pic:spPr>
                      </pic:pic>
                    </a:graphicData>
                  </a:graphic>
                </wp:inline>
              </w:drawing>
            </w:r>
          </w:p>
          <w:p w14:paraId="719A5C4C">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盐浴氧化：</w:t>
            </w:r>
            <w:r>
              <w:rPr>
                <w:rFonts w:hint="eastAsia" w:ascii="Times New Roman" w:hAnsi="Times New Roman" w:eastAsia="宋体" w:cs="Times New Roman"/>
                <w:b w:val="0"/>
                <w:bCs w:val="0"/>
                <w:color w:val="auto"/>
                <w:sz w:val="24"/>
                <w:lang w:val="en-US" w:eastAsia="zh-CN"/>
              </w:rPr>
              <w:t>盐浴氮化后，工件进盐浴氧化炉内行热处理加工（工件进入盐浴中进行氧化处理，形成黑色的氧化膜（Fe</w:t>
            </w:r>
            <w:r>
              <w:rPr>
                <w:rFonts w:hint="eastAsia" w:ascii="Times New Roman" w:hAnsi="Times New Roman" w:eastAsia="宋体" w:cs="Times New Roman"/>
                <w:b w:val="0"/>
                <w:bCs w:val="0"/>
                <w:color w:val="auto"/>
                <w:sz w:val="24"/>
                <w:vertAlign w:val="subscript"/>
                <w:lang w:val="en-US" w:eastAsia="zh-CN"/>
              </w:rPr>
              <w:t>3</w:t>
            </w:r>
            <w:r>
              <w:rPr>
                <w:rFonts w:hint="eastAsia" w:ascii="Times New Roman" w:hAnsi="Times New Roman" w:eastAsia="宋体" w:cs="Times New Roman"/>
                <w:b w:val="0"/>
                <w:bCs w:val="0"/>
                <w:color w:val="auto"/>
                <w:sz w:val="24"/>
                <w:lang w:val="en-US" w:eastAsia="zh-CN"/>
              </w:rPr>
              <w:t>O</w:t>
            </w:r>
            <w:r>
              <w:rPr>
                <w:rFonts w:hint="eastAsia" w:ascii="Times New Roman" w:hAnsi="Times New Roman" w:eastAsia="宋体" w:cs="Times New Roman"/>
                <w:b w:val="0"/>
                <w:bCs w:val="0"/>
                <w:color w:val="auto"/>
                <w:sz w:val="24"/>
                <w:vertAlign w:val="subscript"/>
                <w:lang w:val="en-US" w:eastAsia="zh-CN"/>
              </w:rPr>
              <w:t>4</w:t>
            </w:r>
            <w:r>
              <w:rPr>
                <w:rFonts w:hint="eastAsia" w:ascii="Times New Roman" w:hAnsi="Times New Roman" w:eastAsia="宋体" w:cs="Times New Roman"/>
                <w:b w:val="0"/>
                <w:bCs w:val="0"/>
                <w:color w:val="auto"/>
                <w:sz w:val="24"/>
                <w:lang w:val="en-US" w:eastAsia="zh-CN"/>
              </w:rPr>
              <w:t>），加热温度为420℃，时间1-2h，采用电加热；该工序产生设备噪声N；</w:t>
            </w:r>
          </w:p>
          <w:p w14:paraId="21686FE2">
            <w:pPr>
              <w:spacing w:line="360" w:lineRule="auto"/>
              <w:ind w:firstLine="482" w:firstLineChars="200"/>
              <w:rPr>
                <w:rFonts w:hint="eastAsia"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原理：</w:t>
            </w:r>
            <w:r>
              <w:rPr>
                <w:rFonts w:hint="eastAsia" w:ascii="Times New Roman" w:hAnsi="Times New Roman" w:eastAsia="宋体" w:cs="Times New Roman"/>
                <w:b w:val="0"/>
                <w:bCs w:val="0"/>
                <w:color w:val="auto"/>
                <w:sz w:val="24"/>
                <w:lang w:val="en-US" w:eastAsia="zh-CN"/>
              </w:rPr>
              <w:t>采用盐浴氧化炉对金属表面分子处理所用的C-C原材料进行加热并通氧，同时将工件放入介质中进行处理。该工序的作用一是彻底分解工件从氨离子渗入炉带出来的氰酸根是在工件表面形成黑色氧化膜，增加防腐能力，对提高耐性也有一定好处。氧离子渗入炉温度为350~420℃，炉中渗氧介质处于熔融状态，处理时间一般为15~30min。主要化学反应如下：</w:t>
            </w:r>
          </w:p>
          <w:p w14:paraId="274E44E2">
            <w:pPr>
              <w:spacing w:line="360" w:lineRule="auto"/>
              <w:jc w:val="center"/>
              <w:rPr>
                <w:rFonts w:hint="eastAsia" w:ascii="Times New Roman" w:hAnsi="Times New Roman" w:eastAsia="宋体" w:cs="Times New Roman"/>
                <w:b/>
                <w:bCs/>
                <w:color w:val="auto"/>
                <w:sz w:val="24"/>
                <w:lang w:val="en-US" w:eastAsia="zh-CN"/>
              </w:rPr>
            </w:pPr>
            <w:r>
              <w:rPr>
                <w:color w:val="auto"/>
              </w:rPr>
              <w:drawing>
                <wp:inline distT="0" distB="0" distL="114300" distR="114300">
                  <wp:extent cx="3314700" cy="438150"/>
                  <wp:effectExtent l="0" t="0" r="0" b="635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1"/>
                          <a:stretch>
                            <a:fillRect/>
                          </a:stretch>
                        </pic:blipFill>
                        <pic:spPr>
                          <a:xfrm>
                            <a:off x="0" y="0"/>
                            <a:ext cx="3314700" cy="438150"/>
                          </a:xfrm>
                          <a:prstGeom prst="rect">
                            <a:avLst/>
                          </a:prstGeom>
                          <a:noFill/>
                          <a:ln>
                            <a:noFill/>
                          </a:ln>
                        </pic:spPr>
                      </pic:pic>
                    </a:graphicData>
                  </a:graphic>
                </wp:inline>
              </w:drawing>
            </w:r>
          </w:p>
          <w:p w14:paraId="05C5529F">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水洗：</w:t>
            </w:r>
            <w:r>
              <w:rPr>
                <w:rFonts w:hint="eastAsia" w:ascii="Times New Roman" w:hAnsi="Times New Roman" w:eastAsia="宋体" w:cs="Times New Roman"/>
                <w:b w:val="0"/>
                <w:bCs w:val="0"/>
                <w:color w:val="auto"/>
                <w:sz w:val="24"/>
                <w:lang w:val="en-US" w:eastAsia="zh-CN"/>
              </w:rPr>
              <w:t>热处理加工后，工件进行清洗，依次进入下水槽（浸泡清洗）-淋洗槽（喷淋清洗）-热水槽（浸泡清洗），其中热水槽采用电加热，温度80-90℃；该工序产生清洗废水W1；</w:t>
            </w:r>
          </w:p>
          <w:p w14:paraId="102F9DE9">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喷砂：</w:t>
            </w:r>
            <w:r>
              <w:rPr>
                <w:rFonts w:hint="eastAsia" w:ascii="Times New Roman" w:hAnsi="Times New Roman" w:eastAsia="宋体" w:cs="Times New Roman"/>
                <w:b w:val="0"/>
                <w:bCs w:val="0"/>
                <w:color w:val="auto"/>
                <w:sz w:val="24"/>
                <w:lang w:val="en-US" w:eastAsia="zh-CN"/>
              </w:rPr>
              <w:t>工件水洗晾干后，进行喷砂加工，改善工件表面质量；该工序产生喷砂废气G4、噪声N和废金刚砂S5；</w:t>
            </w:r>
          </w:p>
          <w:p w14:paraId="71CA60BA">
            <w:pPr>
              <w:spacing w:line="360" w:lineRule="auto"/>
              <w:ind w:firstLine="482" w:firstLineChars="200"/>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上油：</w:t>
            </w:r>
            <w:r>
              <w:rPr>
                <w:rFonts w:hint="eastAsia" w:ascii="Times New Roman" w:hAnsi="Times New Roman" w:eastAsia="宋体" w:cs="Times New Roman"/>
                <w:b w:val="0"/>
                <w:bCs/>
                <w:color w:val="auto"/>
                <w:sz w:val="24"/>
                <w:lang w:val="en-US" w:eastAsia="zh-CN"/>
              </w:rPr>
              <w:t>工件喷砂后，放入防锈油槽进行浸泡上油，防锈油定期添加，每年更换一次；该工序产生废防锈油桶S6、废防锈油S7。</w:t>
            </w:r>
          </w:p>
          <w:p w14:paraId="45E73402">
            <w:pPr>
              <w:spacing w:line="360" w:lineRule="auto"/>
              <w:ind w:firstLine="482"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color w:val="auto"/>
                <w:sz w:val="24"/>
                <w:lang w:val="en-US" w:eastAsia="zh-CN"/>
              </w:rPr>
              <w:t>成品入库：</w:t>
            </w:r>
            <w:r>
              <w:rPr>
                <w:rFonts w:hint="eastAsia" w:ascii="Times New Roman" w:hAnsi="Times New Roman" w:eastAsia="宋体" w:cs="Times New Roman"/>
                <w:b w:val="0"/>
                <w:bCs/>
                <w:color w:val="auto"/>
                <w:sz w:val="24"/>
                <w:lang w:val="en-US" w:eastAsia="zh-CN"/>
              </w:rPr>
              <w:t>上油后得到成品，存放至成品仓库。</w:t>
            </w:r>
          </w:p>
          <w:p w14:paraId="54BF6EBB">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二、</w:t>
            </w:r>
            <w:r>
              <w:rPr>
                <w:rFonts w:hint="default" w:ascii="Times New Roman" w:hAnsi="Times New Roman" w:eastAsia="宋体" w:cs="Times New Roman"/>
                <w:b/>
                <w:color w:val="auto"/>
                <w:sz w:val="24"/>
              </w:rPr>
              <w:t>产污环节分析</w:t>
            </w:r>
          </w:p>
          <w:p w14:paraId="7D7C1007">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表2-</w:t>
            </w:r>
            <w:r>
              <w:rPr>
                <w:rFonts w:hint="eastAsia" w:ascii="Times New Roman" w:hAnsi="Times New Roman" w:eastAsia="宋体" w:cs="Times New Roman"/>
                <w:b/>
                <w:color w:val="auto"/>
                <w:sz w:val="24"/>
                <w:lang w:val="en-US" w:eastAsia="zh-CN"/>
              </w:rPr>
              <w:t>7</w:t>
            </w:r>
            <w:r>
              <w:rPr>
                <w:rFonts w:hint="default" w:ascii="Times New Roman" w:hAnsi="Times New Roman" w:eastAsia="宋体" w:cs="Times New Roman"/>
                <w:b/>
                <w:color w:val="auto"/>
                <w:sz w:val="24"/>
              </w:rPr>
              <w:t xml:space="preserve">  污染物产生情况分析</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6"/>
              <w:gridCol w:w="1524"/>
              <w:gridCol w:w="1501"/>
              <w:gridCol w:w="1305"/>
              <w:gridCol w:w="2942"/>
            </w:tblGrid>
            <w:tr w14:paraId="018F90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tcBorders>
                    <w:tl2br w:val="nil"/>
                    <w:tr2bl w:val="nil"/>
                  </w:tcBorders>
                  <w:vAlign w:val="center"/>
                </w:tcPr>
                <w:p w14:paraId="7B50A72C">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废物类别</w:t>
                  </w:r>
                </w:p>
              </w:tc>
              <w:tc>
                <w:tcPr>
                  <w:tcW w:w="916" w:type="pct"/>
                  <w:tcBorders>
                    <w:tl2br w:val="nil"/>
                    <w:tr2bl w:val="nil"/>
                  </w:tcBorders>
                  <w:vAlign w:val="center"/>
                </w:tcPr>
                <w:p w14:paraId="0BBC18E1">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编号</w:t>
                  </w:r>
                </w:p>
              </w:tc>
              <w:tc>
                <w:tcPr>
                  <w:tcW w:w="902" w:type="pct"/>
                  <w:tcBorders>
                    <w:tl2br w:val="nil"/>
                    <w:tr2bl w:val="nil"/>
                  </w:tcBorders>
                  <w:vAlign w:val="center"/>
                </w:tcPr>
                <w:p w14:paraId="574DD384">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产生环节</w:t>
                  </w:r>
                </w:p>
              </w:tc>
              <w:tc>
                <w:tcPr>
                  <w:tcW w:w="784" w:type="pct"/>
                  <w:tcBorders>
                    <w:tl2br w:val="nil"/>
                    <w:tr2bl w:val="nil"/>
                  </w:tcBorders>
                  <w:vAlign w:val="center"/>
                </w:tcPr>
                <w:p w14:paraId="45A7D29A">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污染物名称</w:t>
                  </w:r>
                </w:p>
              </w:tc>
              <w:tc>
                <w:tcPr>
                  <w:tcW w:w="1768" w:type="pct"/>
                  <w:tcBorders>
                    <w:tl2br w:val="nil"/>
                    <w:tr2bl w:val="nil"/>
                  </w:tcBorders>
                  <w:shd w:val="clear" w:color="auto" w:fill="auto"/>
                  <w:vAlign w:val="center"/>
                </w:tcPr>
                <w:p w14:paraId="72AD3E4E">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处置措施</w:t>
                  </w:r>
                </w:p>
              </w:tc>
            </w:tr>
            <w:tr w14:paraId="04C662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8" w:type="pct"/>
                  <w:vMerge w:val="restart"/>
                  <w:tcBorders>
                    <w:tl2br w:val="nil"/>
                    <w:tr2bl w:val="nil"/>
                  </w:tcBorders>
                  <w:vAlign w:val="center"/>
                </w:tcPr>
                <w:p w14:paraId="3B753A6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废气</w:t>
                  </w:r>
                </w:p>
              </w:tc>
              <w:tc>
                <w:tcPr>
                  <w:tcW w:w="916" w:type="pct"/>
                  <w:tcBorders>
                    <w:tl2br w:val="nil"/>
                    <w:tr2bl w:val="nil"/>
                  </w:tcBorders>
                  <w:vAlign w:val="center"/>
                </w:tcPr>
                <w:p w14:paraId="48157C51">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G1</w:t>
                  </w:r>
                </w:p>
              </w:tc>
              <w:tc>
                <w:tcPr>
                  <w:tcW w:w="902" w:type="pct"/>
                  <w:tcBorders>
                    <w:tl2br w:val="nil"/>
                    <w:tr2bl w:val="nil"/>
                  </w:tcBorders>
                  <w:vAlign w:val="center"/>
                </w:tcPr>
                <w:p w14:paraId="659D749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真空清洗</w:t>
                  </w:r>
                </w:p>
              </w:tc>
              <w:tc>
                <w:tcPr>
                  <w:tcW w:w="784" w:type="pct"/>
                  <w:tcBorders>
                    <w:tl2br w:val="nil"/>
                    <w:tr2bl w:val="nil"/>
                  </w:tcBorders>
                  <w:vAlign w:val="center"/>
                </w:tcPr>
                <w:p w14:paraId="0BD743E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有机</w:t>
                  </w:r>
                  <w:r>
                    <w:rPr>
                      <w:rFonts w:hint="default" w:ascii="Times New Roman" w:hAnsi="Times New Roman" w:eastAsia="宋体" w:cs="Times New Roman"/>
                      <w:color w:val="auto"/>
                      <w:szCs w:val="21"/>
                    </w:rPr>
                    <w:t>废气</w:t>
                  </w:r>
                </w:p>
              </w:tc>
              <w:tc>
                <w:tcPr>
                  <w:tcW w:w="1768" w:type="pct"/>
                  <w:tcBorders>
                    <w:tl2br w:val="nil"/>
                    <w:tr2bl w:val="nil"/>
                  </w:tcBorders>
                  <w:shd w:val="clear" w:color="auto" w:fill="auto"/>
                  <w:vAlign w:val="center"/>
                </w:tcPr>
                <w:p w14:paraId="1864350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经集气设施收集至</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二级活性炭吸附装置</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处理后通过20m高DA001排气筒排放</w:t>
                  </w:r>
                </w:p>
              </w:tc>
            </w:tr>
            <w:tr w14:paraId="030C5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8" w:type="pct"/>
                  <w:vMerge w:val="continue"/>
                  <w:tcBorders>
                    <w:tl2br w:val="nil"/>
                    <w:tr2bl w:val="nil"/>
                  </w:tcBorders>
                  <w:vAlign w:val="center"/>
                </w:tcPr>
                <w:p w14:paraId="1A4193B2">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6C1FF575">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G2</w:t>
                  </w:r>
                  <w:r>
                    <w:rPr>
                      <w:rFonts w:hint="eastAsia" w:ascii="Times New Roman" w:hAnsi="Times New Roman" w:eastAsia="宋体" w:cs="Times New Roman"/>
                      <w:color w:val="auto"/>
                      <w:szCs w:val="21"/>
                      <w:lang w:val="en-US" w:eastAsia="zh-CN"/>
                    </w:rPr>
                    <w:t>、G3</w:t>
                  </w:r>
                </w:p>
              </w:tc>
              <w:tc>
                <w:tcPr>
                  <w:tcW w:w="902" w:type="pct"/>
                  <w:tcBorders>
                    <w:tl2br w:val="nil"/>
                    <w:tr2bl w:val="nil"/>
                  </w:tcBorders>
                  <w:vAlign w:val="center"/>
                </w:tcPr>
                <w:p w14:paraId="661C285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油淬-回火</w:t>
                  </w:r>
                </w:p>
              </w:tc>
              <w:tc>
                <w:tcPr>
                  <w:tcW w:w="784" w:type="pct"/>
                  <w:tcBorders>
                    <w:tl2br w:val="nil"/>
                    <w:tr2bl w:val="nil"/>
                  </w:tcBorders>
                  <w:vAlign w:val="center"/>
                </w:tcPr>
                <w:p w14:paraId="7B9ADE5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有机</w:t>
                  </w:r>
                  <w:r>
                    <w:rPr>
                      <w:rFonts w:hint="default" w:ascii="Times New Roman" w:hAnsi="Times New Roman" w:eastAsia="宋体" w:cs="Times New Roman"/>
                      <w:color w:val="auto"/>
                      <w:szCs w:val="21"/>
                    </w:rPr>
                    <w:t>废气</w:t>
                  </w:r>
                </w:p>
              </w:tc>
              <w:tc>
                <w:tcPr>
                  <w:tcW w:w="1768" w:type="pct"/>
                  <w:tcBorders>
                    <w:tl2br w:val="nil"/>
                    <w:tr2bl w:val="nil"/>
                  </w:tcBorders>
                  <w:shd w:val="clear" w:color="auto" w:fill="auto"/>
                  <w:vAlign w:val="center"/>
                </w:tcPr>
                <w:p w14:paraId="1F1C9CC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经集气设施收集至</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三级静电油雾净化装置</w:t>
                  </w:r>
                  <w:r>
                    <w:rPr>
                      <w:rFonts w:hint="eastAsia"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val="en-US" w:eastAsia="zh-CN"/>
                    </w:rPr>
                    <w:t>处理后通过20m高DA00</w:t>
                  </w:r>
                  <w:r>
                    <w:rPr>
                      <w:rFonts w:hint="eastAsia" w:ascii="Times New Roman" w:hAnsi="Times New Roman" w:eastAsia="宋体" w:cs="Times New Roman"/>
                      <w:color w:val="auto"/>
                      <w:szCs w:val="21"/>
                      <w:lang w:val="en-US" w:eastAsia="zh-CN"/>
                    </w:rPr>
                    <w:t>2</w:t>
                  </w:r>
                  <w:r>
                    <w:rPr>
                      <w:rFonts w:hint="default" w:ascii="Times New Roman" w:hAnsi="Times New Roman" w:eastAsia="宋体" w:cs="Times New Roman"/>
                      <w:color w:val="auto"/>
                      <w:szCs w:val="21"/>
                      <w:lang w:val="en-US" w:eastAsia="zh-CN"/>
                    </w:rPr>
                    <w:t>排气筒排放</w:t>
                  </w:r>
                </w:p>
              </w:tc>
            </w:tr>
            <w:tr w14:paraId="35486B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8" w:type="pct"/>
                  <w:vMerge w:val="continue"/>
                  <w:tcBorders>
                    <w:tl2br w:val="nil"/>
                    <w:tr2bl w:val="nil"/>
                  </w:tcBorders>
                  <w:vAlign w:val="center"/>
                </w:tcPr>
                <w:p w14:paraId="1730B0A6">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7CB8145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G4</w:t>
                  </w:r>
                </w:p>
              </w:tc>
              <w:tc>
                <w:tcPr>
                  <w:tcW w:w="902" w:type="pct"/>
                  <w:tcBorders>
                    <w:tl2br w:val="nil"/>
                    <w:tr2bl w:val="nil"/>
                  </w:tcBorders>
                  <w:vAlign w:val="center"/>
                </w:tcPr>
                <w:p w14:paraId="446DAD9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氮化</w:t>
                  </w:r>
                </w:p>
              </w:tc>
              <w:tc>
                <w:tcPr>
                  <w:tcW w:w="784" w:type="pct"/>
                  <w:tcBorders>
                    <w:tl2br w:val="nil"/>
                    <w:tr2bl w:val="nil"/>
                  </w:tcBorders>
                  <w:vAlign w:val="center"/>
                </w:tcPr>
                <w:p w14:paraId="17ABBF1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氨气</w:t>
                  </w:r>
                </w:p>
              </w:tc>
              <w:tc>
                <w:tcPr>
                  <w:tcW w:w="1768" w:type="pct"/>
                  <w:tcBorders>
                    <w:tl2br w:val="nil"/>
                    <w:tr2bl w:val="nil"/>
                  </w:tcBorders>
                  <w:shd w:val="clear" w:color="auto" w:fill="auto"/>
                  <w:vAlign w:val="center"/>
                </w:tcPr>
                <w:p w14:paraId="234B7EBC">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经集气设施收集至</w:t>
                  </w:r>
                  <w:r>
                    <w:rPr>
                      <w:rFonts w:hint="eastAsia" w:ascii="Times New Roman" w:hAnsi="Times New Roman" w:eastAsia="宋体" w:cs="Times New Roman"/>
                      <w:color w:val="auto"/>
                      <w:szCs w:val="21"/>
                      <w:lang w:val="en-US" w:eastAsia="zh-CN"/>
                    </w:rPr>
                    <w:t>“水喷淋塔”</w:t>
                  </w:r>
                  <w:r>
                    <w:rPr>
                      <w:rFonts w:hint="default" w:ascii="Times New Roman" w:hAnsi="Times New Roman" w:eastAsia="宋体" w:cs="Times New Roman"/>
                      <w:color w:val="auto"/>
                      <w:szCs w:val="21"/>
                      <w:lang w:val="en-US" w:eastAsia="zh-CN"/>
                    </w:rPr>
                    <w:t>处理后通过20m高DA00</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lang w:val="en-US" w:eastAsia="zh-CN"/>
                    </w:rPr>
                    <w:t>排气筒排放</w:t>
                  </w:r>
                </w:p>
              </w:tc>
            </w:tr>
            <w:tr w14:paraId="62DEA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8" w:type="pct"/>
                  <w:vMerge w:val="continue"/>
                  <w:tcBorders>
                    <w:tl2br w:val="nil"/>
                    <w:tr2bl w:val="nil"/>
                  </w:tcBorders>
                  <w:vAlign w:val="center"/>
                </w:tcPr>
                <w:p w14:paraId="02CDBD85">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49B98D2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G5</w:t>
                  </w:r>
                </w:p>
              </w:tc>
              <w:tc>
                <w:tcPr>
                  <w:tcW w:w="902" w:type="pct"/>
                  <w:tcBorders>
                    <w:tl2br w:val="nil"/>
                    <w:tr2bl w:val="nil"/>
                  </w:tcBorders>
                  <w:vAlign w:val="center"/>
                </w:tcPr>
                <w:p w14:paraId="0F6EA19E">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喷砂</w:t>
                  </w:r>
                </w:p>
              </w:tc>
              <w:tc>
                <w:tcPr>
                  <w:tcW w:w="784" w:type="pct"/>
                  <w:tcBorders>
                    <w:tl2br w:val="nil"/>
                    <w:tr2bl w:val="nil"/>
                  </w:tcBorders>
                  <w:vAlign w:val="center"/>
                </w:tcPr>
                <w:p w14:paraId="758A0415">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1768" w:type="pct"/>
                  <w:tcBorders>
                    <w:tl2br w:val="nil"/>
                    <w:tr2bl w:val="nil"/>
                  </w:tcBorders>
                  <w:shd w:val="clear" w:color="auto" w:fill="auto"/>
                  <w:vAlign w:val="center"/>
                </w:tcPr>
                <w:p w14:paraId="109807C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设备自带除尘设施（布袋除尘器）处理后通过</w:t>
                  </w:r>
                  <w:r>
                    <w:rPr>
                      <w:rFonts w:hint="default" w:ascii="Times New Roman" w:hAnsi="Times New Roman" w:eastAsia="宋体" w:cs="Times New Roman"/>
                      <w:color w:val="auto"/>
                      <w:szCs w:val="21"/>
                      <w:lang w:val="en-US" w:eastAsia="zh-CN"/>
                    </w:rPr>
                    <w:t>20</w:t>
                  </w:r>
                  <w:r>
                    <w:rPr>
                      <w:rFonts w:hint="default" w:ascii="Times New Roman" w:hAnsi="Times New Roman" w:eastAsia="宋体" w:cs="Times New Roman"/>
                      <w:color w:val="auto"/>
                      <w:szCs w:val="21"/>
                    </w:rPr>
                    <w:t>m高排气筒</w:t>
                  </w:r>
                  <w:r>
                    <w:rPr>
                      <w:rFonts w:hint="default" w:ascii="Times New Roman" w:hAnsi="Times New Roman" w:eastAsia="宋体" w:cs="Times New Roman"/>
                      <w:color w:val="auto"/>
                      <w:szCs w:val="21"/>
                      <w:lang w:val="en-US" w:eastAsia="zh-CN"/>
                    </w:rPr>
                    <w:t>DA00</w:t>
                  </w:r>
                  <w:r>
                    <w:rPr>
                      <w:rFonts w:hint="eastAsia" w:ascii="Times New Roman" w:hAnsi="Times New Roman" w:eastAsia="宋体" w:cs="Times New Roman"/>
                      <w:color w:val="auto"/>
                      <w:szCs w:val="21"/>
                      <w:lang w:val="en-US" w:eastAsia="zh-CN"/>
                    </w:rPr>
                    <w:t>4</w:t>
                  </w:r>
                  <w:r>
                    <w:rPr>
                      <w:rFonts w:hint="default" w:ascii="Times New Roman" w:hAnsi="Times New Roman" w:eastAsia="宋体" w:cs="Times New Roman"/>
                      <w:color w:val="auto"/>
                      <w:szCs w:val="21"/>
                    </w:rPr>
                    <w:t>排放</w:t>
                  </w:r>
                </w:p>
              </w:tc>
            </w:tr>
            <w:tr w14:paraId="2751BE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8" w:type="pct"/>
                  <w:vMerge w:val="restart"/>
                  <w:tcBorders>
                    <w:tl2br w:val="nil"/>
                    <w:tr2bl w:val="nil"/>
                  </w:tcBorders>
                  <w:vAlign w:val="center"/>
                </w:tcPr>
                <w:p w14:paraId="6738E04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废水</w:t>
                  </w:r>
                </w:p>
              </w:tc>
              <w:tc>
                <w:tcPr>
                  <w:tcW w:w="916" w:type="pct"/>
                  <w:tcBorders>
                    <w:tl2br w:val="nil"/>
                    <w:tr2bl w:val="nil"/>
                  </w:tcBorders>
                  <w:vAlign w:val="center"/>
                </w:tcPr>
                <w:p w14:paraId="3A2E696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w:t>
                  </w:r>
                </w:p>
              </w:tc>
              <w:tc>
                <w:tcPr>
                  <w:tcW w:w="902" w:type="pct"/>
                  <w:tcBorders>
                    <w:tl2br w:val="nil"/>
                    <w:tr2bl w:val="nil"/>
                  </w:tcBorders>
                  <w:vAlign w:val="center"/>
                </w:tcPr>
                <w:p w14:paraId="6FD9DF1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生活污水</w:t>
                  </w:r>
                </w:p>
              </w:tc>
              <w:tc>
                <w:tcPr>
                  <w:tcW w:w="784" w:type="pct"/>
                  <w:tcBorders>
                    <w:tl2br w:val="nil"/>
                    <w:tr2bl w:val="nil"/>
                  </w:tcBorders>
                  <w:vAlign w:val="center"/>
                </w:tcPr>
                <w:p w14:paraId="526C7D4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员工生活</w:t>
                  </w:r>
                </w:p>
              </w:tc>
              <w:tc>
                <w:tcPr>
                  <w:tcW w:w="1768" w:type="pct"/>
                  <w:tcBorders>
                    <w:tl2br w:val="nil"/>
                    <w:tr2bl w:val="nil"/>
                  </w:tcBorders>
                  <w:shd w:val="clear" w:color="auto" w:fill="auto"/>
                  <w:vAlign w:val="center"/>
                </w:tcPr>
                <w:p w14:paraId="0F810B3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经化粪池预处理后接管至</w:t>
                  </w:r>
                  <w:r>
                    <w:rPr>
                      <w:rFonts w:hint="default" w:ascii="Times New Roman" w:hAnsi="Times New Roman" w:eastAsia="宋体" w:cs="Times New Roman"/>
                      <w:color w:val="auto"/>
                      <w:szCs w:val="21"/>
                    </w:rPr>
                    <w:t>常州市金坛区第二污水处理厂集中处理</w:t>
                  </w:r>
                </w:p>
              </w:tc>
            </w:tr>
            <w:tr w14:paraId="5243E8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8" w:type="pct"/>
                  <w:vMerge w:val="continue"/>
                  <w:tcBorders>
                    <w:tl2br w:val="nil"/>
                    <w:tr2bl w:val="nil"/>
                  </w:tcBorders>
                  <w:vAlign w:val="center"/>
                </w:tcPr>
                <w:p w14:paraId="27DCBCFA">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3E8C0C3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W1</w:t>
                  </w:r>
                </w:p>
              </w:tc>
              <w:tc>
                <w:tcPr>
                  <w:tcW w:w="902" w:type="pct"/>
                  <w:tcBorders>
                    <w:tl2br w:val="nil"/>
                    <w:tr2bl w:val="nil"/>
                  </w:tcBorders>
                  <w:vAlign w:val="center"/>
                </w:tcPr>
                <w:p w14:paraId="36FD65E8">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清洗废水</w:t>
                  </w:r>
                </w:p>
              </w:tc>
              <w:tc>
                <w:tcPr>
                  <w:tcW w:w="784" w:type="pct"/>
                  <w:tcBorders>
                    <w:tl2br w:val="nil"/>
                    <w:tr2bl w:val="nil"/>
                  </w:tcBorders>
                  <w:vAlign w:val="center"/>
                </w:tcPr>
                <w:p w14:paraId="1507FBA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COD、SS等</w:t>
                  </w:r>
                </w:p>
              </w:tc>
              <w:tc>
                <w:tcPr>
                  <w:tcW w:w="1768" w:type="pct"/>
                  <w:tcBorders>
                    <w:tl2br w:val="nil"/>
                    <w:tr2bl w:val="nil"/>
                  </w:tcBorders>
                  <w:shd w:val="clear" w:color="auto" w:fill="auto"/>
                  <w:vAlign w:val="center"/>
                </w:tcPr>
                <w:p w14:paraId="2C99537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经厂内污水处理站处理后回用，不外排</w:t>
                  </w:r>
                </w:p>
              </w:tc>
            </w:tr>
            <w:tr w14:paraId="77F6A4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628" w:type="pct"/>
                  <w:vMerge w:val="continue"/>
                  <w:tcBorders>
                    <w:tl2br w:val="nil"/>
                    <w:tr2bl w:val="nil"/>
                  </w:tcBorders>
                  <w:vAlign w:val="center"/>
                </w:tcPr>
                <w:p w14:paraId="248D4D53">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7DBD1C2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902" w:type="pct"/>
                  <w:tcBorders>
                    <w:tl2br w:val="nil"/>
                    <w:tr2bl w:val="nil"/>
                  </w:tcBorders>
                  <w:vAlign w:val="center"/>
                </w:tcPr>
                <w:p w14:paraId="0A5B0A64">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喷淋塔废水</w:t>
                  </w:r>
                </w:p>
              </w:tc>
              <w:tc>
                <w:tcPr>
                  <w:tcW w:w="784" w:type="pct"/>
                  <w:tcBorders>
                    <w:tl2br w:val="nil"/>
                    <w:tr2bl w:val="nil"/>
                  </w:tcBorders>
                  <w:shd w:val="clear" w:color="auto" w:fill="auto"/>
                  <w:vAlign w:val="center"/>
                </w:tcPr>
                <w:p w14:paraId="2A1094F2">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COD、SS等</w:t>
                  </w:r>
                </w:p>
              </w:tc>
              <w:tc>
                <w:tcPr>
                  <w:tcW w:w="1768" w:type="pct"/>
                  <w:tcBorders>
                    <w:tl2br w:val="nil"/>
                    <w:tr2bl w:val="nil"/>
                  </w:tcBorders>
                  <w:shd w:val="clear" w:color="auto" w:fill="auto"/>
                  <w:vAlign w:val="center"/>
                </w:tcPr>
                <w:p w14:paraId="3A79696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经厂内污水处理站处理后回用，不外排</w:t>
                  </w:r>
                </w:p>
              </w:tc>
            </w:tr>
            <w:tr w14:paraId="64E851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restart"/>
                  <w:tcBorders>
                    <w:tl2br w:val="nil"/>
                    <w:tr2bl w:val="nil"/>
                  </w:tcBorders>
                  <w:vAlign w:val="center"/>
                </w:tcPr>
                <w:p w14:paraId="0B7B4DA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固废</w:t>
                  </w:r>
                </w:p>
              </w:tc>
              <w:tc>
                <w:tcPr>
                  <w:tcW w:w="916" w:type="pct"/>
                  <w:tcBorders>
                    <w:tl2br w:val="nil"/>
                    <w:tr2bl w:val="nil"/>
                  </w:tcBorders>
                  <w:vAlign w:val="center"/>
                </w:tcPr>
                <w:p w14:paraId="10EECB26">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S1</w:t>
                  </w:r>
                </w:p>
              </w:tc>
              <w:tc>
                <w:tcPr>
                  <w:tcW w:w="902" w:type="pct"/>
                  <w:tcBorders>
                    <w:tl2br w:val="nil"/>
                    <w:tr2bl w:val="nil"/>
                  </w:tcBorders>
                  <w:vAlign w:val="center"/>
                </w:tcPr>
                <w:p w14:paraId="10D48AD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清洗</w:t>
                  </w:r>
                </w:p>
              </w:tc>
              <w:tc>
                <w:tcPr>
                  <w:tcW w:w="784" w:type="pct"/>
                  <w:tcBorders>
                    <w:tl2br w:val="nil"/>
                    <w:tr2bl w:val="nil"/>
                  </w:tcBorders>
                  <w:vAlign w:val="center"/>
                </w:tcPr>
                <w:p w14:paraId="46663545">
                  <w:pPr>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废</w:t>
                  </w:r>
                  <w:r>
                    <w:rPr>
                      <w:rFonts w:hint="eastAsia" w:ascii="Times New Roman" w:hAnsi="Times New Roman" w:eastAsia="宋体" w:cs="Times New Roman"/>
                      <w:color w:val="auto"/>
                      <w:szCs w:val="21"/>
                      <w:lang w:val="en-US" w:eastAsia="zh-CN"/>
                    </w:rPr>
                    <w:t>清洗剂桶</w:t>
                  </w:r>
                </w:p>
              </w:tc>
              <w:tc>
                <w:tcPr>
                  <w:tcW w:w="1768" w:type="pct"/>
                  <w:tcBorders>
                    <w:tl2br w:val="nil"/>
                    <w:tr2bl w:val="nil"/>
                  </w:tcBorders>
                  <w:shd w:val="clear" w:color="auto" w:fill="auto"/>
                  <w:vAlign w:val="center"/>
                </w:tcPr>
                <w:p w14:paraId="55344CA3">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14F50D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tcBorders>
                    <w:tl2br w:val="nil"/>
                    <w:tr2bl w:val="nil"/>
                  </w:tcBorders>
                  <w:vAlign w:val="center"/>
                </w:tcPr>
                <w:p w14:paraId="469522B4">
                  <w:pPr>
                    <w:jc w:val="center"/>
                    <w:rPr>
                      <w:rFonts w:hint="default" w:ascii="Times New Roman" w:hAnsi="Times New Roman" w:eastAsia="宋体" w:cs="Times New Roman"/>
                      <w:color w:val="auto"/>
                      <w:szCs w:val="21"/>
                    </w:rPr>
                  </w:pPr>
                </w:p>
              </w:tc>
              <w:tc>
                <w:tcPr>
                  <w:tcW w:w="916" w:type="pct"/>
                  <w:tcBorders>
                    <w:tl2br w:val="nil"/>
                    <w:tr2bl w:val="nil"/>
                  </w:tcBorders>
                  <w:shd w:val="clear" w:color="auto" w:fill="auto"/>
                  <w:vAlign w:val="center"/>
                </w:tcPr>
                <w:p w14:paraId="7E7158A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S</w:t>
                  </w:r>
                  <w:r>
                    <w:rPr>
                      <w:rFonts w:hint="eastAsia" w:ascii="Times New Roman" w:hAnsi="Times New Roman" w:eastAsia="宋体" w:cs="Times New Roman"/>
                      <w:color w:val="auto"/>
                      <w:szCs w:val="21"/>
                      <w:lang w:val="en-US" w:eastAsia="zh-CN"/>
                    </w:rPr>
                    <w:t>2</w:t>
                  </w:r>
                </w:p>
              </w:tc>
              <w:tc>
                <w:tcPr>
                  <w:tcW w:w="902" w:type="pct"/>
                  <w:tcBorders>
                    <w:tl2br w:val="nil"/>
                    <w:tr2bl w:val="nil"/>
                  </w:tcBorders>
                  <w:vAlign w:val="center"/>
                </w:tcPr>
                <w:p w14:paraId="65DBFD9B">
                  <w:pPr>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清洗</w:t>
                  </w:r>
                </w:p>
              </w:tc>
              <w:tc>
                <w:tcPr>
                  <w:tcW w:w="784" w:type="pct"/>
                  <w:tcBorders>
                    <w:tl2br w:val="nil"/>
                    <w:tr2bl w:val="nil"/>
                  </w:tcBorders>
                  <w:vAlign w:val="center"/>
                </w:tcPr>
                <w:p w14:paraId="3F2E58E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清洗废渣</w:t>
                  </w:r>
                </w:p>
              </w:tc>
              <w:tc>
                <w:tcPr>
                  <w:tcW w:w="1768" w:type="pct"/>
                  <w:tcBorders>
                    <w:tl2br w:val="nil"/>
                    <w:tr2bl w:val="nil"/>
                  </w:tcBorders>
                  <w:shd w:val="clear" w:color="auto" w:fill="auto"/>
                  <w:vAlign w:val="center"/>
                </w:tcPr>
                <w:p w14:paraId="21665CD7">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481EBD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tcBorders>
                    <w:tl2br w:val="nil"/>
                    <w:tr2bl w:val="nil"/>
                  </w:tcBorders>
                  <w:vAlign w:val="center"/>
                </w:tcPr>
                <w:p w14:paraId="3C703433">
                  <w:pPr>
                    <w:jc w:val="center"/>
                    <w:rPr>
                      <w:rFonts w:hint="default" w:ascii="Times New Roman" w:hAnsi="Times New Roman" w:eastAsia="宋体" w:cs="Times New Roman"/>
                      <w:color w:val="auto"/>
                      <w:szCs w:val="21"/>
                    </w:rPr>
                  </w:pPr>
                </w:p>
              </w:tc>
              <w:tc>
                <w:tcPr>
                  <w:tcW w:w="916" w:type="pct"/>
                  <w:tcBorders>
                    <w:tl2br w:val="nil"/>
                    <w:tr2bl w:val="nil"/>
                  </w:tcBorders>
                  <w:shd w:val="clear" w:color="auto" w:fill="auto"/>
                  <w:vAlign w:val="center"/>
                </w:tcPr>
                <w:p w14:paraId="47162A7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S3</w:t>
                  </w:r>
                </w:p>
              </w:tc>
              <w:tc>
                <w:tcPr>
                  <w:tcW w:w="902" w:type="pct"/>
                  <w:tcBorders>
                    <w:tl2br w:val="nil"/>
                    <w:tr2bl w:val="nil"/>
                  </w:tcBorders>
                  <w:vAlign w:val="center"/>
                </w:tcPr>
                <w:p w14:paraId="4123422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油淬</w:t>
                  </w:r>
                </w:p>
              </w:tc>
              <w:tc>
                <w:tcPr>
                  <w:tcW w:w="784" w:type="pct"/>
                  <w:tcBorders>
                    <w:tl2br w:val="nil"/>
                    <w:tr2bl w:val="nil"/>
                  </w:tcBorders>
                  <w:vAlign w:val="center"/>
                </w:tcPr>
                <w:p w14:paraId="54AAEBF6">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废淬火油桶</w:t>
                  </w:r>
                </w:p>
              </w:tc>
              <w:tc>
                <w:tcPr>
                  <w:tcW w:w="1768" w:type="pct"/>
                  <w:tcBorders>
                    <w:tl2br w:val="nil"/>
                    <w:tr2bl w:val="nil"/>
                  </w:tcBorders>
                  <w:shd w:val="clear" w:color="auto" w:fill="auto"/>
                  <w:vAlign w:val="center"/>
                </w:tcPr>
                <w:p w14:paraId="1C2099BC">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55903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tcBorders>
                    <w:tl2br w:val="nil"/>
                    <w:tr2bl w:val="nil"/>
                  </w:tcBorders>
                  <w:vAlign w:val="center"/>
                </w:tcPr>
                <w:p w14:paraId="50652659">
                  <w:pPr>
                    <w:jc w:val="center"/>
                    <w:rPr>
                      <w:rFonts w:hint="default" w:ascii="Times New Roman" w:hAnsi="Times New Roman" w:eastAsia="宋体" w:cs="Times New Roman"/>
                      <w:color w:val="auto"/>
                      <w:szCs w:val="21"/>
                    </w:rPr>
                  </w:pPr>
                </w:p>
              </w:tc>
              <w:tc>
                <w:tcPr>
                  <w:tcW w:w="916" w:type="pct"/>
                  <w:tcBorders>
                    <w:tl2br w:val="nil"/>
                    <w:tr2bl w:val="nil"/>
                  </w:tcBorders>
                  <w:shd w:val="clear" w:color="auto" w:fill="auto"/>
                  <w:vAlign w:val="center"/>
                </w:tcPr>
                <w:p w14:paraId="50F5008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S4</w:t>
                  </w:r>
                </w:p>
              </w:tc>
              <w:tc>
                <w:tcPr>
                  <w:tcW w:w="902" w:type="pct"/>
                  <w:tcBorders>
                    <w:tl2br w:val="nil"/>
                    <w:tr2bl w:val="nil"/>
                  </w:tcBorders>
                  <w:shd w:val="clear" w:color="auto" w:fill="auto"/>
                  <w:vAlign w:val="center"/>
                </w:tcPr>
                <w:p w14:paraId="52585153">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油淬</w:t>
                  </w:r>
                </w:p>
              </w:tc>
              <w:tc>
                <w:tcPr>
                  <w:tcW w:w="784" w:type="pct"/>
                  <w:tcBorders>
                    <w:tl2br w:val="nil"/>
                    <w:tr2bl w:val="nil"/>
                  </w:tcBorders>
                  <w:shd w:val="clear" w:color="auto" w:fill="auto"/>
                  <w:vAlign w:val="center"/>
                </w:tcPr>
                <w:p w14:paraId="6575F139">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废淬火油</w:t>
                  </w:r>
                </w:p>
              </w:tc>
              <w:tc>
                <w:tcPr>
                  <w:tcW w:w="1768" w:type="pct"/>
                  <w:tcBorders>
                    <w:tl2br w:val="nil"/>
                    <w:tr2bl w:val="nil"/>
                  </w:tcBorders>
                  <w:shd w:val="clear" w:color="auto" w:fill="auto"/>
                  <w:vAlign w:val="center"/>
                </w:tcPr>
                <w:p w14:paraId="7941A7B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2C3072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tcBorders>
                    <w:tl2br w:val="nil"/>
                    <w:tr2bl w:val="nil"/>
                  </w:tcBorders>
                  <w:vAlign w:val="center"/>
                </w:tcPr>
                <w:p w14:paraId="3F4EE1D3">
                  <w:pPr>
                    <w:jc w:val="center"/>
                    <w:rPr>
                      <w:rFonts w:hint="default" w:ascii="Times New Roman" w:hAnsi="Times New Roman" w:eastAsia="宋体" w:cs="Times New Roman"/>
                      <w:color w:val="auto"/>
                      <w:szCs w:val="21"/>
                    </w:rPr>
                  </w:pPr>
                </w:p>
              </w:tc>
              <w:tc>
                <w:tcPr>
                  <w:tcW w:w="916" w:type="pct"/>
                  <w:tcBorders>
                    <w:tl2br w:val="nil"/>
                    <w:tr2bl w:val="nil"/>
                  </w:tcBorders>
                  <w:shd w:val="clear" w:color="auto" w:fill="auto"/>
                  <w:vAlign w:val="center"/>
                </w:tcPr>
                <w:p w14:paraId="20F1155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S5</w:t>
                  </w:r>
                </w:p>
              </w:tc>
              <w:tc>
                <w:tcPr>
                  <w:tcW w:w="902" w:type="pct"/>
                  <w:tcBorders>
                    <w:tl2br w:val="nil"/>
                    <w:tr2bl w:val="nil"/>
                  </w:tcBorders>
                  <w:vAlign w:val="center"/>
                </w:tcPr>
                <w:p w14:paraId="47664C9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喷砂</w:t>
                  </w:r>
                </w:p>
              </w:tc>
              <w:tc>
                <w:tcPr>
                  <w:tcW w:w="784" w:type="pct"/>
                  <w:tcBorders>
                    <w:tl2br w:val="nil"/>
                    <w:tr2bl w:val="nil"/>
                  </w:tcBorders>
                  <w:vAlign w:val="center"/>
                </w:tcPr>
                <w:p w14:paraId="784F754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废金刚砂</w:t>
                  </w:r>
                </w:p>
              </w:tc>
              <w:tc>
                <w:tcPr>
                  <w:tcW w:w="1768" w:type="pct"/>
                  <w:tcBorders>
                    <w:tl2br w:val="nil"/>
                    <w:tr2bl w:val="nil"/>
                  </w:tcBorders>
                  <w:shd w:val="clear" w:color="auto" w:fill="auto"/>
                  <w:vAlign w:val="center"/>
                </w:tcPr>
                <w:p w14:paraId="3454AF28">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收集后外售</w:t>
                  </w:r>
                </w:p>
              </w:tc>
            </w:tr>
            <w:tr w14:paraId="2147A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tcBorders>
                    <w:tl2br w:val="nil"/>
                    <w:tr2bl w:val="nil"/>
                  </w:tcBorders>
                  <w:vAlign w:val="center"/>
                </w:tcPr>
                <w:p w14:paraId="48EE100F">
                  <w:pPr>
                    <w:jc w:val="center"/>
                    <w:rPr>
                      <w:rFonts w:hint="default" w:ascii="Times New Roman" w:hAnsi="Times New Roman" w:eastAsia="宋体" w:cs="Times New Roman"/>
                      <w:color w:val="auto"/>
                      <w:szCs w:val="21"/>
                    </w:rPr>
                  </w:pPr>
                </w:p>
              </w:tc>
              <w:tc>
                <w:tcPr>
                  <w:tcW w:w="916" w:type="pct"/>
                  <w:tcBorders>
                    <w:tl2br w:val="nil"/>
                    <w:tr2bl w:val="nil"/>
                  </w:tcBorders>
                  <w:shd w:val="clear" w:color="auto" w:fill="auto"/>
                  <w:vAlign w:val="center"/>
                </w:tcPr>
                <w:p w14:paraId="4A6284CA">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Cs w:val="21"/>
                      <w:lang w:val="en-US" w:eastAsia="zh-CN"/>
                    </w:rPr>
                    <w:t>S6</w:t>
                  </w:r>
                </w:p>
              </w:tc>
              <w:tc>
                <w:tcPr>
                  <w:tcW w:w="902" w:type="pct"/>
                  <w:vMerge w:val="restart"/>
                  <w:tcBorders>
                    <w:tl2br w:val="nil"/>
                    <w:tr2bl w:val="nil"/>
                  </w:tcBorders>
                  <w:vAlign w:val="center"/>
                </w:tcPr>
                <w:p w14:paraId="3D822880">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上油</w:t>
                  </w:r>
                </w:p>
              </w:tc>
              <w:tc>
                <w:tcPr>
                  <w:tcW w:w="784" w:type="pct"/>
                  <w:tcBorders>
                    <w:tl2br w:val="nil"/>
                    <w:tr2bl w:val="nil"/>
                  </w:tcBorders>
                  <w:vAlign w:val="center"/>
                </w:tcPr>
                <w:p w14:paraId="22049C9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废防锈油桶</w:t>
                  </w:r>
                </w:p>
              </w:tc>
              <w:tc>
                <w:tcPr>
                  <w:tcW w:w="1768" w:type="pct"/>
                  <w:tcBorders>
                    <w:tl2br w:val="nil"/>
                    <w:tr2bl w:val="nil"/>
                  </w:tcBorders>
                  <w:shd w:val="clear" w:color="auto" w:fill="auto"/>
                  <w:vAlign w:val="center"/>
                </w:tcPr>
                <w:p w14:paraId="3F0A3F09">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422191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tcBorders>
                    <w:tl2br w:val="nil"/>
                    <w:tr2bl w:val="nil"/>
                  </w:tcBorders>
                  <w:vAlign w:val="center"/>
                </w:tcPr>
                <w:p w14:paraId="6090FC24">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56130DC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S7</w:t>
                  </w:r>
                </w:p>
              </w:tc>
              <w:tc>
                <w:tcPr>
                  <w:tcW w:w="902" w:type="pct"/>
                  <w:vMerge w:val="continue"/>
                  <w:tcBorders>
                    <w:tl2br w:val="nil"/>
                    <w:tr2bl w:val="nil"/>
                  </w:tcBorders>
                  <w:vAlign w:val="center"/>
                </w:tcPr>
                <w:p w14:paraId="7525C839">
                  <w:pPr>
                    <w:jc w:val="center"/>
                    <w:rPr>
                      <w:rFonts w:hint="default" w:ascii="Times New Roman" w:hAnsi="Times New Roman" w:eastAsia="宋体" w:cs="Times New Roman"/>
                      <w:color w:val="auto"/>
                      <w:szCs w:val="21"/>
                      <w:lang w:val="en-US" w:eastAsia="zh-CN"/>
                    </w:rPr>
                  </w:pPr>
                </w:p>
              </w:tc>
              <w:tc>
                <w:tcPr>
                  <w:tcW w:w="784" w:type="pct"/>
                  <w:tcBorders>
                    <w:tl2br w:val="nil"/>
                    <w:tr2bl w:val="nil"/>
                  </w:tcBorders>
                  <w:vAlign w:val="center"/>
                </w:tcPr>
                <w:p w14:paraId="51B9785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废防锈油</w:t>
                  </w:r>
                </w:p>
              </w:tc>
              <w:tc>
                <w:tcPr>
                  <w:tcW w:w="1768" w:type="pct"/>
                  <w:tcBorders>
                    <w:tl2br w:val="nil"/>
                    <w:tr2bl w:val="nil"/>
                  </w:tcBorders>
                  <w:shd w:val="clear" w:color="auto" w:fill="auto"/>
                  <w:vAlign w:val="center"/>
                </w:tcPr>
                <w:p w14:paraId="3F253A71">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0A9A5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tcBorders>
                    <w:tl2br w:val="nil"/>
                    <w:tr2bl w:val="nil"/>
                  </w:tcBorders>
                  <w:vAlign w:val="center"/>
                </w:tcPr>
                <w:p w14:paraId="43816450">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0796D5D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902" w:type="pct"/>
                  <w:tcBorders>
                    <w:tl2br w:val="nil"/>
                    <w:tr2bl w:val="nil"/>
                  </w:tcBorders>
                  <w:vAlign w:val="center"/>
                </w:tcPr>
                <w:p w14:paraId="6AAA896E">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废水处理</w:t>
                  </w:r>
                </w:p>
              </w:tc>
              <w:tc>
                <w:tcPr>
                  <w:tcW w:w="784" w:type="pct"/>
                  <w:tcBorders>
                    <w:tl2br w:val="nil"/>
                    <w:tr2bl w:val="nil"/>
                  </w:tcBorders>
                  <w:vAlign w:val="center"/>
                </w:tcPr>
                <w:p w14:paraId="6BB6A9A3">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污水处理站污泥和浓液</w:t>
                  </w:r>
                </w:p>
              </w:tc>
              <w:tc>
                <w:tcPr>
                  <w:tcW w:w="1768" w:type="pct"/>
                  <w:tcBorders>
                    <w:tl2br w:val="nil"/>
                    <w:tr2bl w:val="nil"/>
                  </w:tcBorders>
                  <w:shd w:val="clear" w:color="auto" w:fill="auto"/>
                  <w:vAlign w:val="center"/>
                </w:tcPr>
                <w:p w14:paraId="0C5CD560">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22773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tcBorders>
                    <w:tl2br w:val="nil"/>
                    <w:tr2bl w:val="nil"/>
                  </w:tcBorders>
                  <w:vAlign w:val="center"/>
                </w:tcPr>
                <w:p w14:paraId="2DBC53A4">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3EAF4571">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902" w:type="pct"/>
                  <w:vMerge w:val="restart"/>
                  <w:tcBorders>
                    <w:tl2br w:val="nil"/>
                    <w:tr2bl w:val="nil"/>
                  </w:tcBorders>
                  <w:vAlign w:val="center"/>
                </w:tcPr>
                <w:p w14:paraId="36904D5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废气处理</w:t>
                  </w:r>
                </w:p>
              </w:tc>
              <w:tc>
                <w:tcPr>
                  <w:tcW w:w="784" w:type="pct"/>
                  <w:tcBorders>
                    <w:tl2br w:val="nil"/>
                    <w:tr2bl w:val="nil"/>
                  </w:tcBorders>
                  <w:vAlign w:val="center"/>
                </w:tcPr>
                <w:p w14:paraId="6204A55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废活性炭</w:t>
                  </w:r>
                </w:p>
              </w:tc>
              <w:tc>
                <w:tcPr>
                  <w:tcW w:w="1768" w:type="pct"/>
                  <w:tcBorders>
                    <w:tl2br w:val="nil"/>
                    <w:tr2bl w:val="nil"/>
                  </w:tcBorders>
                  <w:shd w:val="clear" w:color="auto" w:fill="auto"/>
                  <w:vAlign w:val="center"/>
                </w:tcPr>
                <w:p w14:paraId="64E6844D">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收集后委托有资质单位处置</w:t>
                  </w:r>
                </w:p>
              </w:tc>
            </w:tr>
            <w:tr w14:paraId="5FBCDA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tcBorders>
                    <w:tl2br w:val="nil"/>
                    <w:tr2bl w:val="nil"/>
                  </w:tcBorders>
                  <w:vAlign w:val="center"/>
                </w:tcPr>
                <w:p w14:paraId="67A25D64">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61DBD20D">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902" w:type="pct"/>
                  <w:vMerge w:val="continue"/>
                  <w:tcBorders>
                    <w:tl2br w:val="nil"/>
                    <w:tr2bl w:val="nil"/>
                  </w:tcBorders>
                  <w:vAlign w:val="center"/>
                </w:tcPr>
                <w:p w14:paraId="2636CDDE">
                  <w:pPr>
                    <w:jc w:val="center"/>
                    <w:rPr>
                      <w:rFonts w:hint="eastAsia" w:ascii="Times New Roman" w:hAnsi="Times New Roman" w:eastAsia="宋体" w:cs="Times New Roman"/>
                      <w:color w:val="auto"/>
                      <w:szCs w:val="21"/>
                      <w:lang w:val="en-US" w:eastAsia="zh-CN"/>
                    </w:rPr>
                  </w:pPr>
                </w:p>
              </w:tc>
              <w:tc>
                <w:tcPr>
                  <w:tcW w:w="784" w:type="pct"/>
                  <w:tcBorders>
                    <w:tl2br w:val="nil"/>
                    <w:tr2bl w:val="nil"/>
                  </w:tcBorders>
                  <w:vAlign w:val="center"/>
                </w:tcPr>
                <w:p w14:paraId="4BB4373F">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废布袋</w:t>
                  </w:r>
                </w:p>
              </w:tc>
              <w:tc>
                <w:tcPr>
                  <w:tcW w:w="1768" w:type="pct"/>
                  <w:tcBorders>
                    <w:tl2br w:val="nil"/>
                    <w:tr2bl w:val="nil"/>
                  </w:tcBorders>
                  <w:shd w:val="clear" w:color="auto" w:fill="auto"/>
                  <w:vAlign w:val="center"/>
                </w:tcPr>
                <w:p w14:paraId="4F9DFD7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收集后外售</w:t>
                  </w:r>
                </w:p>
              </w:tc>
            </w:tr>
            <w:tr w14:paraId="0C88A0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tcBorders>
                    <w:tl2br w:val="nil"/>
                    <w:tr2bl w:val="nil"/>
                  </w:tcBorders>
                  <w:vAlign w:val="center"/>
                </w:tcPr>
                <w:p w14:paraId="17B17131">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1D753E8A">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w:t>
                  </w:r>
                </w:p>
              </w:tc>
              <w:tc>
                <w:tcPr>
                  <w:tcW w:w="902" w:type="pct"/>
                  <w:vMerge w:val="continue"/>
                  <w:tcBorders>
                    <w:tl2br w:val="nil"/>
                    <w:tr2bl w:val="nil"/>
                  </w:tcBorders>
                  <w:vAlign w:val="center"/>
                </w:tcPr>
                <w:p w14:paraId="390A1614">
                  <w:pPr>
                    <w:jc w:val="center"/>
                    <w:rPr>
                      <w:rFonts w:hint="eastAsia" w:ascii="Times New Roman" w:hAnsi="Times New Roman" w:eastAsia="宋体" w:cs="Times New Roman"/>
                      <w:color w:val="auto"/>
                      <w:szCs w:val="21"/>
                      <w:lang w:val="en-US" w:eastAsia="zh-CN"/>
                    </w:rPr>
                  </w:pPr>
                </w:p>
              </w:tc>
              <w:tc>
                <w:tcPr>
                  <w:tcW w:w="784" w:type="pct"/>
                  <w:tcBorders>
                    <w:tl2br w:val="nil"/>
                    <w:tr2bl w:val="nil"/>
                  </w:tcBorders>
                  <w:vAlign w:val="center"/>
                </w:tcPr>
                <w:p w14:paraId="4E69B369">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布袋收尘</w:t>
                  </w:r>
                </w:p>
              </w:tc>
              <w:tc>
                <w:tcPr>
                  <w:tcW w:w="1768" w:type="pct"/>
                  <w:tcBorders>
                    <w:tl2br w:val="nil"/>
                    <w:tr2bl w:val="nil"/>
                  </w:tcBorders>
                  <w:shd w:val="clear" w:color="auto" w:fill="auto"/>
                  <w:vAlign w:val="center"/>
                </w:tcPr>
                <w:p w14:paraId="6D48D53C">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收集后外售</w:t>
                  </w:r>
                </w:p>
              </w:tc>
            </w:tr>
            <w:tr w14:paraId="1D0187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8" w:type="pct"/>
                  <w:vMerge w:val="continue"/>
                  <w:tcBorders>
                    <w:tl2br w:val="nil"/>
                    <w:tr2bl w:val="nil"/>
                  </w:tcBorders>
                  <w:vAlign w:val="center"/>
                </w:tcPr>
                <w:p w14:paraId="2FE86740">
                  <w:pPr>
                    <w:jc w:val="center"/>
                    <w:rPr>
                      <w:rFonts w:hint="default" w:ascii="Times New Roman" w:hAnsi="Times New Roman" w:eastAsia="宋体" w:cs="Times New Roman"/>
                      <w:color w:val="auto"/>
                      <w:szCs w:val="21"/>
                    </w:rPr>
                  </w:pPr>
                </w:p>
              </w:tc>
              <w:tc>
                <w:tcPr>
                  <w:tcW w:w="916" w:type="pct"/>
                  <w:tcBorders>
                    <w:tl2br w:val="nil"/>
                    <w:tr2bl w:val="nil"/>
                  </w:tcBorders>
                  <w:vAlign w:val="center"/>
                </w:tcPr>
                <w:p w14:paraId="7398383D">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902" w:type="pct"/>
                  <w:tcBorders>
                    <w:tl2br w:val="nil"/>
                    <w:tr2bl w:val="nil"/>
                  </w:tcBorders>
                  <w:vAlign w:val="center"/>
                </w:tcPr>
                <w:p w14:paraId="696F4CE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员工生活、办公</w:t>
                  </w:r>
                </w:p>
              </w:tc>
              <w:tc>
                <w:tcPr>
                  <w:tcW w:w="784" w:type="pct"/>
                  <w:tcBorders>
                    <w:tl2br w:val="nil"/>
                    <w:tr2bl w:val="nil"/>
                  </w:tcBorders>
                  <w:vAlign w:val="center"/>
                </w:tcPr>
                <w:p w14:paraId="1F86D91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生活垃圾</w:t>
                  </w:r>
                </w:p>
              </w:tc>
              <w:tc>
                <w:tcPr>
                  <w:tcW w:w="1768" w:type="pct"/>
                  <w:tcBorders>
                    <w:tl2br w:val="nil"/>
                    <w:tr2bl w:val="nil"/>
                  </w:tcBorders>
                  <w:shd w:val="clear" w:color="auto" w:fill="auto"/>
                  <w:vAlign w:val="center"/>
                </w:tcPr>
                <w:p w14:paraId="7D94FEC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由环卫部门统一清运</w:t>
                  </w:r>
                </w:p>
              </w:tc>
            </w:tr>
          </w:tbl>
          <w:p w14:paraId="7DA3CDC3">
            <w:pPr>
              <w:spacing w:line="360" w:lineRule="auto"/>
              <w:rPr>
                <w:rFonts w:hint="default" w:ascii="Times New Roman" w:hAnsi="Times New Roman" w:eastAsia="宋体" w:cs="Times New Roman"/>
                <w:color w:val="auto"/>
                <w:kern w:val="2"/>
                <w:sz w:val="24"/>
                <w:szCs w:val="22"/>
                <w:lang w:val="en-US" w:eastAsia="zh-CN" w:bidi="ar-SA"/>
              </w:rPr>
            </w:pPr>
          </w:p>
        </w:tc>
      </w:tr>
      <w:tr w14:paraId="4C2B9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5" w:type="pct"/>
            <w:vAlign w:val="center"/>
          </w:tcPr>
          <w:p w14:paraId="7A0D48CE">
            <w:pPr>
              <w:jc w:val="center"/>
              <w:rPr>
                <w:rFonts w:hint="default" w:ascii="Times New Roman" w:hAnsi="Times New Roman" w:eastAsia="宋体" w:cs="Times New Roman"/>
                <w:b/>
                <w:color w:val="auto"/>
                <w:kern w:val="2"/>
                <w:sz w:val="24"/>
                <w:szCs w:val="22"/>
                <w:lang w:val="en-US" w:eastAsia="zh-CN" w:bidi="ar-SA"/>
              </w:rPr>
            </w:pPr>
            <w:r>
              <w:rPr>
                <w:rFonts w:hint="default" w:ascii="Times New Roman" w:hAnsi="Times New Roman" w:eastAsia="宋体" w:cs="Times New Roman"/>
                <w:b/>
                <w:color w:val="auto"/>
                <w:sz w:val="24"/>
              </w:rPr>
              <w:t>与项目有关的原有环境污染问题</w:t>
            </w:r>
          </w:p>
        </w:tc>
        <w:tc>
          <w:tcPr>
            <w:tcW w:w="4594" w:type="pct"/>
            <w:vAlign w:val="top"/>
          </w:tcPr>
          <w:p w14:paraId="3B602E9F">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一、本项目有关的原有污染情况及主要环境问题</w:t>
            </w:r>
          </w:p>
          <w:p w14:paraId="5B1A7307">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eastAsia="zh-CN"/>
              </w:rPr>
              <w:t>常州苏创热处理有限公司</w:t>
            </w:r>
            <w:r>
              <w:rPr>
                <w:rFonts w:hint="eastAsia" w:ascii="Times New Roman" w:hAnsi="Times New Roman" w:eastAsia="宋体" w:cs="Times New Roman"/>
                <w:color w:val="auto"/>
                <w:sz w:val="24"/>
                <w:lang w:val="en-US" w:eastAsia="zh-CN"/>
              </w:rPr>
              <w:t>购置位于</w:t>
            </w:r>
            <w:r>
              <w:rPr>
                <w:rFonts w:hint="default" w:ascii="Times New Roman" w:hAnsi="Times New Roman" w:eastAsia="宋体" w:cs="Times New Roman"/>
                <w:bCs/>
                <w:color w:val="auto"/>
                <w:sz w:val="24"/>
                <w:szCs w:val="24"/>
              </w:rPr>
              <w:t>华星科创产业园区</w:t>
            </w:r>
            <w:r>
              <w:rPr>
                <w:rFonts w:hint="eastAsia" w:ascii="Times New Roman" w:hAnsi="Times New Roman" w:eastAsia="宋体" w:cs="Times New Roman"/>
                <w:bCs/>
                <w:color w:val="auto"/>
                <w:sz w:val="24"/>
                <w:szCs w:val="24"/>
                <w:lang w:eastAsia="zh-CN"/>
              </w:rPr>
              <w:t>（常州华科星航运营管理有限公司）</w:t>
            </w:r>
            <w:r>
              <w:rPr>
                <w:rFonts w:hint="eastAsia" w:ascii="Times New Roman" w:hAnsi="Times New Roman" w:eastAsia="宋体" w:cs="Times New Roman"/>
                <w:bCs/>
                <w:color w:val="auto"/>
                <w:sz w:val="24"/>
                <w:szCs w:val="24"/>
                <w:lang w:val="en-US" w:eastAsia="zh-CN"/>
              </w:rPr>
              <w:t>的厂房一层3/4区域，建筑面积约1439.97平方米，另租用同一栋厂房二层3/4区域、三层3/4区域，建筑面积约3014.93平方米</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均</w:t>
            </w:r>
            <w:r>
              <w:rPr>
                <w:rFonts w:hint="default" w:ascii="Times New Roman" w:hAnsi="Times New Roman" w:eastAsia="宋体" w:cs="Times New Roman"/>
                <w:color w:val="auto"/>
                <w:sz w:val="24"/>
              </w:rPr>
              <w:t>为</w:t>
            </w:r>
            <w:r>
              <w:rPr>
                <w:rFonts w:hint="default" w:ascii="Times New Roman" w:hAnsi="Times New Roman" w:eastAsia="宋体" w:cs="Times New Roman"/>
                <w:color w:val="auto"/>
                <w:sz w:val="24"/>
                <w:lang w:val="en-US" w:eastAsia="zh-CN"/>
              </w:rPr>
              <w:t>空置</w:t>
            </w:r>
            <w:r>
              <w:rPr>
                <w:rFonts w:hint="default" w:ascii="Times New Roman" w:hAnsi="Times New Roman" w:eastAsia="宋体" w:cs="Times New Roman"/>
                <w:color w:val="auto"/>
                <w:sz w:val="24"/>
              </w:rPr>
              <w:t>厂房，因此不存在原有污染源和遗留环境问题。</w:t>
            </w:r>
          </w:p>
          <w:p w14:paraId="7ACC28C7">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二、本项目与华星科创产业园区</w:t>
            </w:r>
            <w:r>
              <w:rPr>
                <w:rFonts w:hint="eastAsia" w:ascii="Times New Roman" w:hAnsi="Times New Roman" w:eastAsia="宋体" w:cs="Times New Roman"/>
                <w:b/>
                <w:color w:val="auto"/>
                <w:sz w:val="24"/>
                <w:lang w:eastAsia="zh-CN"/>
              </w:rPr>
              <w:t>（常州华科星航运营管理有限公司）</w:t>
            </w:r>
            <w:r>
              <w:rPr>
                <w:rFonts w:hint="default" w:ascii="Times New Roman" w:hAnsi="Times New Roman" w:eastAsia="宋体" w:cs="Times New Roman"/>
                <w:b/>
                <w:color w:val="auto"/>
                <w:sz w:val="24"/>
              </w:rPr>
              <w:t>依托关系：</w:t>
            </w:r>
          </w:p>
          <w:p w14:paraId="50A20CAA">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本项目租赁</w:t>
            </w:r>
            <w:r>
              <w:rPr>
                <w:rFonts w:hint="eastAsia"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购置</w:t>
            </w:r>
            <w:r>
              <w:rPr>
                <w:rFonts w:hint="default" w:ascii="Times New Roman" w:hAnsi="Times New Roman" w:eastAsia="宋体" w:cs="Times New Roman"/>
                <w:bCs/>
                <w:color w:val="auto"/>
                <w:sz w:val="24"/>
                <w:szCs w:val="24"/>
              </w:rPr>
              <w:t>华星科创产业园区</w:t>
            </w:r>
            <w:r>
              <w:rPr>
                <w:rFonts w:hint="eastAsia" w:ascii="Times New Roman" w:hAnsi="Times New Roman" w:eastAsia="宋体" w:cs="Times New Roman"/>
                <w:bCs/>
                <w:color w:val="auto"/>
                <w:sz w:val="24"/>
                <w:szCs w:val="24"/>
                <w:lang w:eastAsia="zh-CN"/>
              </w:rPr>
              <w:t>（常州华科星航运营管理有限公司）</w:t>
            </w:r>
            <w:r>
              <w:rPr>
                <w:rFonts w:hint="default" w:ascii="Times New Roman" w:hAnsi="Times New Roman" w:eastAsia="宋体" w:cs="Times New Roman"/>
                <w:b w:val="0"/>
                <w:bCs/>
                <w:color w:val="auto"/>
                <w:sz w:val="24"/>
              </w:rPr>
              <w:t>进行生产，</w:t>
            </w:r>
            <w:r>
              <w:rPr>
                <w:rFonts w:hint="eastAsia" w:ascii="Times New Roman" w:hAnsi="Times New Roman" w:eastAsia="宋体" w:cs="Times New Roman"/>
                <w:b w:val="0"/>
                <w:bCs/>
                <w:color w:val="auto"/>
                <w:sz w:val="24"/>
                <w:lang w:val="en-US" w:eastAsia="zh-CN"/>
              </w:rPr>
              <w:t>园区</w:t>
            </w:r>
            <w:r>
              <w:rPr>
                <w:rFonts w:hint="default" w:ascii="Times New Roman" w:hAnsi="Times New Roman" w:eastAsia="宋体" w:cs="Times New Roman"/>
                <w:b w:val="0"/>
                <w:bCs/>
                <w:color w:val="auto"/>
                <w:sz w:val="24"/>
              </w:rPr>
              <w:t>已按照</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雨污分流</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的原则进行建设。经与建设单位核实，本项目与其依托关系如下：</w:t>
            </w:r>
          </w:p>
          <w:p w14:paraId="2B852D29">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1、本项目</w:t>
            </w:r>
            <w:r>
              <w:rPr>
                <w:rFonts w:hint="eastAsia" w:ascii="Times New Roman" w:hAnsi="Times New Roman" w:eastAsia="宋体" w:cs="Times New Roman"/>
                <w:b w:val="0"/>
                <w:bCs/>
                <w:color w:val="auto"/>
                <w:sz w:val="24"/>
                <w:lang w:val="en-US" w:eastAsia="zh-CN"/>
              </w:rPr>
              <w:t>生活污水</w:t>
            </w:r>
            <w:r>
              <w:rPr>
                <w:rFonts w:hint="default" w:ascii="Times New Roman" w:hAnsi="Times New Roman" w:eastAsia="宋体" w:cs="Times New Roman"/>
                <w:b w:val="0"/>
                <w:bCs/>
                <w:color w:val="auto"/>
                <w:sz w:val="24"/>
              </w:rPr>
              <w:t>依托</w:t>
            </w:r>
            <w:r>
              <w:rPr>
                <w:rFonts w:hint="eastAsia" w:ascii="Times New Roman" w:hAnsi="Times New Roman" w:eastAsia="宋体" w:cs="Times New Roman"/>
                <w:b w:val="0"/>
                <w:bCs/>
                <w:color w:val="auto"/>
                <w:sz w:val="24"/>
                <w:lang w:val="en-US" w:eastAsia="zh-CN"/>
              </w:rPr>
              <w:t>园区</w:t>
            </w:r>
            <w:r>
              <w:rPr>
                <w:rFonts w:hint="default" w:ascii="Times New Roman" w:hAnsi="Times New Roman" w:eastAsia="宋体" w:cs="Times New Roman"/>
                <w:b w:val="0"/>
                <w:bCs/>
                <w:color w:val="auto"/>
                <w:sz w:val="24"/>
              </w:rPr>
              <w:t>内现有</w:t>
            </w:r>
            <w:r>
              <w:rPr>
                <w:rFonts w:hint="eastAsia" w:ascii="Times New Roman" w:hAnsi="Times New Roman" w:eastAsia="宋体" w:cs="Times New Roman"/>
                <w:b w:val="0"/>
                <w:bCs/>
                <w:color w:val="auto"/>
                <w:sz w:val="24"/>
                <w:lang w:val="en-US" w:eastAsia="zh-CN"/>
              </w:rPr>
              <w:t>化粪池、</w:t>
            </w:r>
            <w:r>
              <w:rPr>
                <w:rFonts w:hint="default" w:ascii="Times New Roman" w:hAnsi="Times New Roman" w:eastAsia="宋体" w:cs="Times New Roman"/>
                <w:b w:val="0"/>
                <w:bCs/>
                <w:color w:val="auto"/>
                <w:sz w:val="24"/>
              </w:rPr>
              <w:t>污水管网和排污口接入区域污水管网，进常州金坛区第二污水处理有限公司处理。</w:t>
            </w:r>
          </w:p>
          <w:p w14:paraId="7EEC65E5">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2、</w:t>
            </w:r>
            <w:r>
              <w:rPr>
                <w:rFonts w:hint="eastAsia" w:ascii="Times New Roman" w:hAnsi="Times New Roman" w:eastAsia="宋体" w:cs="Times New Roman"/>
                <w:b w:val="0"/>
                <w:bCs/>
                <w:color w:val="auto"/>
                <w:sz w:val="24"/>
                <w:lang w:eastAsia="zh-CN"/>
              </w:rPr>
              <w:t>常州苏创热处理有限公司</w:t>
            </w:r>
            <w:r>
              <w:rPr>
                <w:rFonts w:hint="default" w:ascii="Times New Roman" w:hAnsi="Times New Roman" w:eastAsia="宋体" w:cs="Times New Roman"/>
                <w:b w:val="0"/>
                <w:bCs/>
                <w:color w:val="auto"/>
                <w:sz w:val="24"/>
              </w:rPr>
              <w:t>应确保本项目仅排放员工的生活污水，严禁向排污口倾倒其他废水、废液等。</w:t>
            </w:r>
          </w:p>
          <w:p w14:paraId="538E0EF6">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3、</w:t>
            </w:r>
            <w:r>
              <w:rPr>
                <w:rFonts w:hint="eastAsia" w:ascii="Times New Roman" w:hAnsi="Times New Roman" w:eastAsia="宋体" w:cs="Times New Roman"/>
                <w:b w:val="0"/>
                <w:bCs/>
                <w:color w:val="auto"/>
                <w:sz w:val="24"/>
                <w:lang w:eastAsia="zh-CN"/>
              </w:rPr>
              <w:t>常州苏创热处理有限公司</w:t>
            </w:r>
            <w:r>
              <w:rPr>
                <w:rFonts w:hint="default" w:ascii="Times New Roman" w:hAnsi="Times New Roman" w:eastAsia="宋体" w:cs="Times New Roman"/>
                <w:b w:val="0"/>
                <w:bCs/>
                <w:color w:val="auto"/>
                <w:sz w:val="24"/>
              </w:rPr>
              <w:t>在接入</w:t>
            </w:r>
            <w:r>
              <w:rPr>
                <w:rFonts w:hint="eastAsia" w:ascii="Times New Roman" w:hAnsi="Times New Roman" w:eastAsia="宋体" w:cs="Times New Roman"/>
                <w:b w:val="0"/>
                <w:bCs/>
                <w:color w:val="auto"/>
                <w:sz w:val="24"/>
                <w:lang w:val="en-US" w:eastAsia="zh-CN"/>
              </w:rPr>
              <w:t>园区</w:t>
            </w:r>
            <w:r>
              <w:rPr>
                <w:rFonts w:hint="default" w:ascii="Times New Roman" w:hAnsi="Times New Roman" w:eastAsia="宋体" w:cs="Times New Roman"/>
                <w:b w:val="0"/>
                <w:bCs/>
                <w:color w:val="auto"/>
                <w:sz w:val="24"/>
              </w:rPr>
              <w:t>的接管口前单独设置采样井及环境保护提示牌。</w:t>
            </w:r>
          </w:p>
          <w:p w14:paraId="025BEEA4">
            <w:pPr>
              <w:spacing w:line="360" w:lineRule="auto"/>
              <w:ind w:firstLine="480" w:firstLineChars="200"/>
              <w:rPr>
                <w:rFonts w:hint="default"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val="en-US" w:eastAsia="zh-CN"/>
              </w:rPr>
              <w:t>4</w:t>
            </w:r>
            <w:r>
              <w:rPr>
                <w:rFonts w:hint="default" w:ascii="Times New Roman" w:hAnsi="Times New Roman" w:eastAsia="宋体" w:cs="Times New Roman"/>
                <w:b w:val="0"/>
                <w:bCs/>
                <w:color w:val="auto"/>
                <w:sz w:val="24"/>
              </w:rPr>
              <w:t>、本项目供水管网、供电管网、雨水管网及雨水排口等基础设施均依托</w:t>
            </w:r>
            <w:r>
              <w:rPr>
                <w:rFonts w:hint="eastAsia" w:ascii="Times New Roman" w:hAnsi="Times New Roman" w:eastAsia="宋体" w:cs="Times New Roman"/>
                <w:b w:val="0"/>
                <w:bCs/>
                <w:color w:val="auto"/>
                <w:sz w:val="24"/>
                <w:lang w:val="en-US" w:eastAsia="zh-CN"/>
              </w:rPr>
              <w:t>园区现有</w:t>
            </w:r>
            <w:r>
              <w:rPr>
                <w:rFonts w:hint="default" w:ascii="Times New Roman" w:hAnsi="Times New Roman" w:eastAsia="宋体" w:cs="Times New Roman"/>
                <w:b w:val="0"/>
                <w:bCs/>
                <w:color w:val="auto"/>
                <w:sz w:val="24"/>
              </w:rPr>
              <w:t>。</w:t>
            </w:r>
          </w:p>
          <w:p w14:paraId="0FADF241">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三</w:t>
            </w:r>
            <w:r>
              <w:rPr>
                <w:rFonts w:hint="default" w:ascii="Times New Roman" w:hAnsi="Times New Roman" w:eastAsia="宋体" w:cs="Times New Roman"/>
                <w:b/>
                <w:color w:val="auto"/>
                <w:sz w:val="24"/>
              </w:rPr>
              <w:t>、责任主体</w:t>
            </w:r>
          </w:p>
          <w:p w14:paraId="292D8386">
            <w:pPr>
              <w:spacing w:line="360" w:lineRule="auto"/>
              <w:ind w:firstLine="480" w:firstLineChars="200"/>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bCs/>
                <w:color w:val="auto"/>
                <w:sz w:val="24"/>
                <w:szCs w:val="24"/>
              </w:rPr>
              <w:t>华星科创产业园区</w:t>
            </w:r>
            <w:r>
              <w:rPr>
                <w:rFonts w:hint="eastAsia" w:ascii="Times New Roman" w:hAnsi="Times New Roman" w:eastAsia="宋体" w:cs="Times New Roman"/>
                <w:bCs/>
                <w:color w:val="auto"/>
                <w:sz w:val="24"/>
                <w:szCs w:val="24"/>
                <w:lang w:eastAsia="zh-CN"/>
              </w:rPr>
              <w:t>（常州华科星航运营管理有限公司）</w:t>
            </w:r>
            <w:r>
              <w:rPr>
                <w:rFonts w:hint="default" w:ascii="Times New Roman" w:hAnsi="Times New Roman" w:eastAsia="宋体" w:cs="Times New Roman"/>
                <w:b w:val="0"/>
                <w:bCs/>
                <w:color w:val="auto"/>
                <w:sz w:val="24"/>
              </w:rPr>
              <w:t>应加强管理，确保</w:t>
            </w:r>
            <w:r>
              <w:rPr>
                <w:rFonts w:hint="eastAsia" w:ascii="Times New Roman" w:hAnsi="Times New Roman" w:eastAsia="宋体" w:cs="Times New Roman"/>
                <w:b w:val="0"/>
                <w:bCs/>
                <w:color w:val="auto"/>
                <w:sz w:val="24"/>
                <w:lang w:val="en-US" w:eastAsia="zh-CN"/>
              </w:rPr>
              <w:t>园区</w:t>
            </w:r>
            <w:r>
              <w:rPr>
                <w:rFonts w:hint="default" w:ascii="Times New Roman" w:hAnsi="Times New Roman" w:eastAsia="宋体" w:cs="Times New Roman"/>
                <w:b w:val="0"/>
                <w:bCs/>
                <w:color w:val="auto"/>
                <w:sz w:val="24"/>
              </w:rPr>
              <w:t>内废水总排污口各因子可达常州金坛区第二污水处理有限公司接管标准要求。若厂区接管口的采样井出现超标排放，由</w:t>
            </w:r>
            <w:r>
              <w:rPr>
                <w:rFonts w:hint="default" w:ascii="Times New Roman" w:hAnsi="Times New Roman" w:eastAsia="宋体" w:cs="Times New Roman"/>
                <w:bCs/>
                <w:color w:val="auto"/>
                <w:sz w:val="24"/>
                <w:szCs w:val="24"/>
              </w:rPr>
              <w:t>华星科创产业园区</w:t>
            </w:r>
            <w:r>
              <w:rPr>
                <w:rFonts w:hint="eastAsia" w:ascii="Times New Roman" w:hAnsi="Times New Roman" w:eastAsia="宋体" w:cs="Times New Roman"/>
                <w:bCs/>
                <w:color w:val="auto"/>
                <w:sz w:val="24"/>
                <w:szCs w:val="24"/>
                <w:lang w:eastAsia="zh-CN"/>
              </w:rPr>
              <w:t>（常州华科星航运营管理有限公司）</w:t>
            </w:r>
            <w:r>
              <w:rPr>
                <w:rFonts w:hint="default" w:ascii="Times New Roman" w:hAnsi="Times New Roman" w:eastAsia="宋体" w:cs="Times New Roman"/>
                <w:b w:val="0"/>
                <w:bCs/>
                <w:color w:val="auto"/>
                <w:sz w:val="24"/>
              </w:rPr>
              <w:t>承担相关责任。若</w:t>
            </w:r>
            <w:r>
              <w:rPr>
                <w:rFonts w:hint="eastAsia" w:ascii="Times New Roman" w:hAnsi="Times New Roman" w:eastAsia="宋体" w:cs="Times New Roman"/>
                <w:b w:val="0"/>
                <w:bCs/>
                <w:color w:val="auto"/>
                <w:sz w:val="24"/>
                <w:lang w:eastAsia="zh-CN"/>
              </w:rPr>
              <w:t>常州苏创热处理有限公司</w:t>
            </w:r>
            <w:r>
              <w:rPr>
                <w:rFonts w:hint="default" w:ascii="Times New Roman" w:hAnsi="Times New Roman" w:eastAsia="宋体" w:cs="Times New Roman"/>
                <w:b w:val="0"/>
                <w:bCs/>
                <w:color w:val="auto"/>
                <w:sz w:val="24"/>
              </w:rPr>
              <w:t>设置的单独接管口的采样井出现超标排放，废气排放口出现超标排放，固废未按要求收集及处理</w:t>
            </w:r>
            <w:r>
              <w:rPr>
                <w:rFonts w:hint="default" w:ascii="Times New Roman" w:hAnsi="Times New Roman" w:eastAsia="宋体" w:cs="Times New Roman"/>
                <w:b w:val="0"/>
                <w:bCs/>
                <w:color w:val="auto"/>
                <w:sz w:val="24"/>
                <w:lang w:val="en-US" w:eastAsia="zh-CN"/>
              </w:rPr>
              <w:t>等</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由</w:t>
            </w:r>
            <w:r>
              <w:rPr>
                <w:rFonts w:hint="eastAsia" w:ascii="Times New Roman" w:hAnsi="Times New Roman" w:eastAsia="宋体" w:cs="Times New Roman"/>
                <w:b w:val="0"/>
                <w:bCs/>
                <w:color w:val="auto"/>
                <w:sz w:val="24"/>
                <w:lang w:eastAsia="zh-CN"/>
              </w:rPr>
              <w:t>常州苏创热处理有限公司</w:t>
            </w:r>
            <w:r>
              <w:rPr>
                <w:rFonts w:hint="default" w:ascii="Times New Roman" w:hAnsi="Times New Roman" w:eastAsia="宋体" w:cs="Times New Roman"/>
                <w:b w:val="0"/>
                <w:bCs/>
                <w:color w:val="auto"/>
                <w:sz w:val="24"/>
              </w:rPr>
              <w:t>承担相关责任。厂界噪声出现超标排放</w:t>
            </w:r>
            <w:r>
              <w:rPr>
                <w:rFonts w:hint="default" w:ascii="Times New Roman" w:hAnsi="Times New Roman" w:eastAsia="宋体" w:cs="Times New Roman"/>
                <w:b w:val="0"/>
                <w:bCs/>
                <w:color w:val="auto"/>
                <w:sz w:val="24"/>
                <w:lang w:val="en-US" w:eastAsia="zh-CN"/>
              </w:rPr>
              <w:t>时，相关监管部门关停厂区其他厂并进行厂界噪声监测，若检测数据超标，由</w:t>
            </w:r>
            <w:r>
              <w:rPr>
                <w:rFonts w:hint="eastAsia" w:ascii="Times New Roman" w:hAnsi="Times New Roman" w:eastAsia="宋体" w:cs="Times New Roman"/>
                <w:b w:val="0"/>
                <w:bCs/>
                <w:color w:val="auto"/>
                <w:sz w:val="24"/>
                <w:lang w:eastAsia="zh-CN"/>
              </w:rPr>
              <w:t>常州苏创热处理有限公司</w:t>
            </w:r>
            <w:r>
              <w:rPr>
                <w:rFonts w:hint="default" w:ascii="Times New Roman" w:hAnsi="Times New Roman" w:eastAsia="宋体" w:cs="Times New Roman"/>
                <w:b w:val="0"/>
                <w:bCs/>
                <w:color w:val="auto"/>
                <w:sz w:val="24"/>
              </w:rPr>
              <w:t>承担相关责任</w:t>
            </w:r>
            <w:r>
              <w:rPr>
                <w:rFonts w:hint="default" w:ascii="Times New Roman" w:hAnsi="Times New Roman" w:eastAsia="宋体" w:cs="Times New Roman"/>
                <w:b w:val="0"/>
                <w:bCs/>
                <w:color w:val="auto"/>
                <w:sz w:val="24"/>
                <w:lang w:eastAsia="zh-CN"/>
              </w:rPr>
              <w:t>。</w:t>
            </w:r>
          </w:p>
          <w:p w14:paraId="536B8775">
            <w:pPr>
              <w:spacing w:line="360" w:lineRule="auto"/>
              <w:ind w:firstLine="482" w:firstLineChars="200"/>
              <w:rPr>
                <w:rFonts w:hint="default" w:ascii="Times New Roman" w:hAnsi="Times New Roman" w:eastAsia="宋体" w:cs="Times New Roman"/>
                <w:b/>
                <w:color w:val="auto"/>
                <w:sz w:val="24"/>
              </w:rPr>
            </w:pPr>
          </w:p>
          <w:p w14:paraId="07D92902">
            <w:pPr>
              <w:spacing w:line="360" w:lineRule="auto"/>
              <w:ind w:firstLine="482" w:firstLineChars="200"/>
              <w:rPr>
                <w:rFonts w:hint="default" w:ascii="Times New Roman" w:hAnsi="Times New Roman" w:eastAsia="宋体" w:cs="Times New Roman"/>
                <w:b/>
                <w:color w:val="auto"/>
                <w:sz w:val="24"/>
              </w:rPr>
            </w:pPr>
          </w:p>
          <w:p w14:paraId="56420BCA">
            <w:pPr>
              <w:spacing w:line="360" w:lineRule="auto"/>
              <w:ind w:firstLine="482" w:firstLineChars="200"/>
              <w:rPr>
                <w:rFonts w:hint="default" w:ascii="Times New Roman" w:hAnsi="Times New Roman" w:eastAsia="宋体" w:cs="Times New Roman"/>
                <w:b/>
                <w:color w:val="auto"/>
                <w:sz w:val="24"/>
              </w:rPr>
            </w:pPr>
          </w:p>
          <w:p w14:paraId="0B1767A2">
            <w:pPr>
              <w:spacing w:line="360" w:lineRule="auto"/>
              <w:ind w:firstLine="482" w:firstLineChars="200"/>
              <w:rPr>
                <w:rFonts w:hint="default" w:ascii="Times New Roman" w:hAnsi="Times New Roman" w:eastAsia="宋体" w:cs="Times New Roman"/>
                <w:b/>
                <w:color w:val="auto"/>
                <w:sz w:val="24"/>
              </w:rPr>
            </w:pPr>
          </w:p>
          <w:p w14:paraId="421DB274">
            <w:pPr>
              <w:spacing w:line="360" w:lineRule="auto"/>
              <w:rPr>
                <w:rFonts w:hint="default" w:ascii="Times New Roman" w:hAnsi="Times New Roman" w:eastAsia="宋体" w:cs="Times New Roman"/>
                <w:color w:val="auto"/>
                <w:kern w:val="2"/>
                <w:sz w:val="24"/>
                <w:szCs w:val="22"/>
                <w:lang w:val="en-US" w:eastAsia="zh-CN" w:bidi="ar-SA"/>
              </w:rPr>
            </w:pPr>
          </w:p>
        </w:tc>
      </w:tr>
    </w:tbl>
    <w:p w14:paraId="79BA4D5B">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6CB36419">
      <w:pPr>
        <w:pStyle w:val="4"/>
        <w:rPr>
          <w:rFonts w:hint="default" w:ascii="Times New Roman" w:hAnsi="Times New Roman" w:cs="Times New Roman"/>
          <w:color w:val="auto"/>
        </w:rPr>
      </w:pPr>
      <w:r>
        <w:rPr>
          <w:rFonts w:hint="default" w:ascii="Times New Roman" w:hAnsi="Times New Roman" w:cs="Times New Roman"/>
          <w:color w:val="auto"/>
        </w:rPr>
        <w:t>三、区域环境现状、环境保护目标及评价标准</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8510"/>
      </w:tblGrid>
      <w:tr w14:paraId="0C202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Align w:val="center"/>
          </w:tcPr>
          <w:p w14:paraId="5AA08CAC">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区域环境质量现状</w:t>
            </w:r>
          </w:p>
        </w:tc>
        <w:tc>
          <w:tcPr>
            <w:tcW w:w="4581" w:type="pct"/>
          </w:tcPr>
          <w:p w14:paraId="724F23EA">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1、大气环境</w:t>
            </w:r>
          </w:p>
          <w:p w14:paraId="3DD7823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（1）大气基准污染物环境质量现状</w:t>
            </w:r>
          </w:p>
          <w:p w14:paraId="39D78AA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建设项目环境影响报告表编制技术指南（污染影响类）（试行）》，常规污染物引用与建设项目距离近的有效数据，包括近3年的规划环境影响评价的监测数据，国家、地方环境空气质量监测网数据或生态环境主管部门公开发布的质量数据等。</w:t>
            </w:r>
          </w:p>
          <w:p w14:paraId="54150E97">
            <w:pPr>
              <w:keepNext w:val="0"/>
              <w:keepLines w:val="0"/>
              <w:pageBreakBefore w:val="0"/>
              <w:widowControl w:val="0"/>
              <w:kinsoku/>
              <w:wordWrap/>
              <w:overflowPunct/>
              <w:topLinePunct w:val="0"/>
              <w:autoSpaceDE/>
              <w:autoSpaceDN/>
              <w:bidi w:val="0"/>
              <w:adjustRightInd/>
              <w:spacing w:line="480" w:lineRule="exact"/>
              <w:ind w:firstLine="480" w:firstLineChars="200"/>
              <w:textAlignment w:val="auto"/>
              <w:rPr>
                <w:rFonts w:hint="default" w:ascii="Times New Roman" w:hAnsi="Times New Roman" w:eastAsia="宋体" w:cs="Times New Roman"/>
                <w:caps w:val="0"/>
                <w:smallCaps w:val="0"/>
                <w:color w:val="auto"/>
                <w:spacing w:val="0"/>
                <w:sz w:val="24"/>
                <w:szCs w:val="24"/>
                <w:highlight w:val="none"/>
              </w:rPr>
            </w:pPr>
            <w:r>
              <w:rPr>
                <w:rFonts w:hint="default" w:ascii="Times New Roman" w:hAnsi="Times New Roman" w:eastAsia="宋体" w:cs="Times New Roman"/>
                <w:caps w:val="0"/>
                <w:smallCaps w:val="0"/>
                <w:color w:val="auto"/>
                <w:spacing w:val="0"/>
                <w:sz w:val="24"/>
                <w:szCs w:val="24"/>
                <w:highlight w:val="none"/>
              </w:rPr>
              <w:t>本次评价选取202</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default" w:ascii="Times New Roman" w:hAnsi="Times New Roman" w:eastAsia="宋体" w:cs="Times New Roman"/>
                <w:caps w:val="0"/>
                <w:smallCaps w:val="0"/>
                <w:color w:val="auto"/>
                <w:spacing w:val="0"/>
                <w:sz w:val="24"/>
                <w:szCs w:val="24"/>
                <w:highlight w:val="none"/>
              </w:rPr>
              <w:t>年作为评价基准年，根据《202</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default" w:ascii="Times New Roman" w:hAnsi="Times New Roman" w:eastAsia="宋体" w:cs="Times New Roman"/>
                <w:caps w:val="0"/>
                <w:smallCaps w:val="0"/>
                <w:color w:val="auto"/>
                <w:spacing w:val="0"/>
                <w:sz w:val="24"/>
                <w:szCs w:val="24"/>
                <w:highlight w:val="none"/>
              </w:rPr>
              <w:t>年常州市生态环境质量状况公报》，项目所在区域常州市各评价因子数据见表</w:t>
            </w:r>
            <w:r>
              <w:rPr>
                <w:rFonts w:hint="default" w:ascii="Times New Roman" w:hAnsi="Times New Roman" w:eastAsia="宋体" w:cs="Times New Roman"/>
                <w:caps w:val="0"/>
                <w:smallCaps w:val="0"/>
                <w:color w:val="auto"/>
                <w:spacing w:val="0"/>
                <w:sz w:val="24"/>
                <w:szCs w:val="24"/>
                <w:highlight w:val="none"/>
                <w:lang w:val="en-US" w:eastAsia="zh-CN"/>
              </w:rPr>
              <w:t>3-</w:t>
            </w:r>
            <w:r>
              <w:rPr>
                <w:rFonts w:hint="eastAsia" w:ascii="Times New Roman" w:hAnsi="Times New Roman" w:eastAsia="宋体" w:cs="Times New Roman"/>
                <w:caps w:val="0"/>
                <w:smallCaps w:val="0"/>
                <w:color w:val="auto"/>
                <w:spacing w:val="0"/>
                <w:sz w:val="24"/>
                <w:szCs w:val="24"/>
                <w:highlight w:val="none"/>
                <w:lang w:val="en-US" w:eastAsia="zh-CN"/>
              </w:rPr>
              <w:t>1</w:t>
            </w:r>
            <w:r>
              <w:rPr>
                <w:rFonts w:hint="default" w:ascii="Times New Roman" w:hAnsi="Times New Roman" w:eastAsia="宋体" w:cs="Times New Roman"/>
                <w:caps w:val="0"/>
                <w:smallCaps w:val="0"/>
                <w:color w:val="auto"/>
                <w:spacing w:val="0"/>
                <w:sz w:val="24"/>
                <w:szCs w:val="24"/>
                <w:highlight w:val="none"/>
              </w:rPr>
              <w:t>。</w:t>
            </w:r>
          </w:p>
          <w:p w14:paraId="5AADB9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aps w:val="0"/>
                <w:smallCaps w:val="0"/>
                <w:color w:val="auto"/>
                <w:spacing w:val="0"/>
                <w:sz w:val="24"/>
                <w:szCs w:val="24"/>
                <w:highlight w:val="none"/>
              </w:rPr>
            </w:pPr>
            <w:r>
              <w:rPr>
                <w:rFonts w:hint="default" w:ascii="Times New Roman" w:hAnsi="Times New Roman" w:eastAsia="宋体" w:cs="Times New Roman"/>
                <w:b/>
                <w:bCs/>
                <w:caps w:val="0"/>
                <w:smallCaps w:val="0"/>
                <w:color w:val="auto"/>
                <w:spacing w:val="0"/>
                <w:sz w:val="24"/>
                <w:szCs w:val="24"/>
                <w:highlight w:val="none"/>
              </w:rPr>
              <w:t>表</w:t>
            </w:r>
            <w:r>
              <w:rPr>
                <w:rFonts w:hint="default" w:ascii="Times New Roman" w:hAnsi="Times New Roman" w:eastAsia="宋体" w:cs="Times New Roman"/>
                <w:b/>
                <w:bCs/>
                <w:caps w:val="0"/>
                <w:smallCaps w:val="0"/>
                <w:color w:val="auto"/>
                <w:spacing w:val="0"/>
                <w:sz w:val="24"/>
                <w:szCs w:val="24"/>
                <w:highlight w:val="none"/>
                <w:lang w:val="en-US" w:eastAsia="zh-CN"/>
              </w:rPr>
              <w:t>3-</w:t>
            </w:r>
            <w:r>
              <w:rPr>
                <w:rFonts w:hint="eastAsia" w:ascii="Times New Roman" w:hAnsi="Times New Roman" w:eastAsia="宋体" w:cs="Times New Roman"/>
                <w:b/>
                <w:bCs/>
                <w:caps w:val="0"/>
                <w:smallCaps w:val="0"/>
                <w:color w:val="auto"/>
                <w:spacing w:val="0"/>
                <w:sz w:val="24"/>
                <w:szCs w:val="24"/>
                <w:highlight w:val="none"/>
                <w:lang w:val="en-US" w:eastAsia="zh-CN"/>
              </w:rPr>
              <w:t>1</w:t>
            </w:r>
            <w:r>
              <w:rPr>
                <w:rFonts w:hint="default" w:ascii="Times New Roman" w:hAnsi="Times New Roman" w:eastAsia="宋体" w:cs="Times New Roman"/>
                <w:b/>
                <w:bCs/>
                <w:caps w:val="0"/>
                <w:smallCaps w:val="0"/>
                <w:color w:val="auto"/>
                <w:spacing w:val="0"/>
                <w:sz w:val="24"/>
                <w:szCs w:val="24"/>
                <w:highlight w:val="none"/>
                <w:lang w:val="en-US" w:eastAsia="zh-CN"/>
              </w:rPr>
              <w:t xml:space="preserve"> </w:t>
            </w:r>
            <w:r>
              <w:rPr>
                <w:rFonts w:hint="default" w:ascii="Times New Roman" w:hAnsi="Times New Roman" w:eastAsia="宋体" w:cs="Times New Roman"/>
                <w:b/>
                <w:bCs/>
                <w:caps w:val="0"/>
                <w:smallCaps w:val="0"/>
                <w:color w:val="auto"/>
                <w:spacing w:val="0"/>
                <w:sz w:val="24"/>
                <w:szCs w:val="24"/>
                <w:highlight w:val="none"/>
              </w:rPr>
              <w:t>大气基本污染物环境质量现状</w:t>
            </w:r>
          </w:p>
          <w:tbl>
            <w:tblPr>
              <w:tblStyle w:val="27"/>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8"/>
              <w:gridCol w:w="722"/>
              <w:gridCol w:w="2138"/>
              <w:gridCol w:w="1038"/>
              <w:gridCol w:w="960"/>
              <w:gridCol w:w="1100"/>
              <w:gridCol w:w="914"/>
              <w:gridCol w:w="919"/>
            </w:tblGrid>
            <w:tr w14:paraId="597303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noWrap w:val="0"/>
                  <w:vAlign w:val="center"/>
                </w:tcPr>
                <w:p w14:paraId="620F3E15">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区域</w:t>
                  </w:r>
                </w:p>
              </w:tc>
              <w:tc>
                <w:tcPr>
                  <w:tcW w:w="435" w:type="pct"/>
                  <w:noWrap w:val="0"/>
                  <w:vAlign w:val="center"/>
                </w:tcPr>
                <w:p w14:paraId="5958A7FF">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污染物</w:t>
                  </w:r>
                </w:p>
              </w:tc>
              <w:tc>
                <w:tcPr>
                  <w:tcW w:w="1289" w:type="pct"/>
                  <w:noWrap w:val="0"/>
                  <w:vAlign w:val="center"/>
                </w:tcPr>
                <w:p w14:paraId="27F2F174">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年评价指标</w:t>
                  </w:r>
                </w:p>
              </w:tc>
              <w:tc>
                <w:tcPr>
                  <w:tcW w:w="626" w:type="pct"/>
                  <w:noWrap w:val="0"/>
                  <w:vAlign w:val="center"/>
                </w:tcPr>
                <w:p w14:paraId="2BED1A13">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现状浓度</w:t>
                  </w:r>
                </w:p>
                <w:p w14:paraId="7C1A7C91">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（μg/m</w:t>
                  </w:r>
                  <w:r>
                    <w:rPr>
                      <w:rFonts w:hint="default" w:ascii="Times New Roman" w:hAnsi="Times New Roman" w:eastAsia="宋体" w:cs="Times New Roman"/>
                      <w:b/>
                      <w:bCs/>
                      <w:caps w:val="0"/>
                      <w:smallCaps w:val="0"/>
                      <w:color w:val="auto"/>
                      <w:spacing w:val="0"/>
                      <w:vertAlign w:val="superscript"/>
                    </w:rPr>
                    <w:t>3</w:t>
                  </w:r>
                  <w:r>
                    <w:rPr>
                      <w:rFonts w:hint="default" w:ascii="Times New Roman" w:hAnsi="Times New Roman" w:eastAsia="宋体" w:cs="Times New Roman"/>
                      <w:b/>
                      <w:bCs/>
                      <w:caps w:val="0"/>
                      <w:smallCaps w:val="0"/>
                      <w:color w:val="auto"/>
                      <w:spacing w:val="0"/>
                    </w:rPr>
                    <w:t>）</w:t>
                  </w:r>
                </w:p>
              </w:tc>
              <w:tc>
                <w:tcPr>
                  <w:tcW w:w="579" w:type="pct"/>
                  <w:noWrap w:val="0"/>
                  <w:vAlign w:val="center"/>
                </w:tcPr>
                <w:p w14:paraId="21EF2624">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标准值</w:t>
                  </w:r>
                </w:p>
                <w:p w14:paraId="6A56A7FA">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（μg/m</w:t>
                  </w:r>
                  <w:r>
                    <w:rPr>
                      <w:rFonts w:hint="default" w:ascii="Times New Roman" w:hAnsi="Times New Roman" w:eastAsia="宋体" w:cs="Times New Roman"/>
                      <w:b/>
                      <w:bCs/>
                      <w:caps w:val="0"/>
                      <w:smallCaps w:val="0"/>
                      <w:color w:val="auto"/>
                      <w:spacing w:val="0"/>
                      <w:vertAlign w:val="superscript"/>
                    </w:rPr>
                    <w:t>3</w:t>
                  </w:r>
                  <w:r>
                    <w:rPr>
                      <w:rFonts w:hint="default" w:ascii="Times New Roman" w:hAnsi="Times New Roman" w:eastAsia="宋体" w:cs="Times New Roman"/>
                      <w:b/>
                      <w:bCs/>
                      <w:caps w:val="0"/>
                      <w:smallCaps w:val="0"/>
                      <w:color w:val="auto"/>
                      <w:spacing w:val="0"/>
                    </w:rPr>
                    <w:t>）</w:t>
                  </w:r>
                </w:p>
              </w:tc>
              <w:tc>
                <w:tcPr>
                  <w:tcW w:w="663" w:type="pct"/>
                  <w:noWrap w:val="0"/>
                  <w:vAlign w:val="center"/>
                </w:tcPr>
                <w:p w14:paraId="785C8AB7">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占标率（%）</w:t>
                  </w:r>
                </w:p>
              </w:tc>
              <w:tc>
                <w:tcPr>
                  <w:tcW w:w="551" w:type="pct"/>
                  <w:noWrap w:val="0"/>
                  <w:vAlign w:val="center"/>
                </w:tcPr>
                <w:p w14:paraId="51FB8787">
                  <w:pPr>
                    <w:spacing w:line="240" w:lineRule="auto"/>
                    <w:jc w:val="center"/>
                    <w:rPr>
                      <w:rFonts w:hint="default" w:ascii="Times New Roman" w:hAnsi="Times New Roman" w:eastAsia="宋体" w:cs="Times New Roman"/>
                      <w:b/>
                      <w:bCs/>
                      <w:caps w:val="0"/>
                      <w:smallCaps w:val="0"/>
                      <w:color w:val="auto"/>
                      <w:spacing w:val="0"/>
                    </w:rPr>
                  </w:pPr>
                  <w:r>
                    <w:rPr>
                      <w:rFonts w:hint="default" w:ascii="Times New Roman" w:hAnsi="Times New Roman" w:eastAsia="宋体" w:cs="Times New Roman"/>
                      <w:b/>
                      <w:bCs/>
                      <w:caps w:val="0"/>
                      <w:smallCaps w:val="0"/>
                      <w:color w:val="auto"/>
                      <w:spacing w:val="0"/>
                    </w:rPr>
                    <w:t>达标情况</w:t>
                  </w:r>
                </w:p>
              </w:tc>
              <w:tc>
                <w:tcPr>
                  <w:tcW w:w="554" w:type="pct"/>
                  <w:noWrap w:val="0"/>
                  <w:vAlign w:val="center"/>
                </w:tcPr>
                <w:p w14:paraId="321ED9A2">
                  <w:pPr>
                    <w:spacing w:line="240" w:lineRule="auto"/>
                    <w:jc w:val="center"/>
                    <w:rPr>
                      <w:rFonts w:hint="default" w:ascii="Times New Roman" w:hAnsi="Times New Roman" w:eastAsia="宋体" w:cs="Times New Roman"/>
                      <w:b/>
                      <w:bCs/>
                      <w:caps w:val="0"/>
                      <w:smallCaps w:val="0"/>
                      <w:color w:val="auto"/>
                      <w:spacing w:val="0"/>
                      <w:lang w:val="en-US" w:eastAsia="zh-CN"/>
                    </w:rPr>
                  </w:pPr>
                  <w:r>
                    <w:rPr>
                      <w:rFonts w:hint="default" w:ascii="Times New Roman" w:hAnsi="Times New Roman" w:eastAsia="宋体" w:cs="Times New Roman"/>
                      <w:b/>
                      <w:bCs/>
                      <w:caps w:val="0"/>
                      <w:smallCaps w:val="0"/>
                      <w:color w:val="auto"/>
                      <w:spacing w:val="0"/>
                      <w:lang w:val="en-US" w:eastAsia="zh-CN"/>
                    </w:rPr>
                    <w:t>超标率（%）</w:t>
                  </w:r>
                </w:p>
              </w:tc>
            </w:tr>
            <w:tr w14:paraId="575CF6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restart"/>
                  <w:noWrap w:val="0"/>
                  <w:vAlign w:val="center"/>
                </w:tcPr>
                <w:p w14:paraId="15B98675">
                  <w:pPr>
                    <w:spacing w:line="240" w:lineRule="auto"/>
                    <w:jc w:val="center"/>
                    <w:rPr>
                      <w:rFonts w:hint="default" w:ascii="Times New Roman" w:hAnsi="Times New Roman" w:eastAsia="宋体" w:cs="Times New Roman"/>
                      <w:caps w:val="0"/>
                      <w:smallCaps w:val="0"/>
                      <w:color w:val="auto"/>
                      <w:spacing w:val="0"/>
                    </w:rPr>
                  </w:pPr>
                  <w:r>
                    <w:rPr>
                      <w:rFonts w:hint="default" w:ascii="Times New Roman" w:hAnsi="Times New Roman" w:eastAsia="宋体" w:cs="Times New Roman"/>
                      <w:caps w:val="0"/>
                      <w:smallCaps w:val="0"/>
                      <w:color w:val="auto"/>
                      <w:spacing w:val="0"/>
                    </w:rPr>
                    <w:t>常州全市</w:t>
                  </w:r>
                </w:p>
              </w:tc>
              <w:tc>
                <w:tcPr>
                  <w:tcW w:w="435" w:type="pct"/>
                  <w:vMerge w:val="restart"/>
                  <w:noWrap w:val="0"/>
                  <w:vAlign w:val="center"/>
                </w:tcPr>
                <w:p w14:paraId="460B65F3">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SO</w:t>
                  </w:r>
                  <w:r>
                    <w:rPr>
                      <w:rFonts w:hint="default" w:ascii="Times New Roman" w:hAnsi="Times New Roman" w:eastAsia="宋体" w:cs="Times New Roman"/>
                      <w:caps w:val="0"/>
                      <w:smallCaps w:val="0"/>
                      <w:color w:val="auto"/>
                      <w:spacing w:val="0"/>
                      <w:highlight w:val="none"/>
                      <w:vertAlign w:val="subscript"/>
                    </w:rPr>
                    <w:t>2</w:t>
                  </w:r>
                </w:p>
              </w:tc>
              <w:tc>
                <w:tcPr>
                  <w:tcW w:w="1289" w:type="pct"/>
                  <w:noWrap w:val="0"/>
                  <w:vAlign w:val="center"/>
                </w:tcPr>
                <w:p w14:paraId="567606A8">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年平均质量浓度</w:t>
                  </w:r>
                </w:p>
              </w:tc>
              <w:tc>
                <w:tcPr>
                  <w:tcW w:w="626" w:type="pct"/>
                  <w:noWrap w:val="0"/>
                  <w:vAlign w:val="center"/>
                </w:tcPr>
                <w:p w14:paraId="6A024994">
                  <w:pPr>
                    <w:spacing w:line="240" w:lineRule="auto"/>
                    <w:jc w:val="center"/>
                    <w:rPr>
                      <w:rFonts w:hint="default" w:ascii="Times New Roman" w:hAnsi="Times New Roman" w:eastAsia="宋体" w:cs="Times New Roman"/>
                      <w:caps w:val="0"/>
                      <w:smallCaps w:val="0"/>
                      <w:color w:val="auto"/>
                      <w:spacing w:val="0"/>
                      <w:highlight w:val="none"/>
                      <w:lang w:eastAsia="zh-CN"/>
                    </w:rPr>
                  </w:pPr>
                  <w:r>
                    <w:rPr>
                      <w:rFonts w:hint="default" w:ascii="Times New Roman" w:hAnsi="Times New Roman" w:eastAsia="宋体" w:cs="Times New Roman"/>
                      <w:caps w:val="0"/>
                      <w:smallCaps w:val="0"/>
                      <w:color w:val="auto"/>
                      <w:spacing w:val="0"/>
                      <w:kern w:val="0"/>
                      <w:szCs w:val="21"/>
                      <w:highlight w:val="none"/>
                      <w:lang w:val="en-US" w:eastAsia="zh-CN"/>
                    </w:rPr>
                    <w:t>8</w:t>
                  </w:r>
                </w:p>
              </w:tc>
              <w:tc>
                <w:tcPr>
                  <w:tcW w:w="579" w:type="pct"/>
                  <w:noWrap w:val="0"/>
                  <w:vAlign w:val="center"/>
                </w:tcPr>
                <w:p w14:paraId="4A3A14A0">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60</w:t>
                  </w:r>
                </w:p>
              </w:tc>
              <w:tc>
                <w:tcPr>
                  <w:tcW w:w="663" w:type="pct"/>
                  <w:noWrap w:val="0"/>
                  <w:vAlign w:val="center"/>
                </w:tcPr>
                <w:p w14:paraId="5EA9A435">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13.33</w:t>
                  </w:r>
                </w:p>
              </w:tc>
              <w:tc>
                <w:tcPr>
                  <w:tcW w:w="551" w:type="pct"/>
                  <w:vMerge w:val="restart"/>
                  <w:noWrap w:val="0"/>
                  <w:vAlign w:val="center"/>
                </w:tcPr>
                <w:p w14:paraId="70F80FE0">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vMerge w:val="restart"/>
                  <w:noWrap w:val="0"/>
                  <w:vAlign w:val="center"/>
                </w:tcPr>
                <w:p w14:paraId="75549759">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461B99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center"/>
                </w:tcPr>
                <w:p w14:paraId="281A001C">
                  <w:pPr>
                    <w:spacing w:line="240" w:lineRule="auto"/>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5215BBF9">
                  <w:pPr>
                    <w:spacing w:line="240" w:lineRule="auto"/>
                    <w:jc w:val="center"/>
                    <w:rPr>
                      <w:rFonts w:hint="default" w:ascii="Times New Roman" w:hAnsi="Times New Roman" w:eastAsia="宋体" w:cs="Times New Roman"/>
                      <w:caps w:val="0"/>
                      <w:smallCaps w:val="0"/>
                      <w:color w:val="auto"/>
                      <w:spacing w:val="0"/>
                      <w:highlight w:val="yellow"/>
                    </w:rPr>
                  </w:pPr>
                </w:p>
              </w:tc>
              <w:tc>
                <w:tcPr>
                  <w:tcW w:w="1289" w:type="pct"/>
                  <w:noWrap w:val="0"/>
                  <w:vAlign w:val="center"/>
                </w:tcPr>
                <w:p w14:paraId="175D974C">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4AD3B7C4">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4~17</w:t>
                  </w:r>
                </w:p>
              </w:tc>
              <w:tc>
                <w:tcPr>
                  <w:tcW w:w="579" w:type="pct"/>
                  <w:noWrap w:val="0"/>
                  <w:vAlign w:val="center"/>
                </w:tcPr>
                <w:p w14:paraId="2BAD0605">
                  <w:pPr>
                    <w:spacing w:line="240" w:lineRule="auto"/>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150</w:t>
                  </w:r>
                </w:p>
              </w:tc>
              <w:tc>
                <w:tcPr>
                  <w:tcW w:w="663" w:type="pct"/>
                  <w:noWrap w:val="0"/>
                  <w:vAlign w:val="center"/>
                </w:tcPr>
                <w:p w14:paraId="4852C46A">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2.67~11.33</w:t>
                  </w:r>
                </w:p>
              </w:tc>
              <w:tc>
                <w:tcPr>
                  <w:tcW w:w="551" w:type="pct"/>
                  <w:vMerge w:val="continue"/>
                  <w:noWrap w:val="0"/>
                  <w:vAlign w:val="center"/>
                </w:tcPr>
                <w:p w14:paraId="14893D8D">
                  <w:pPr>
                    <w:spacing w:line="240" w:lineRule="auto"/>
                    <w:jc w:val="center"/>
                    <w:rPr>
                      <w:rFonts w:hint="default" w:ascii="Times New Roman" w:hAnsi="Times New Roman" w:eastAsia="宋体" w:cs="Times New Roman"/>
                      <w:caps w:val="0"/>
                      <w:smallCaps w:val="0"/>
                      <w:color w:val="auto"/>
                      <w:spacing w:val="0"/>
                      <w:highlight w:val="none"/>
                      <w:lang w:val="en-US" w:eastAsia="zh-CN"/>
                    </w:rPr>
                  </w:pPr>
                </w:p>
              </w:tc>
              <w:tc>
                <w:tcPr>
                  <w:tcW w:w="554" w:type="pct"/>
                  <w:vMerge w:val="continue"/>
                  <w:noWrap w:val="0"/>
                  <w:vAlign w:val="center"/>
                </w:tcPr>
                <w:p w14:paraId="2AD5505B">
                  <w:pPr>
                    <w:spacing w:line="240" w:lineRule="auto"/>
                    <w:jc w:val="center"/>
                    <w:rPr>
                      <w:rFonts w:hint="default" w:ascii="Times New Roman" w:hAnsi="Times New Roman" w:eastAsia="宋体" w:cs="Times New Roman"/>
                      <w:caps w:val="0"/>
                      <w:smallCaps w:val="0"/>
                      <w:color w:val="auto"/>
                      <w:spacing w:val="0"/>
                      <w:highlight w:val="yellow"/>
                      <w:lang w:val="en-US" w:eastAsia="zh-CN"/>
                    </w:rPr>
                  </w:pPr>
                </w:p>
              </w:tc>
            </w:tr>
            <w:tr w14:paraId="043933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0A988BCB">
                  <w:pPr>
                    <w:spacing w:line="240" w:lineRule="auto"/>
                    <w:jc w:val="center"/>
                    <w:rPr>
                      <w:rFonts w:hint="default" w:ascii="Times New Roman" w:hAnsi="Times New Roman" w:eastAsia="宋体" w:cs="Times New Roman"/>
                      <w:caps w:val="0"/>
                      <w:smallCaps w:val="0"/>
                      <w:color w:val="auto"/>
                      <w:spacing w:val="0"/>
                    </w:rPr>
                  </w:pPr>
                </w:p>
              </w:tc>
              <w:tc>
                <w:tcPr>
                  <w:tcW w:w="435" w:type="pct"/>
                  <w:vMerge w:val="restart"/>
                  <w:noWrap w:val="0"/>
                  <w:vAlign w:val="center"/>
                </w:tcPr>
                <w:p w14:paraId="088A4FBC">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NO</w:t>
                  </w:r>
                  <w:r>
                    <w:rPr>
                      <w:rFonts w:hint="default" w:ascii="Times New Roman" w:hAnsi="Times New Roman" w:eastAsia="宋体" w:cs="Times New Roman"/>
                      <w:caps w:val="0"/>
                      <w:smallCaps w:val="0"/>
                      <w:color w:val="auto"/>
                      <w:spacing w:val="0"/>
                      <w:highlight w:val="none"/>
                      <w:vertAlign w:val="subscript"/>
                    </w:rPr>
                    <w:t>2</w:t>
                  </w:r>
                </w:p>
              </w:tc>
              <w:tc>
                <w:tcPr>
                  <w:tcW w:w="1289" w:type="pct"/>
                  <w:noWrap w:val="0"/>
                  <w:vAlign w:val="center"/>
                </w:tcPr>
                <w:p w14:paraId="708EF303">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1FCB828A">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30</w:t>
                  </w:r>
                </w:p>
              </w:tc>
              <w:tc>
                <w:tcPr>
                  <w:tcW w:w="579" w:type="pct"/>
                  <w:noWrap w:val="0"/>
                  <w:vAlign w:val="center"/>
                </w:tcPr>
                <w:p w14:paraId="09C1697E">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40</w:t>
                  </w:r>
                </w:p>
              </w:tc>
              <w:tc>
                <w:tcPr>
                  <w:tcW w:w="663" w:type="pct"/>
                  <w:noWrap w:val="0"/>
                  <w:vAlign w:val="center"/>
                </w:tcPr>
                <w:p w14:paraId="66A3CA7E">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75</w:t>
                  </w:r>
                </w:p>
              </w:tc>
              <w:tc>
                <w:tcPr>
                  <w:tcW w:w="551" w:type="pct"/>
                  <w:noWrap w:val="0"/>
                  <w:vAlign w:val="center"/>
                </w:tcPr>
                <w:p w14:paraId="15D4997F">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noWrap w:val="0"/>
                  <w:vAlign w:val="center"/>
                </w:tcPr>
                <w:p w14:paraId="25BAA1B3">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24D0E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11307929">
                  <w:pPr>
                    <w:spacing w:line="240" w:lineRule="auto"/>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17C788D2">
                  <w:pPr>
                    <w:spacing w:line="240" w:lineRule="auto"/>
                    <w:jc w:val="center"/>
                    <w:rPr>
                      <w:rFonts w:hint="default" w:ascii="Times New Roman" w:hAnsi="Times New Roman" w:eastAsia="宋体" w:cs="Times New Roman"/>
                      <w:caps w:val="0"/>
                      <w:smallCaps w:val="0"/>
                      <w:color w:val="auto"/>
                      <w:spacing w:val="0"/>
                      <w:highlight w:val="none"/>
                    </w:rPr>
                  </w:pPr>
                </w:p>
              </w:tc>
              <w:tc>
                <w:tcPr>
                  <w:tcW w:w="1289" w:type="pct"/>
                  <w:noWrap w:val="0"/>
                  <w:vAlign w:val="center"/>
                </w:tcPr>
                <w:p w14:paraId="2BD312FE">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6A531BAC">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6~106</w:t>
                  </w:r>
                </w:p>
              </w:tc>
              <w:tc>
                <w:tcPr>
                  <w:tcW w:w="579" w:type="pct"/>
                  <w:noWrap w:val="0"/>
                  <w:vAlign w:val="center"/>
                </w:tcPr>
                <w:p w14:paraId="770A91E5">
                  <w:pPr>
                    <w:spacing w:line="240" w:lineRule="auto"/>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80</w:t>
                  </w:r>
                </w:p>
              </w:tc>
              <w:tc>
                <w:tcPr>
                  <w:tcW w:w="663" w:type="pct"/>
                  <w:noWrap w:val="0"/>
                  <w:vAlign w:val="center"/>
                </w:tcPr>
                <w:p w14:paraId="73F092DC">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7.5~132.5</w:t>
                  </w:r>
                </w:p>
              </w:tc>
              <w:tc>
                <w:tcPr>
                  <w:tcW w:w="551" w:type="pct"/>
                  <w:noWrap w:val="0"/>
                  <w:vAlign w:val="center"/>
                </w:tcPr>
                <w:p w14:paraId="6BBEFF46">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达标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①</w:t>
                  </w:r>
                </w:p>
              </w:tc>
              <w:tc>
                <w:tcPr>
                  <w:tcW w:w="554" w:type="pct"/>
                  <w:noWrap w:val="0"/>
                  <w:vAlign w:val="center"/>
                </w:tcPr>
                <w:p w14:paraId="4D801D4F">
                  <w:pPr>
                    <w:spacing w:line="240" w:lineRule="auto"/>
                    <w:jc w:val="center"/>
                    <w:rPr>
                      <w:rFonts w:hint="default" w:ascii="Times New Roman" w:hAnsi="Times New Roman" w:eastAsia="宋体" w:cs="Times New Roman"/>
                      <w:caps w:val="0"/>
                      <w:smallCaps w:val="0"/>
                      <w:color w:val="auto"/>
                      <w:spacing w:val="0"/>
                      <w:highlight w:val="yellow"/>
                      <w:lang w:val="en-US" w:eastAsia="zh-CN"/>
                    </w:rPr>
                  </w:pPr>
                  <w:r>
                    <w:rPr>
                      <w:rFonts w:hint="default" w:ascii="Times New Roman" w:hAnsi="Times New Roman" w:eastAsia="宋体" w:cs="Times New Roman"/>
                      <w:caps w:val="0"/>
                      <w:smallCaps w:val="0"/>
                      <w:color w:val="auto"/>
                      <w:spacing w:val="0"/>
                      <w:highlight w:val="none"/>
                      <w:lang w:val="en-US" w:eastAsia="zh-CN"/>
                    </w:rPr>
                    <w:t>1.9</w:t>
                  </w:r>
                </w:p>
              </w:tc>
            </w:tr>
            <w:tr w14:paraId="2E89F4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5E75096D">
                  <w:pPr>
                    <w:spacing w:line="240" w:lineRule="auto"/>
                    <w:jc w:val="center"/>
                    <w:rPr>
                      <w:rFonts w:hint="default" w:ascii="Times New Roman" w:hAnsi="Times New Roman" w:eastAsia="宋体" w:cs="Times New Roman"/>
                      <w:caps w:val="0"/>
                      <w:smallCaps w:val="0"/>
                      <w:color w:val="auto"/>
                      <w:spacing w:val="0"/>
                    </w:rPr>
                  </w:pPr>
                </w:p>
              </w:tc>
              <w:tc>
                <w:tcPr>
                  <w:tcW w:w="435" w:type="pct"/>
                  <w:vMerge w:val="restart"/>
                  <w:noWrap w:val="0"/>
                  <w:vAlign w:val="center"/>
                </w:tcPr>
                <w:p w14:paraId="0542C020">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PM</w:t>
                  </w:r>
                  <w:r>
                    <w:rPr>
                      <w:rFonts w:hint="default" w:ascii="Times New Roman" w:hAnsi="Times New Roman" w:eastAsia="宋体" w:cs="Times New Roman"/>
                      <w:caps w:val="0"/>
                      <w:smallCaps w:val="0"/>
                      <w:color w:val="auto"/>
                      <w:spacing w:val="0"/>
                      <w:highlight w:val="none"/>
                      <w:vertAlign w:val="subscript"/>
                    </w:rPr>
                    <w:t>10</w:t>
                  </w:r>
                </w:p>
              </w:tc>
              <w:tc>
                <w:tcPr>
                  <w:tcW w:w="1289" w:type="pct"/>
                  <w:noWrap w:val="0"/>
                  <w:vAlign w:val="center"/>
                </w:tcPr>
                <w:p w14:paraId="7B227D97">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06A367AF">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57</w:t>
                  </w:r>
                </w:p>
              </w:tc>
              <w:tc>
                <w:tcPr>
                  <w:tcW w:w="579" w:type="pct"/>
                  <w:noWrap w:val="0"/>
                  <w:vAlign w:val="center"/>
                </w:tcPr>
                <w:p w14:paraId="42753394">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70</w:t>
                  </w:r>
                </w:p>
              </w:tc>
              <w:tc>
                <w:tcPr>
                  <w:tcW w:w="663" w:type="pct"/>
                  <w:noWrap w:val="0"/>
                  <w:vAlign w:val="center"/>
                </w:tcPr>
                <w:p w14:paraId="6D839C0F">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81.43</w:t>
                  </w:r>
                </w:p>
              </w:tc>
              <w:tc>
                <w:tcPr>
                  <w:tcW w:w="551" w:type="pct"/>
                  <w:noWrap w:val="0"/>
                  <w:vAlign w:val="center"/>
                </w:tcPr>
                <w:p w14:paraId="5D1954D9">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noWrap w:val="0"/>
                  <w:vAlign w:val="center"/>
                </w:tcPr>
                <w:p w14:paraId="7452B7BB">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567D0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4EB29CEF">
                  <w:pPr>
                    <w:spacing w:line="240" w:lineRule="auto"/>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5590F53C">
                  <w:pPr>
                    <w:spacing w:line="240" w:lineRule="auto"/>
                    <w:jc w:val="center"/>
                    <w:rPr>
                      <w:rFonts w:hint="default" w:ascii="Times New Roman" w:hAnsi="Times New Roman" w:eastAsia="宋体" w:cs="Times New Roman"/>
                      <w:caps w:val="0"/>
                      <w:smallCaps w:val="0"/>
                      <w:color w:val="auto"/>
                      <w:spacing w:val="0"/>
                      <w:highlight w:val="none"/>
                    </w:rPr>
                  </w:pPr>
                </w:p>
              </w:tc>
              <w:tc>
                <w:tcPr>
                  <w:tcW w:w="1289" w:type="pct"/>
                  <w:noWrap w:val="0"/>
                  <w:vAlign w:val="center"/>
                </w:tcPr>
                <w:p w14:paraId="54FE58EA">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6C2AF6E8">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12~188</w:t>
                  </w:r>
                </w:p>
              </w:tc>
              <w:tc>
                <w:tcPr>
                  <w:tcW w:w="579" w:type="pct"/>
                  <w:noWrap w:val="0"/>
                  <w:vAlign w:val="center"/>
                </w:tcPr>
                <w:p w14:paraId="30BD7A7E">
                  <w:pPr>
                    <w:spacing w:line="240" w:lineRule="auto"/>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150</w:t>
                  </w:r>
                </w:p>
              </w:tc>
              <w:tc>
                <w:tcPr>
                  <w:tcW w:w="663" w:type="pct"/>
                  <w:noWrap w:val="0"/>
                  <w:vAlign w:val="center"/>
                </w:tcPr>
                <w:p w14:paraId="40BAACAB">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8~125.33</w:t>
                  </w:r>
                </w:p>
              </w:tc>
              <w:tc>
                <w:tcPr>
                  <w:tcW w:w="551" w:type="pct"/>
                  <w:noWrap w:val="0"/>
                  <w:vAlign w:val="center"/>
                </w:tcPr>
                <w:p w14:paraId="29C7ED5A">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达标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②</w:t>
                  </w:r>
                </w:p>
              </w:tc>
              <w:tc>
                <w:tcPr>
                  <w:tcW w:w="554" w:type="pct"/>
                  <w:noWrap w:val="0"/>
                  <w:vAlign w:val="center"/>
                </w:tcPr>
                <w:p w14:paraId="3F32D7CD">
                  <w:pPr>
                    <w:spacing w:line="240" w:lineRule="auto"/>
                    <w:jc w:val="center"/>
                    <w:rPr>
                      <w:rFonts w:hint="default" w:ascii="Times New Roman" w:hAnsi="Times New Roman" w:eastAsia="宋体" w:cs="Times New Roman"/>
                      <w:caps w:val="0"/>
                      <w:smallCaps w:val="0"/>
                      <w:color w:val="auto"/>
                      <w:spacing w:val="0"/>
                      <w:highlight w:val="yellow"/>
                      <w:lang w:val="en-US" w:eastAsia="zh-CN"/>
                    </w:rPr>
                  </w:pPr>
                  <w:r>
                    <w:rPr>
                      <w:rFonts w:hint="default" w:ascii="Times New Roman" w:hAnsi="Times New Roman" w:eastAsia="宋体" w:cs="Times New Roman"/>
                      <w:caps w:val="0"/>
                      <w:smallCaps w:val="0"/>
                      <w:color w:val="auto"/>
                      <w:spacing w:val="0"/>
                      <w:highlight w:val="none"/>
                      <w:lang w:val="en-US" w:eastAsia="zh-CN"/>
                    </w:rPr>
                    <w:t>1.2</w:t>
                  </w:r>
                </w:p>
              </w:tc>
            </w:tr>
            <w:tr w14:paraId="1D3F5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5C50FDEE">
                  <w:pPr>
                    <w:spacing w:line="240" w:lineRule="auto"/>
                    <w:jc w:val="center"/>
                    <w:rPr>
                      <w:rFonts w:hint="default" w:ascii="Times New Roman" w:hAnsi="Times New Roman" w:eastAsia="宋体" w:cs="Times New Roman"/>
                      <w:caps w:val="0"/>
                      <w:smallCaps w:val="0"/>
                      <w:color w:val="auto"/>
                      <w:spacing w:val="0"/>
                    </w:rPr>
                  </w:pPr>
                </w:p>
              </w:tc>
              <w:tc>
                <w:tcPr>
                  <w:tcW w:w="435" w:type="pct"/>
                  <w:vMerge w:val="restart"/>
                  <w:noWrap w:val="0"/>
                  <w:vAlign w:val="center"/>
                </w:tcPr>
                <w:p w14:paraId="2798A040">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PM</w:t>
                  </w:r>
                  <w:r>
                    <w:rPr>
                      <w:rFonts w:hint="default" w:ascii="Times New Roman" w:hAnsi="Times New Roman" w:eastAsia="宋体" w:cs="Times New Roman"/>
                      <w:caps w:val="0"/>
                      <w:smallCaps w:val="0"/>
                      <w:color w:val="auto"/>
                      <w:spacing w:val="0"/>
                      <w:highlight w:val="none"/>
                      <w:vertAlign w:val="subscript"/>
                    </w:rPr>
                    <w:t>2.5</w:t>
                  </w:r>
                </w:p>
              </w:tc>
              <w:tc>
                <w:tcPr>
                  <w:tcW w:w="1289" w:type="pct"/>
                  <w:noWrap w:val="0"/>
                  <w:vAlign w:val="center"/>
                </w:tcPr>
                <w:p w14:paraId="7939D6DE">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年平均浓度</w:t>
                  </w:r>
                </w:p>
              </w:tc>
              <w:tc>
                <w:tcPr>
                  <w:tcW w:w="626" w:type="pct"/>
                  <w:noWrap w:val="0"/>
                  <w:vAlign w:val="center"/>
                </w:tcPr>
                <w:p w14:paraId="43CE9865">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34</w:t>
                  </w:r>
                </w:p>
              </w:tc>
              <w:tc>
                <w:tcPr>
                  <w:tcW w:w="579" w:type="pct"/>
                  <w:noWrap w:val="0"/>
                  <w:vAlign w:val="center"/>
                </w:tcPr>
                <w:p w14:paraId="4158A06D">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35</w:t>
                  </w:r>
                </w:p>
              </w:tc>
              <w:tc>
                <w:tcPr>
                  <w:tcW w:w="663" w:type="pct"/>
                  <w:noWrap w:val="0"/>
                  <w:vAlign w:val="center"/>
                </w:tcPr>
                <w:p w14:paraId="1E44BA09">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97.14</w:t>
                  </w:r>
                </w:p>
              </w:tc>
              <w:tc>
                <w:tcPr>
                  <w:tcW w:w="551" w:type="pct"/>
                  <w:noWrap w:val="0"/>
                  <w:vAlign w:val="center"/>
                </w:tcPr>
                <w:p w14:paraId="2572ABDB">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noWrap w:val="0"/>
                  <w:vAlign w:val="center"/>
                </w:tcPr>
                <w:p w14:paraId="2CB1AB64">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7D5D22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4D6CB269">
                  <w:pPr>
                    <w:spacing w:line="240" w:lineRule="auto"/>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7AFDD3C2">
                  <w:pPr>
                    <w:spacing w:line="240" w:lineRule="auto"/>
                    <w:jc w:val="center"/>
                    <w:rPr>
                      <w:rFonts w:hint="default" w:ascii="Times New Roman" w:hAnsi="Times New Roman" w:eastAsia="宋体" w:cs="Times New Roman"/>
                      <w:caps w:val="0"/>
                      <w:smallCaps w:val="0"/>
                      <w:color w:val="auto"/>
                      <w:spacing w:val="0"/>
                      <w:highlight w:val="none"/>
                    </w:rPr>
                  </w:pPr>
                </w:p>
              </w:tc>
              <w:tc>
                <w:tcPr>
                  <w:tcW w:w="1289" w:type="pct"/>
                  <w:noWrap w:val="0"/>
                  <w:vAlign w:val="center"/>
                </w:tcPr>
                <w:p w14:paraId="39E15C43">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w:t>
                  </w:r>
                  <w:r>
                    <w:rPr>
                      <w:rFonts w:hint="default" w:ascii="Times New Roman" w:hAnsi="Times New Roman" w:eastAsia="宋体" w:cs="Times New Roman"/>
                      <w:caps w:val="0"/>
                      <w:smallCaps w:val="0"/>
                      <w:color w:val="auto"/>
                      <w:spacing w:val="0"/>
                      <w:highlight w:val="none"/>
                      <w:lang w:val="en-US" w:eastAsia="zh-CN"/>
                    </w:rPr>
                    <w:t>均值浓度</w:t>
                  </w:r>
                </w:p>
              </w:tc>
              <w:tc>
                <w:tcPr>
                  <w:tcW w:w="626" w:type="pct"/>
                  <w:noWrap w:val="0"/>
                  <w:vAlign w:val="center"/>
                </w:tcPr>
                <w:p w14:paraId="21A612A9">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6~151</w:t>
                  </w:r>
                </w:p>
              </w:tc>
              <w:tc>
                <w:tcPr>
                  <w:tcW w:w="579" w:type="pct"/>
                  <w:noWrap w:val="0"/>
                  <w:vAlign w:val="center"/>
                </w:tcPr>
                <w:p w14:paraId="542A5397">
                  <w:pPr>
                    <w:spacing w:line="240" w:lineRule="auto"/>
                    <w:jc w:val="center"/>
                    <w:rPr>
                      <w:rFonts w:hint="default" w:ascii="Times New Roman" w:hAnsi="Times New Roman" w:eastAsia="宋体" w:cs="Times New Roman"/>
                      <w:caps w:val="0"/>
                      <w:smallCaps w:val="0"/>
                      <w:color w:val="auto"/>
                      <w:spacing w:val="0"/>
                      <w:kern w:val="0"/>
                      <w:szCs w:val="21"/>
                      <w:highlight w:val="none"/>
                    </w:rPr>
                  </w:pPr>
                  <w:r>
                    <w:rPr>
                      <w:rFonts w:hint="default" w:ascii="Times New Roman" w:hAnsi="Times New Roman" w:eastAsia="宋体" w:cs="Times New Roman"/>
                      <w:caps w:val="0"/>
                      <w:smallCaps w:val="0"/>
                      <w:color w:val="auto"/>
                      <w:spacing w:val="0"/>
                      <w:kern w:val="0"/>
                      <w:szCs w:val="21"/>
                      <w:highlight w:val="none"/>
                    </w:rPr>
                    <w:t>75</w:t>
                  </w:r>
                </w:p>
              </w:tc>
              <w:tc>
                <w:tcPr>
                  <w:tcW w:w="663" w:type="pct"/>
                  <w:noWrap w:val="0"/>
                  <w:vAlign w:val="center"/>
                </w:tcPr>
                <w:p w14:paraId="3550555C">
                  <w:pPr>
                    <w:spacing w:line="240" w:lineRule="auto"/>
                    <w:jc w:val="center"/>
                    <w:rPr>
                      <w:rFonts w:hint="default" w:ascii="Times New Roman" w:hAnsi="Times New Roman" w:eastAsia="宋体" w:cs="Times New Roman"/>
                      <w:caps w:val="0"/>
                      <w:smallCaps w:val="0"/>
                      <w:color w:val="auto"/>
                      <w:spacing w:val="0"/>
                      <w:kern w:val="0"/>
                      <w:szCs w:val="21"/>
                      <w:highlight w:val="none"/>
                      <w:lang w:val="en-US" w:eastAsia="zh-CN"/>
                    </w:rPr>
                  </w:pPr>
                  <w:r>
                    <w:rPr>
                      <w:rFonts w:hint="default" w:ascii="Times New Roman" w:hAnsi="Times New Roman" w:eastAsia="宋体" w:cs="Times New Roman"/>
                      <w:caps w:val="0"/>
                      <w:smallCaps w:val="0"/>
                      <w:color w:val="auto"/>
                      <w:spacing w:val="0"/>
                      <w:kern w:val="0"/>
                      <w:szCs w:val="21"/>
                      <w:highlight w:val="none"/>
                      <w:lang w:val="en-US" w:eastAsia="zh-CN"/>
                    </w:rPr>
                    <w:t>8~201.33</w:t>
                  </w:r>
                </w:p>
              </w:tc>
              <w:tc>
                <w:tcPr>
                  <w:tcW w:w="551" w:type="pct"/>
                  <w:noWrap w:val="0"/>
                  <w:vAlign w:val="center"/>
                </w:tcPr>
                <w:p w14:paraId="796037F7">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超标</w:t>
                  </w:r>
                  <w:r>
                    <w:rPr>
                      <w:rFonts w:hint="default" w:ascii="Times New Roman" w:hAnsi="Times New Roman" w:eastAsia="宋体" w:cs="Times New Roman"/>
                      <w:caps w:val="0"/>
                      <w:smallCaps w:val="0"/>
                      <w:color w:val="auto"/>
                      <w:spacing w:val="0"/>
                      <w:sz w:val="28"/>
                      <w:szCs w:val="36"/>
                      <w:highlight w:val="none"/>
                      <w:vertAlign w:val="superscript"/>
                      <w:lang w:val="en-US" w:eastAsia="zh-CN"/>
                    </w:rPr>
                    <w:t>③</w:t>
                  </w:r>
                </w:p>
              </w:tc>
              <w:tc>
                <w:tcPr>
                  <w:tcW w:w="554" w:type="pct"/>
                  <w:noWrap w:val="0"/>
                  <w:vAlign w:val="center"/>
                </w:tcPr>
                <w:p w14:paraId="02745113">
                  <w:pPr>
                    <w:spacing w:line="240" w:lineRule="auto"/>
                    <w:jc w:val="center"/>
                    <w:rPr>
                      <w:rFonts w:hint="default" w:ascii="Times New Roman" w:hAnsi="Times New Roman" w:eastAsia="宋体" w:cs="Times New Roman"/>
                      <w:caps w:val="0"/>
                      <w:smallCaps w:val="0"/>
                      <w:color w:val="auto"/>
                      <w:spacing w:val="0"/>
                      <w:highlight w:val="yellow"/>
                      <w:lang w:val="en-US" w:eastAsia="zh-CN"/>
                    </w:rPr>
                  </w:pPr>
                  <w:r>
                    <w:rPr>
                      <w:rFonts w:hint="default" w:ascii="Times New Roman" w:hAnsi="Times New Roman" w:eastAsia="宋体" w:cs="Times New Roman"/>
                      <w:caps w:val="0"/>
                      <w:smallCaps w:val="0"/>
                      <w:color w:val="auto"/>
                      <w:spacing w:val="0"/>
                      <w:highlight w:val="none"/>
                      <w:lang w:val="en-US" w:eastAsia="zh-CN"/>
                    </w:rPr>
                    <w:t>6.4</w:t>
                  </w:r>
                </w:p>
              </w:tc>
            </w:tr>
            <w:tr w14:paraId="06E324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noWrap w:val="0"/>
                  <w:vAlign w:val="top"/>
                </w:tcPr>
                <w:p w14:paraId="0F634A78">
                  <w:pPr>
                    <w:spacing w:line="240" w:lineRule="auto"/>
                    <w:jc w:val="center"/>
                    <w:rPr>
                      <w:rFonts w:hint="default" w:ascii="Times New Roman" w:hAnsi="Times New Roman" w:eastAsia="宋体" w:cs="Times New Roman"/>
                      <w:caps w:val="0"/>
                      <w:smallCaps w:val="0"/>
                      <w:color w:val="auto"/>
                      <w:spacing w:val="0"/>
                    </w:rPr>
                  </w:pPr>
                </w:p>
              </w:tc>
              <w:tc>
                <w:tcPr>
                  <w:tcW w:w="435" w:type="pct"/>
                  <w:vMerge w:val="restart"/>
                  <w:noWrap w:val="0"/>
                  <w:vAlign w:val="center"/>
                </w:tcPr>
                <w:p w14:paraId="542263B4">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CO</w:t>
                  </w:r>
                </w:p>
              </w:tc>
              <w:tc>
                <w:tcPr>
                  <w:tcW w:w="1289" w:type="pct"/>
                  <w:noWrap w:val="0"/>
                  <w:tcMar>
                    <w:top w:w="0" w:type="dxa"/>
                    <w:left w:w="0" w:type="dxa"/>
                    <w:bottom w:w="0" w:type="dxa"/>
                    <w:right w:w="0" w:type="dxa"/>
                  </w:tcMar>
                  <w:vAlign w:val="center"/>
                </w:tcPr>
                <w:p w14:paraId="16F2F6BC">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日平均第95百分位数</w:t>
                  </w:r>
                </w:p>
              </w:tc>
              <w:tc>
                <w:tcPr>
                  <w:tcW w:w="626" w:type="pct"/>
                  <w:noWrap w:val="0"/>
                  <w:vAlign w:val="center"/>
                </w:tcPr>
                <w:p w14:paraId="50E6E2FA">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w:t>
                  </w:r>
                  <w:r>
                    <w:rPr>
                      <w:rFonts w:hint="default" w:ascii="Times New Roman" w:hAnsi="Times New Roman" w:eastAsia="宋体" w:cs="Times New Roman"/>
                      <w:caps w:val="0"/>
                      <w:smallCaps w:val="0"/>
                      <w:color w:val="auto"/>
                      <w:spacing w:val="0"/>
                      <w:kern w:val="0"/>
                      <w:szCs w:val="21"/>
                      <w:highlight w:val="none"/>
                      <w:lang w:val="en-US" w:eastAsia="zh-CN"/>
                    </w:rPr>
                    <w:t>100</w:t>
                  </w:r>
                </w:p>
              </w:tc>
              <w:tc>
                <w:tcPr>
                  <w:tcW w:w="579" w:type="pct"/>
                  <w:vMerge w:val="restart"/>
                  <w:noWrap w:val="0"/>
                  <w:vAlign w:val="center"/>
                </w:tcPr>
                <w:p w14:paraId="4FE9CB9C">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4000</w:t>
                  </w:r>
                </w:p>
              </w:tc>
              <w:tc>
                <w:tcPr>
                  <w:tcW w:w="663" w:type="pct"/>
                  <w:noWrap w:val="0"/>
                  <w:vAlign w:val="center"/>
                </w:tcPr>
                <w:p w14:paraId="1E4B0EBE">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2</w:t>
                  </w:r>
                  <w:r>
                    <w:rPr>
                      <w:rFonts w:hint="default" w:ascii="Times New Roman" w:hAnsi="Times New Roman" w:eastAsia="宋体" w:cs="Times New Roman"/>
                      <w:caps w:val="0"/>
                      <w:smallCaps w:val="0"/>
                      <w:color w:val="auto"/>
                      <w:spacing w:val="0"/>
                      <w:highlight w:val="none"/>
                      <w:lang w:val="en-US" w:eastAsia="zh-CN"/>
                    </w:rPr>
                    <w:t>7.</w:t>
                  </w:r>
                  <w:r>
                    <w:rPr>
                      <w:rFonts w:hint="default" w:ascii="Times New Roman" w:hAnsi="Times New Roman" w:eastAsia="宋体" w:cs="Times New Roman"/>
                      <w:caps w:val="0"/>
                      <w:smallCaps w:val="0"/>
                      <w:color w:val="auto"/>
                      <w:spacing w:val="0"/>
                      <w:highlight w:val="none"/>
                    </w:rPr>
                    <w:t>5</w:t>
                  </w:r>
                </w:p>
              </w:tc>
              <w:tc>
                <w:tcPr>
                  <w:tcW w:w="551" w:type="pct"/>
                  <w:vMerge w:val="restart"/>
                  <w:noWrap w:val="0"/>
                  <w:vAlign w:val="center"/>
                </w:tcPr>
                <w:p w14:paraId="4E898EF2">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达标</w:t>
                  </w:r>
                </w:p>
              </w:tc>
              <w:tc>
                <w:tcPr>
                  <w:tcW w:w="554" w:type="pct"/>
                  <w:vMerge w:val="restart"/>
                  <w:noWrap w:val="0"/>
                  <w:vAlign w:val="center"/>
                </w:tcPr>
                <w:p w14:paraId="24864F8E">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w:t>
                  </w:r>
                </w:p>
              </w:tc>
            </w:tr>
            <w:tr w14:paraId="7489B0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5" w:hRule="atLeast"/>
              </w:trPr>
              <w:tc>
                <w:tcPr>
                  <w:tcW w:w="300" w:type="pct"/>
                  <w:vMerge w:val="continue"/>
                  <w:noWrap w:val="0"/>
                  <w:vAlign w:val="top"/>
                </w:tcPr>
                <w:p w14:paraId="286208A4">
                  <w:pPr>
                    <w:spacing w:line="240" w:lineRule="auto"/>
                    <w:jc w:val="center"/>
                    <w:rPr>
                      <w:rFonts w:hint="default" w:ascii="Times New Roman" w:hAnsi="Times New Roman" w:eastAsia="宋体" w:cs="Times New Roman"/>
                      <w:caps w:val="0"/>
                      <w:smallCaps w:val="0"/>
                      <w:color w:val="auto"/>
                      <w:spacing w:val="0"/>
                    </w:rPr>
                  </w:pPr>
                </w:p>
              </w:tc>
              <w:tc>
                <w:tcPr>
                  <w:tcW w:w="435" w:type="pct"/>
                  <w:vMerge w:val="continue"/>
                  <w:noWrap w:val="0"/>
                  <w:vAlign w:val="center"/>
                </w:tcPr>
                <w:p w14:paraId="22C81637">
                  <w:pPr>
                    <w:spacing w:line="240" w:lineRule="auto"/>
                    <w:jc w:val="center"/>
                    <w:rPr>
                      <w:rFonts w:hint="default" w:ascii="Times New Roman" w:hAnsi="Times New Roman" w:eastAsia="宋体" w:cs="Times New Roman"/>
                      <w:caps w:val="0"/>
                      <w:smallCaps w:val="0"/>
                      <w:color w:val="auto"/>
                      <w:spacing w:val="0"/>
                      <w:highlight w:val="yellow"/>
                    </w:rPr>
                  </w:pPr>
                </w:p>
              </w:tc>
              <w:tc>
                <w:tcPr>
                  <w:tcW w:w="1289" w:type="pct"/>
                  <w:noWrap w:val="0"/>
                  <w:tcMar>
                    <w:top w:w="0" w:type="dxa"/>
                    <w:left w:w="0" w:type="dxa"/>
                    <w:bottom w:w="0" w:type="dxa"/>
                    <w:right w:w="0" w:type="dxa"/>
                  </w:tcMar>
                  <w:vAlign w:val="center"/>
                </w:tcPr>
                <w:p w14:paraId="4D80EBD9">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日均值浓度</w:t>
                  </w:r>
                </w:p>
              </w:tc>
              <w:tc>
                <w:tcPr>
                  <w:tcW w:w="626" w:type="pct"/>
                  <w:noWrap w:val="0"/>
                  <w:vAlign w:val="center"/>
                </w:tcPr>
                <w:p w14:paraId="1E55C5CA">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400~1500</w:t>
                  </w:r>
                </w:p>
              </w:tc>
              <w:tc>
                <w:tcPr>
                  <w:tcW w:w="579" w:type="pct"/>
                  <w:vMerge w:val="continue"/>
                  <w:noWrap w:val="0"/>
                  <w:vAlign w:val="center"/>
                </w:tcPr>
                <w:p w14:paraId="3DECB49A">
                  <w:pPr>
                    <w:spacing w:line="240" w:lineRule="auto"/>
                    <w:jc w:val="center"/>
                    <w:rPr>
                      <w:rFonts w:hint="default" w:ascii="Times New Roman" w:hAnsi="Times New Roman" w:eastAsia="宋体" w:cs="Times New Roman"/>
                      <w:caps w:val="0"/>
                      <w:smallCaps w:val="0"/>
                      <w:color w:val="auto"/>
                      <w:spacing w:val="0"/>
                      <w:highlight w:val="none"/>
                    </w:rPr>
                  </w:pPr>
                </w:p>
              </w:tc>
              <w:tc>
                <w:tcPr>
                  <w:tcW w:w="663" w:type="pct"/>
                  <w:noWrap w:val="0"/>
                  <w:vAlign w:val="center"/>
                </w:tcPr>
                <w:p w14:paraId="223AAC09">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10~37.5</w:t>
                  </w:r>
                </w:p>
              </w:tc>
              <w:tc>
                <w:tcPr>
                  <w:tcW w:w="551" w:type="pct"/>
                  <w:vMerge w:val="continue"/>
                  <w:noWrap w:val="0"/>
                  <w:vAlign w:val="center"/>
                </w:tcPr>
                <w:p w14:paraId="2BC6DD13">
                  <w:pPr>
                    <w:spacing w:line="240" w:lineRule="auto"/>
                    <w:jc w:val="center"/>
                    <w:rPr>
                      <w:rFonts w:hint="default" w:ascii="Times New Roman" w:hAnsi="Times New Roman" w:eastAsia="宋体" w:cs="Times New Roman"/>
                      <w:caps w:val="0"/>
                      <w:smallCaps w:val="0"/>
                      <w:color w:val="auto"/>
                      <w:spacing w:val="0"/>
                      <w:highlight w:val="none"/>
                    </w:rPr>
                  </w:pPr>
                </w:p>
              </w:tc>
              <w:tc>
                <w:tcPr>
                  <w:tcW w:w="554" w:type="pct"/>
                  <w:vMerge w:val="continue"/>
                  <w:noWrap w:val="0"/>
                  <w:vAlign w:val="center"/>
                </w:tcPr>
                <w:p w14:paraId="518A4A3B">
                  <w:pPr>
                    <w:spacing w:line="240" w:lineRule="auto"/>
                    <w:jc w:val="center"/>
                    <w:rPr>
                      <w:rFonts w:hint="default" w:ascii="Times New Roman" w:hAnsi="Times New Roman" w:eastAsia="宋体" w:cs="Times New Roman"/>
                      <w:caps w:val="0"/>
                      <w:smallCaps w:val="0"/>
                      <w:color w:val="auto"/>
                      <w:spacing w:val="0"/>
                      <w:highlight w:val="yellow"/>
                    </w:rPr>
                  </w:pPr>
                </w:p>
              </w:tc>
            </w:tr>
            <w:tr w14:paraId="0F881D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00" w:type="pct"/>
                  <w:vMerge w:val="continue"/>
                  <w:noWrap w:val="0"/>
                  <w:vAlign w:val="top"/>
                </w:tcPr>
                <w:p w14:paraId="5FAB971F">
                  <w:pPr>
                    <w:spacing w:line="240" w:lineRule="auto"/>
                    <w:jc w:val="center"/>
                    <w:rPr>
                      <w:rFonts w:hint="default" w:ascii="Times New Roman" w:hAnsi="Times New Roman" w:eastAsia="宋体" w:cs="Times New Roman"/>
                      <w:caps w:val="0"/>
                      <w:smallCaps w:val="0"/>
                      <w:color w:val="auto"/>
                      <w:spacing w:val="0"/>
                    </w:rPr>
                  </w:pPr>
                </w:p>
              </w:tc>
              <w:tc>
                <w:tcPr>
                  <w:tcW w:w="435" w:type="pct"/>
                  <w:noWrap w:val="0"/>
                  <w:vAlign w:val="center"/>
                </w:tcPr>
                <w:p w14:paraId="0C2C8D00">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O</w:t>
                  </w:r>
                  <w:r>
                    <w:rPr>
                      <w:rFonts w:hint="default" w:ascii="Times New Roman" w:hAnsi="Times New Roman" w:eastAsia="宋体" w:cs="Times New Roman"/>
                      <w:caps w:val="0"/>
                      <w:smallCaps w:val="0"/>
                      <w:color w:val="auto"/>
                      <w:spacing w:val="0"/>
                      <w:highlight w:val="none"/>
                      <w:vertAlign w:val="subscript"/>
                    </w:rPr>
                    <w:t>3</w:t>
                  </w:r>
                </w:p>
              </w:tc>
              <w:tc>
                <w:tcPr>
                  <w:tcW w:w="1289" w:type="pct"/>
                  <w:noWrap w:val="0"/>
                  <w:tcMar>
                    <w:top w:w="0" w:type="dxa"/>
                    <w:left w:w="0" w:type="dxa"/>
                    <w:bottom w:w="0" w:type="dxa"/>
                    <w:right w:w="0" w:type="dxa"/>
                  </w:tcMar>
                  <w:vAlign w:val="center"/>
                </w:tcPr>
                <w:p w14:paraId="56EAC345">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日最大8h滑动平均值第90百分位数</w:t>
                  </w:r>
                </w:p>
              </w:tc>
              <w:tc>
                <w:tcPr>
                  <w:tcW w:w="626" w:type="pct"/>
                  <w:noWrap w:val="0"/>
                  <w:vAlign w:val="center"/>
                </w:tcPr>
                <w:p w14:paraId="6B83D3B6">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17</w:t>
                  </w:r>
                  <w:r>
                    <w:rPr>
                      <w:rFonts w:hint="default" w:ascii="Times New Roman" w:hAnsi="Times New Roman" w:eastAsia="宋体" w:cs="Times New Roman"/>
                      <w:caps w:val="0"/>
                      <w:smallCaps w:val="0"/>
                      <w:color w:val="auto"/>
                      <w:spacing w:val="0"/>
                      <w:kern w:val="0"/>
                      <w:szCs w:val="21"/>
                      <w:highlight w:val="none"/>
                      <w:lang w:val="en-US" w:eastAsia="zh-CN"/>
                    </w:rPr>
                    <w:t>4</w:t>
                  </w:r>
                </w:p>
              </w:tc>
              <w:tc>
                <w:tcPr>
                  <w:tcW w:w="579" w:type="pct"/>
                  <w:noWrap w:val="0"/>
                  <w:vAlign w:val="center"/>
                </w:tcPr>
                <w:p w14:paraId="2CC70997">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kern w:val="0"/>
                      <w:szCs w:val="21"/>
                      <w:highlight w:val="none"/>
                    </w:rPr>
                    <w:t>160</w:t>
                  </w:r>
                </w:p>
              </w:tc>
              <w:tc>
                <w:tcPr>
                  <w:tcW w:w="663" w:type="pct"/>
                  <w:noWrap w:val="0"/>
                  <w:vAlign w:val="center"/>
                </w:tcPr>
                <w:p w14:paraId="06D09269">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kern w:val="0"/>
                      <w:szCs w:val="21"/>
                      <w:highlight w:val="none"/>
                    </w:rPr>
                    <w:t>10</w:t>
                  </w:r>
                  <w:r>
                    <w:rPr>
                      <w:rFonts w:hint="default" w:ascii="Times New Roman" w:hAnsi="Times New Roman" w:eastAsia="宋体" w:cs="Times New Roman"/>
                      <w:caps w:val="0"/>
                      <w:smallCaps w:val="0"/>
                      <w:color w:val="auto"/>
                      <w:spacing w:val="0"/>
                      <w:kern w:val="0"/>
                      <w:szCs w:val="21"/>
                      <w:highlight w:val="none"/>
                      <w:lang w:val="en-US" w:eastAsia="zh-CN"/>
                    </w:rPr>
                    <w:t>8.75</w:t>
                  </w:r>
                </w:p>
              </w:tc>
              <w:tc>
                <w:tcPr>
                  <w:tcW w:w="551" w:type="pct"/>
                  <w:noWrap w:val="0"/>
                  <w:vAlign w:val="center"/>
                </w:tcPr>
                <w:p w14:paraId="306F569C">
                  <w:pPr>
                    <w:spacing w:line="240" w:lineRule="auto"/>
                    <w:jc w:val="center"/>
                    <w:rPr>
                      <w:rFonts w:hint="default" w:ascii="Times New Roman" w:hAnsi="Times New Roman" w:eastAsia="宋体" w:cs="Times New Roman"/>
                      <w:caps w:val="0"/>
                      <w:smallCaps w:val="0"/>
                      <w:color w:val="auto"/>
                      <w:spacing w:val="0"/>
                      <w:highlight w:val="none"/>
                    </w:rPr>
                  </w:pPr>
                  <w:r>
                    <w:rPr>
                      <w:rFonts w:hint="default" w:ascii="Times New Roman" w:hAnsi="Times New Roman" w:eastAsia="宋体" w:cs="Times New Roman"/>
                      <w:caps w:val="0"/>
                      <w:smallCaps w:val="0"/>
                      <w:color w:val="auto"/>
                      <w:spacing w:val="0"/>
                      <w:highlight w:val="none"/>
                    </w:rPr>
                    <w:t>超标</w:t>
                  </w:r>
                </w:p>
              </w:tc>
              <w:tc>
                <w:tcPr>
                  <w:tcW w:w="554" w:type="pct"/>
                  <w:noWrap w:val="0"/>
                  <w:vAlign w:val="center"/>
                </w:tcPr>
                <w:p w14:paraId="57B11B63">
                  <w:pPr>
                    <w:spacing w:line="240" w:lineRule="auto"/>
                    <w:jc w:val="center"/>
                    <w:rPr>
                      <w:rFonts w:hint="default" w:ascii="Times New Roman" w:hAnsi="Times New Roman" w:eastAsia="宋体" w:cs="Times New Roman"/>
                      <w:caps w:val="0"/>
                      <w:smallCaps w:val="0"/>
                      <w:color w:val="auto"/>
                      <w:spacing w:val="0"/>
                      <w:highlight w:val="none"/>
                      <w:lang w:val="en-US" w:eastAsia="zh-CN"/>
                    </w:rPr>
                  </w:pPr>
                  <w:r>
                    <w:rPr>
                      <w:rFonts w:hint="default" w:ascii="Times New Roman" w:hAnsi="Times New Roman" w:eastAsia="宋体" w:cs="Times New Roman"/>
                      <w:caps w:val="0"/>
                      <w:smallCaps w:val="0"/>
                      <w:color w:val="auto"/>
                      <w:spacing w:val="0"/>
                      <w:highlight w:val="none"/>
                      <w:lang w:val="en-US" w:eastAsia="zh-CN"/>
                    </w:rPr>
                    <w:t>14.5</w:t>
                  </w:r>
                </w:p>
              </w:tc>
            </w:tr>
          </w:tbl>
          <w:p w14:paraId="58159384">
            <w:pPr>
              <w:spacing w:line="240" w:lineRule="auto"/>
              <w:ind w:firstLine="422" w:firstLineChars="200"/>
              <w:rPr>
                <w:rFonts w:hint="default" w:ascii="Times New Roman" w:hAnsi="Times New Roman" w:eastAsia="宋体" w:cs="Times New Roman"/>
                <w:caps w:val="0"/>
                <w:smallCaps w:val="0"/>
                <w:color w:val="auto"/>
                <w:spacing w:val="0"/>
                <w:sz w:val="21"/>
                <w:szCs w:val="21"/>
              </w:rPr>
            </w:pPr>
            <w:r>
              <w:rPr>
                <w:rFonts w:hint="default" w:ascii="Times New Roman" w:hAnsi="Times New Roman" w:eastAsia="宋体" w:cs="Times New Roman"/>
                <w:b/>
                <w:bCs/>
                <w:caps w:val="0"/>
                <w:smallCaps w:val="0"/>
                <w:color w:val="auto"/>
                <w:spacing w:val="0"/>
                <w:sz w:val="21"/>
                <w:szCs w:val="21"/>
                <w:lang w:val="en-US" w:eastAsia="zh-CN"/>
              </w:rPr>
              <w:t>注：</w:t>
            </w:r>
            <w:r>
              <w:rPr>
                <w:rFonts w:hint="default" w:ascii="Times New Roman" w:hAnsi="Times New Roman" w:eastAsia="宋体" w:cs="Times New Roman"/>
                <w:b w:val="0"/>
                <w:bCs w:val="0"/>
                <w:caps w:val="0"/>
                <w:smallCaps w:val="0"/>
                <w:color w:val="auto"/>
                <w:spacing w:val="0"/>
                <w:sz w:val="21"/>
                <w:szCs w:val="21"/>
                <w:vertAlign w:val="baseline"/>
                <w:lang w:val="en-US" w:eastAsia="zh-CN"/>
              </w:rPr>
              <w:t>①</w:t>
            </w:r>
            <w:r>
              <w:rPr>
                <w:rFonts w:hint="default" w:ascii="Times New Roman" w:hAnsi="Times New Roman" w:eastAsia="宋体" w:cs="Times New Roman"/>
                <w:b w:val="0"/>
                <w:bCs w:val="0"/>
                <w:caps w:val="0"/>
                <w:smallCaps w:val="0"/>
                <w:color w:val="auto"/>
                <w:spacing w:val="0"/>
                <w:sz w:val="21"/>
                <w:szCs w:val="21"/>
                <w:lang w:val="en-US" w:eastAsia="zh-CN"/>
              </w:rPr>
              <w:t>NO</w:t>
            </w:r>
            <w:r>
              <w:rPr>
                <w:rFonts w:hint="default" w:ascii="Times New Roman" w:hAnsi="Times New Roman" w:eastAsia="宋体" w:cs="Times New Roman"/>
                <w:b w:val="0"/>
                <w:bCs w:val="0"/>
                <w:caps w:val="0"/>
                <w:smallCaps w:val="0"/>
                <w:color w:val="auto"/>
                <w:spacing w:val="0"/>
                <w:sz w:val="21"/>
                <w:szCs w:val="21"/>
                <w:vertAlign w:val="subscript"/>
                <w:lang w:val="en-US" w:eastAsia="zh-CN"/>
              </w:rPr>
              <w:t>2</w:t>
            </w:r>
            <w:r>
              <w:rPr>
                <w:rFonts w:hint="default" w:ascii="Times New Roman" w:hAnsi="Times New Roman" w:eastAsia="宋体" w:cs="Times New Roman"/>
                <w:b w:val="0"/>
                <w:bCs w:val="0"/>
                <w:caps w:val="0"/>
                <w:smallCaps w:val="0"/>
                <w:color w:val="auto"/>
                <w:spacing w:val="0"/>
                <w:sz w:val="21"/>
                <w:szCs w:val="21"/>
                <w:lang w:val="en-US" w:eastAsia="zh-CN"/>
              </w:rPr>
              <w:t>日平均第98百分位数达标；</w:t>
            </w:r>
            <w:r>
              <w:rPr>
                <w:rFonts w:hint="default" w:ascii="Times New Roman" w:hAnsi="Times New Roman" w:eastAsia="宋体" w:cs="Times New Roman"/>
                <w:b w:val="0"/>
                <w:bCs w:val="0"/>
                <w:caps w:val="0"/>
                <w:smallCaps w:val="0"/>
                <w:color w:val="auto"/>
                <w:spacing w:val="0"/>
                <w:sz w:val="21"/>
                <w:szCs w:val="21"/>
                <w:vertAlign w:val="baseline"/>
                <w:lang w:val="en-US" w:eastAsia="zh-CN"/>
              </w:rPr>
              <w:t>②</w:t>
            </w:r>
            <w:r>
              <w:rPr>
                <w:rFonts w:hint="default" w:ascii="Times New Roman" w:hAnsi="Times New Roman" w:eastAsia="宋体" w:cs="Times New Roman"/>
                <w:b w:val="0"/>
                <w:bCs w:val="0"/>
                <w:caps w:val="0"/>
                <w:smallCaps w:val="0"/>
                <w:color w:val="auto"/>
                <w:spacing w:val="0"/>
                <w:sz w:val="21"/>
                <w:szCs w:val="21"/>
              </w:rPr>
              <w:t>PM</w:t>
            </w:r>
            <w:r>
              <w:rPr>
                <w:rFonts w:hint="default" w:ascii="Times New Roman" w:hAnsi="Times New Roman" w:eastAsia="宋体" w:cs="Times New Roman"/>
                <w:b w:val="0"/>
                <w:bCs w:val="0"/>
                <w:caps w:val="0"/>
                <w:smallCaps w:val="0"/>
                <w:color w:val="auto"/>
                <w:spacing w:val="0"/>
                <w:sz w:val="21"/>
                <w:szCs w:val="21"/>
                <w:vertAlign w:val="subscript"/>
              </w:rPr>
              <w:t>10</w:t>
            </w:r>
            <w:r>
              <w:rPr>
                <w:rFonts w:hint="default" w:ascii="Times New Roman" w:hAnsi="Times New Roman" w:eastAsia="宋体" w:cs="Times New Roman"/>
                <w:b w:val="0"/>
                <w:bCs w:val="0"/>
                <w:caps w:val="0"/>
                <w:smallCaps w:val="0"/>
                <w:color w:val="auto"/>
                <w:spacing w:val="0"/>
                <w:sz w:val="21"/>
                <w:szCs w:val="21"/>
                <w:lang w:val="en-US" w:eastAsia="zh-CN"/>
              </w:rPr>
              <w:t>日平均第95百分位数达标；</w:t>
            </w:r>
            <w:r>
              <w:rPr>
                <w:rFonts w:hint="default" w:ascii="Times New Roman" w:hAnsi="Times New Roman" w:eastAsia="宋体" w:cs="Times New Roman"/>
                <w:b w:val="0"/>
                <w:bCs w:val="0"/>
                <w:caps w:val="0"/>
                <w:smallCaps w:val="0"/>
                <w:color w:val="auto"/>
                <w:spacing w:val="0"/>
                <w:sz w:val="21"/>
                <w:szCs w:val="21"/>
                <w:vertAlign w:val="baseline"/>
                <w:lang w:val="en-US" w:eastAsia="zh-CN"/>
              </w:rPr>
              <w:t>③</w:t>
            </w:r>
            <w:r>
              <w:rPr>
                <w:rFonts w:hint="default" w:ascii="Times New Roman" w:hAnsi="Times New Roman" w:eastAsia="宋体" w:cs="Times New Roman"/>
                <w:b w:val="0"/>
                <w:bCs w:val="0"/>
                <w:caps w:val="0"/>
                <w:smallCaps w:val="0"/>
                <w:color w:val="auto"/>
                <w:spacing w:val="0"/>
                <w:sz w:val="21"/>
                <w:szCs w:val="21"/>
              </w:rPr>
              <w:t>PM</w:t>
            </w:r>
            <w:r>
              <w:rPr>
                <w:rFonts w:hint="default" w:ascii="Times New Roman" w:hAnsi="Times New Roman" w:eastAsia="宋体" w:cs="Times New Roman"/>
                <w:b w:val="0"/>
                <w:bCs w:val="0"/>
                <w:caps w:val="0"/>
                <w:smallCaps w:val="0"/>
                <w:color w:val="auto"/>
                <w:spacing w:val="0"/>
                <w:sz w:val="21"/>
                <w:szCs w:val="21"/>
                <w:vertAlign w:val="subscript"/>
              </w:rPr>
              <w:t>2.5</w:t>
            </w:r>
            <w:r>
              <w:rPr>
                <w:rFonts w:hint="default" w:ascii="Times New Roman" w:hAnsi="Times New Roman" w:eastAsia="宋体" w:cs="Times New Roman"/>
                <w:b w:val="0"/>
                <w:bCs w:val="0"/>
                <w:caps w:val="0"/>
                <w:smallCaps w:val="0"/>
                <w:color w:val="auto"/>
                <w:spacing w:val="0"/>
                <w:sz w:val="21"/>
                <w:szCs w:val="21"/>
                <w:lang w:val="en-US" w:eastAsia="zh-CN"/>
              </w:rPr>
              <w:t>日平均第95百分位数超标。</w:t>
            </w:r>
          </w:p>
          <w:p w14:paraId="36DD0542">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aps w:val="0"/>
                <w:smallCaps w:val="0"/>
                <w:color w:val="auto"/>
                <w:spacing w:val="0"/>
                <w:sz w:val="24"/>
                <w:szCs w:val="24"/>
              </w:rPr>
            </w:pPr>
            <w:r>
              <w:rPr>
                <w:rFonts w:hint="default" w:ascii="Times New Roman" w:hAnsi="Times New Roman" w:eastAsia="宋体" w:cs="Times New Roman"/>
                <w:caps w:val="0"/>
                <w:smallCaps w:val="0"/>
                <w:color w:val="auto"/>
                <w:spacing w:val="0"/>
                <w:sz w:val="24"/>
                <w:szCs w:val="24"/>
              </w:rPr>
              <w:t>202</w:t>
            </w:r>
            <w:r>
              <w:rPr>
                <w:rFonts w:hint="default" w:ascii="Times New Roman" w:hAnsi="Times New Roman" w:eastAsia="宋体" w:cs="Times New Roman"/>
                <w:caps w:val="0"/>
                <w:smallCaps w:val="0"/>
                <w:color w:val="auto"/>
                <w:spacing w:val="0"/>
                <w:sz w:val="24"/>
                <w:szCs w:val="24"/>
                <w:lang w:val="en-US" w:eastAsia="zh-CN"/>
              </w:rPr>
              <w:t>3</w:t>
            </w:r>
            <w:r>
              <w:rPr>
                <w:rFonts w:hint="default" w:ascii="Times New Roman" w:hAnsi="Times New Roman" w:eastAsia="宋体" w:cs="Times New Roman"/>
                <w:caps w:val="0"/>
                <w:smallCaps w:val="0"/>
                <w:color w:val="auto"/>
                <w:spacing w:val="0"/>
                <w:sz w:val="24"/>
                <w:szCs w:val="24"/>
              </w:rPr>
              <w:t>年</w:t>
            </w:r>
            <w:r>
              <w:rPr>
                <w:rFonts w:hint="default" w:ascii="Times New Roman" w:hAnsi="Times New Roman" w:eastAsia="宋体" w:cs="Times New Roman"/>
                <w:caps w:val="0"/>
                <w:smallCaps w:val="0"/>
                <w:color w:val="auto"/>
                <w:spacing w:val="0"/>
                <w:sz w:val="24"/>
                <w:szCs w:val="24"/>
                <w:highlight w:val="none"/>
              </w:rPr>
              <w:t>常州市环境空气中SO</w:t>
            </w:r>
            <w:r>
              <w:rPr>
                <w:rFonts w:hint="default" w:ascii="Times New Roman" w:hAnsi="Times New Roman" w:eastAsia="宋体" w:cs="Times New Roman"/>
                <w:caps w:val="0"/>
                <w:smallCaps w:val="0"/>
                <w:color w:val="auto"/>
                <w:spacing w:val="0"/>
                <w:sz w:val="24"/>
                <w:szCs w:val="24"/>
                <w:highlight w:val="none"/>
                <w:vertAlign w:val="subscript"/>
              </w:rPr>
              <w:t>2</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年平均质量浓度及日平均第98百分位数</w:t>
            </w:r>
            <w:r>
              <w:rPr>
                <w:rFonts w:hint="default" w:ascii="Times New Roman" w:hAnsi="Times New Roman" w:eastAsia="宋体" w:cs="Times New Roman"/>
                <w:caps w:val="0"/>
                <w:smallCaps w:val="0"/>
                <w:color w:val="auto"/>
                <w:spacing w:val="0"/>
                <w:sz w:val="24"/>
                <w:szCs w:val="24"/>
                <w:highlight w:val="none"/>
              </w:rPr>
              <w:t>、NO</w:t>
            </w:r>
            <w:r>
              <w:rPr>
                <w:rFonts w:hint="default" w:ascii="Times New Roman" w:hAnsi="Times New Roman" w:eastAsia="宋体" w:cs="Times New Roman"/>
                <w:caps w:val="0"/>
                <w:smallCaps w:val="0"/>
                <w:color w:val="auto"/>
                <w:spacing w:val="0"/>
                <w:sz w:val="24"/>
                <w:szCs w:val="24"/>
                <w:highlight w:val="none"/>
                <w:vertAlign w:val="subscript"/>
              </w:rPr>
              <w:t>2</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年平均质量浓度及日平均第98百分位数</w:t>
            </w:r>
            <w:r>
              <w:rPr>
                <w:rFonts w:hint="default" w:ascii="Times New Roman" w:hAnsi="Times New Roman" w:eastAsia="宋体" w:cs="Times New Roman"/>
                <w:caps w:val="0"/>
                <w:smallCaps w:val="0"/>
                <w:color w:val="auto"/>
                <w:spacing w:val="0"/>
                <w:sz w:val="24"/>
                <w:szCs w:val="24"/>
                <w:highlight w:val="none"/>
              </w:rPr>
              <w:t>、颗粒物（PM</w:t>
            </w:r>
            <w:r>
              <w:rPr>
                <w:rFonts w:hint="default" w:ascii="Times New Roman" w:hAnsi="Times New Roman" w:eastAsia="宋体" w:cs="Times New Roman"/>
                <w:caps w:val="0"/>
                <w:smallCaps w:val="0"/>
                <w:color w:val="auto"/>
                <w:spacing w:val="0"/>
                <w:sz w:val="24"/>
                <w:szCs w:val="24"/>
                <w:highlight w:val="none"/>
                <w:vertAlign w:val="subscript"/>
              </w:rPr>
              <w:t>10</w:t>
            </w:r>
            <w:r>
              <w:rPr>
                <w:rFonts w:hint="default" w:ascii="Times New Roman" w:hAnsi="Times New Roman" w:eastAsia="宋体" w:cs="Times New Roman"/>
                <w:caps w:val="0"/>
                <w:smallCaps w:val="0"/>
                <w:color w:val="auto"/>
                <w:spacing w:val="0"/>
                <w:sz w:val="24"/>
                <w:szCs w:val="24"/>
                <w:highlight w:val="none"/>
              </w:rPr>
              <w:t>）</w:t>
            </w:r>
            <w:r>
              <w:rPr>
                <w:rFonts w:hint="default" w:ascii="Times New Roman" w:hAnsi="Times New Roman" w:eastAsia="宋体" w:cs="Times New Roman"/>
                <w:caps w:val="0"/>
                <w:smallCaps w:val="0"/>
                <w:color w:val="auto"/>
                <w:spacing w:val="0"/>
                <w:sz w:val="24"/>
                <w:szCs w:val="24"/>
                <w:highlight w:val="none"/>
                <w:lang w:val="en-US" w:eastAsia="zh-CN"/>
              </w:rPr>
              <w:t>年平均质量浓度及日平均第95百分位数、</w:t>
            </w:r>
            <w:r>
              <w:rPr>
                <w:rFonts w:hint="default" w:ascii="Times New Roman" w:hAnsi="Times New Roman" w:eastAsia="宋体" w:cs="Times New Roman"/>
                <w:caps w:val="0"/>
                <w:smallCaps w:val="0"/>
                <w:color w:val="auto"/>
                <w:spacing w:val="0"/>
                <w:sz w:val="24"/>
                <w:szCs w:val="24"/>
                <w:highlight w:val="none"/>
              </w:rPr>
              <w:t>细颗粒物（PM</w:t>
            </w:r>
            <w:r>
              <w:rPr>
                <w:rFonts w:hint="default" w:ascii="Times New Roman" w:hAnsi="Times New Roman" w:eastAsia="宋体" w:cs="Times New Roman"/>
                <w:caps w:val="0"/>
                <w:smallCaps w:val="0"/>
                <w:color w:val="auto"/>
                <w:spacing w:val="0"/>
                <w:sz w:val="24"/>
                <w:szCs w:val="24"/>
                <w:highlight w:val="none"/>
                <w:vertAlign w:val="subscript"/>
              </w:rPr>
              <w:t>2.5</w:t>
            </w:r>
            <w:r>
              <w:rPr>
                <w:rFonts w:hint="default" w:ascii="Times New Roman" w:hAnsi="Times New Roman" w:eastAsia="宋体" w:cs="Times New Roman"/>
                <w:caps w:val="0"/>
                <w:smallCaps w:val="0"/>
                <w:color w:val="auto"/>
                <w:spacing w:val="0"/>
                <w:sz w:val="24"/>
                <w:szCs w:val="24"/>
                <w:highlight w:val="none"/>
              </w:rPr>
              <w:t>）年平均质量浓度、CO日平均第95百分位数</w:t>
            </w:r>
            <w:r>
              <w:rPr>
                <w:rFonts w:hint="default" w:ascii="Times New Roman" w:hAnsi="Times New Roman" w:eastAsia="宋体" w:cs="Times New Roman"/>
                <w:caps w:val="0"/>
                <w:smallCaps w:val="0"/>
                <w:color w:val="auto"/>
                <w:spacing w:val="0"/>
                <w:sz w:val="24"/>
                <w:szCs w:val="24"/>
                <w:highlight w:val="none"/>
                <w:lang w:val="en-US" w:eastAsia="zh-CN"/>
              </w:rPr>
              <w:t>及日均值浓度</w:t>
            </w:r>
            <w:r>
              <w:rPr>
                <w:rFonts w:hint="default" w:ascii="Times New Roman" w:hAnsi="Times New Roman" w:eastAsia="宋体" w:cs="Times New Roman"/>
                <w:caps w:val="0"/>
                <w:smallCaps w:val="0"/>
                <w:color w:val="auto"/>
                <w:spacing w:val="0"/>
                <w:sz w:val="24"/>
                <w:szCs w:val="24"/>
                <w:highlight w:val="none"/>
              </w:rPr>
              <w:t>均达到《环境空气质量标准》（GB3095-2012）表1中二级浓度限值；</w:t>
            </w:r>
            <w:r>
              <w:rPr>
                <w:rFonts w:hint="default" w:ascii="Times New Roman" w:hAnsi="Times New Roman" w:eastAsia="宋体" w:cs="Times New Roman"/>
                <w:caps w:val="0"/>
                <w:smallCaps w:val="0"/>
                <w:color w:val="auto"/>
                <w:spacing w:val="0"/>
                <w:sz w:val="24"/>
                <w:szCs w:val="24"/>
                <w:highlight w:val="none"/>
                <w:lang w:val="en-US" w:eastAsia="zh-CN"/>
              </w:rPr>
              <w:t>细颗粒物（PM</w:t>
            </w:r>
            <w:r>
              <w:rPr>
                <w:rFonts w:hint="default" w:ascii="Times New Roman" w:hAnsi="Times New Roman" w:eastAsia="宋体" w:cs="Times New Roman"/>
                <w:caps w:val="0"/>
                <w:smallCaps w:val="0"/>
                <w:color w:val="auto"/>
                <w:spacing w:val="0"/>
                <w:sz w:val="24"/>
                <w:szCs w:val="24"/>
                <w:highlight w:val="none"/>
                <w:vertAlign w:val="subscript"/>
                <w:lang w:val="en-US" w:eastAsia="zh-CN"/>
              </w:rPr>
              <w:t>2.5</w:t>
            </w:r>
            <w:r>
              <w:rPr>
                <w:rFonts w:hint="default" w:ascii="Times New Roman" w:hAnsi="Times New Roman" w:eastAsia="宋体" w:cs="Times New Roman"/>
                <w:caps w:val="0"/>
                <w:smallCaps w:val="0"/>
                <w:color w:val="auto"/>
                <w:spacing w:val="0"/>
                <w:sz w:val="24"/>
                <w:szCs w:val="24"/>
                <w:highlight w:val="none"/>
                <w:lang w:val="en-US" w:eastAsia="zh-CN"/>
              </w:rPr>
              <w:t>）日平均第95百分位数、</w:t>
            </w:r>
            <w:r>
              <w:rPr>
                <w:rFonts w:hint="default" w:ascii="Times New Roman" w:hAnsi="Times New Roman" w:eastAsia="宋体" w:cs="Times New Roman"/>
                <w:caps w:val="0"/>
                <w:smallCaps w:val="0"/>
                <w:color w:val="auto"/>
                <w:spacing w:val="0"/>
                <w:sz w:val="24"/>
                <w:szCs w:val="24"/>
                <w:highlight w:val="none"/>
              </w:rPr>
              <w:t>O</w:t>
            </w:r>
            <w:r>
              <w:rPr>
                <w:rFonts w:hint="default" w:ascii="Times New Roman" w:hAnsi="Times New Roman" w:eastAsia="宋体" w:cs="Times New Roman"/>
                <w:caps w:val="0"/>
                <w:smallCaps w:val="0"/>
                <w:color w:val="auto"/>
                <w:spacing w:val="0"/>
                <w:sz w:val="24"/>
                <w:szCs w:val="24"/>
                <w:highlight w:val="none"/>
                <w:vertAlign w:val="subscript"/>
              </w:rPr>
              <w:t>3</w:t>
            </w:r>
            <w:r>
              <w:rPr>
                <w:rFonts w:hint="default" w:ascii="Times New Roman" w:hAnsi="Times New Roman" w:eastAsia="宋体" w:cs="Times New Roman"/>
                <w:caps w:val="0"/>
                <w:smallCaps w:val="0"/>
                <w:color w:val="auto"/>
                <w:spacing w:val="0"/>
                <w:sz w:val="24"/>
                <w:szCs w:val="24"/>
                <w:highlight w:val="none"/>
              </w:rPr>
              <w:t>日大8小时滑动平均值第90百分位数超过《环境空气质量标准》（GB3095-2012）表1中二级浓度限值。项目所在区</w:t>
            </w:r>
            <w:r>
              <w:rPr>
                <w:rFonts w:hint="default" w:ascii="Times New Roman" w:hAnsi="Times New Roman" w:eastAsia="宋体" w:cs="Times New Roman"/>
                <w:caps w:val="0"/>
                <w:smallCaps w:val="0"/>
                <w:color w:val="auto"/>
                <w:spacing w:val="0"/>
                <w:sz w:val="24"/>
                <w:szCs w:val="24"/>
                <w:highlight w:val="none"/>
                <w:lang w:val="en-US" w:eastAsia="zh-CN"/>
              </w:rPr>
              <w:t>PM</w:t>
            </w:r>
            <w:r>
              <w:rPr>
                <w:rFonts w:hint="default" w:ascii="Times New Roman" w:hAnsi="Times New Roman" w:eastAsia="宋体" w:cs="Times New Roman"/>
                <w:caps w:val="0"/>
                <w:smallCaps w:val="0"/>
                <w:color w:val="auto"/>
                <w:spacing w:val="0"/>
                <w:sz w:val="24"/>
                <w:szCs w:val="24"/>
                <w:highlight w:val="none"/>
                <w:vertAlign w:val="subscript"/>
                <w:lang w:val="en-US" w:eastAsia="zh-CN"/>
              </w:rPr>
              <w:t>2.5</w:t>
            </w:r>
            <w:r>
              <w:rPr>
                <w:rFonts w:hint="default" w:ascii="Times New Roman" w:hAnsi="Times New Roman" w:eastAsia="宋体" w:cs="Times New Roman"/>
                <w:caps w:val="0"/>
                <w:smallCaps w:val="0"/>
                <w:color w:val="auto"/>
                <w:spacing w:val="0"/>
                <w:sz w:val="24"/>
                <w:szCs w:val="24"/>
                <w:highlight w:val="none"/>
                <w:lang w:val="en-US" w:eastAsia="zh-CN"/>
              </w:rPr>
              <w:t>、</w:t>
            </w:r>
            <w:r>
              <w:rPr>
                <w:rFonts w:hint="default" w:ascii="Times New Roman" w:hAnsi="Times New Roman" w:eastAsia="宋体" w:cs="Times New Roman"/>
                <w:caps w:val="0"/>
                <w:smallCaps w:val="0"/>
                <w:color w:val="auto"/>
                <w:spacing w:val="0"/>
                <w:sz w:val="24"/>
                <w:szCs w:val="24"/>
                <w:highlight w:val="none"/>
              </w:rPr>
              <w:t>O</w:t>
            </w:r>
            <w:r>
              <w:rPr>
                <w:rFonts w:hint="default" w:ascii="Times New Roman" w:hAnsi="Times New Roman" w:eastAsia="宋体" w:cs="Times New Roman"/>
                <w:caps w:val="0"/>
                <w:smallCaps w:val="0"/>
                <w:color w:val="auto"/>
                <w:spacing w:val="0"/>
                <w:sz w:val="24"/>
                <w:szCs w:val="24"/>
                <w:highlight w:val="none"/>
                <w:vertAlign w:val="subscript"/>
              </w:rPr>
              <w:t>3</w:t>
            </w:r>
            <w:r>
              <w:rPr>
                <w:rFonts w:hint="default" w:ascii="Times New Roman" w:hAnsi="Times New Roman" w:eastAsia="宋体" w:cs="Times New Roman"/>
                <w:caps w:val="0"/>
                <w:smallCaps w:val="0"/>
                <w:color w:val="auto"/>
                <w:spacing w:val="0"/>
                <w:sz w:val="24"/>
                <w:szCs w:val="24"/>
                <w:highlight w:val="none"/>
              </w:rPr>
              <w:t>超标</w:t>
            </w:r>
            <w:r>
              <w:rPr>
                <w:rFonts w:hint="default" w:ascii="Times New Roman" w:hAnsi="Times New Roman" w:eastAsia="宋体" w:cs="Times New Roman"/>
                <w:caps w:val="0"/>
                <w:smallCaps w:val="0"/>
                <w:color w:val="auto"/>
                <w:spacing w:val="0"/>
                <w:sz w:val="24"/>
                <w:szCs w:val="24"/>
                <w:highlight w:val="none"/>
                <w:lang w:eastAsia="zh-CN"/>
              </w:rPr>
              <w:t>，</w:t>
            </w:r>
            <w:r>
              <w:rPr>
                <w:rFonts w:hint="default" w:ascii="Times New Roman" w:hAnsi="Times New Roman" w:eastAsia="宋体" w:cs="Times New Roman"/>
                <w:caps w:val="0"/>
                <w:smallCaps w:val="0"/>
                <w:color w:val="auto"/>
                <w:spacing w:val="0"/>
                <w:sz w:val="24"/>
                <w:szCs w:val="24"/>
              </w:rPr>
              <w:t>因此判定为不达标区。</w:t>
            </w:r>
          </w:p>
          <w:p w14:paraId="41CACCD0">
            <w:pPr>
              <w:pStyle w:val="15"/>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aps w:val="0"/>
                <w:smallCaps w:val="0"/>
                <w:color w:val="auto"/>
                <w:spacing w:val="0"/>
                <w:sz w:val="24"/>
                <w:szCs w:val="24"/>
                <w:highlight w:val="none"/>
              </w:rPr>
            </w:pPr>
            <w:r>
              <w:rPr>
                <w:rFonts w:hint="default" w:ascii="Times New Roman" w:hAnsi="Times New Roman" w:eastAsia="宋体" w:cs="Times New Roman"/>
                <w:b w:val="0"/>
                <w:bCs w:val="0"/>
                <w:caps w:val="0"/>
                <w:smallCaps w:val="0"/>
                <w:color w:val="auto"/>
                <w:spacing w:val="0"/>
                <w:sz w:val="24"/>
                <w:szCs w:val="24"/>
                <w:highlight w:val="none"/>
                <w:lang w:eastAsia="zh-CN"/>
              </w:rPr>
              <w:t>（</w:t>
            </w:r>
            <w:r>
              <w:rPr>
                <w:rFonts w:hint="default" w:ascii="Times New Roman" w:hAnsi="Times New Roman" w:eastAsia="宋体" w:cs="Times New Roman"/>
                <w:b w:val="0"/>
                <w:bCs w:val="0"/>
                <w:caps w:val="0"/>
                <w:smallCaps w:val="0"/>
                <w:color w:val="auto"/>
                <w:spacing w:val="0"/>
                <w:sz w:val="24"/>
                <w:szCs w:val="24"/>
                <w:highlight w:val="none"/>
              </w:rPr>
              <w:t>3）区域削减</w:t>
            </w:r>
          </w:p>
          <w:p w14:paraId="372CA75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区域削减措施具体如下：</w:t>
            </w:r>
          </w:p>
          <w:p w14:paraId="1570FB5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根据《常州市深入打好污染防治攻坚战专项行动方案》：</w:t>
            </w:r>
          </w:p>
          <w:p w14:paraId="0F6EA73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（一）着力打好重污染天气消除攻坚战</w:t>
            </w:r>
          </w:p>
          <w:p w14:paraId="1D74B9B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1、加大重点行业污染治理力度，强化多污染物协同控制，推进PM2.5和臭氧浓度</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双控双减</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，严格落实重污染天气应急管控措施，做好国家重大活动空气质量保障，基本消除重污染天气。严格落实点位长制，重点区域落实精细化管控措施。</w:t>
            </w:r>
          </w:p>
          <w:p w14:paraId="7D56017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2、推动重点行业企业和工业炉窑、垃圾焚烧重点设施超低排放改造（深度治理），严格控制物料（含废渣）运输、装卸、储存、转移和工艺过程无组织排放。</w:t>
            </w:r>
          </w:p>
          <w:p w14:paraId="1E07FFE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3、强化建筑工地、道路、堆场、矿山等扬尘管控。推进智慧工地</w:t>
            </w:r>
            <w:r>
              <w:rPr>
                <w:rFonts w:hint="default" w:ascii="Times New Roman" w:hAnsi="Times New Roman" w:eastAsia="宋体" w:cs="Times New Roman"/>
                <w:color w:val="auto"/>
                <w:sz w:val="24"/>
                <w:lang w:eastAsia="zh-CN"/>
              </w:rPr>
              <w:t>建设</w:t>
            </w:r>
            <w:r>
              <w:rPr>
                <w:rFonts w:hint="default" w:ascii="Times New Roman" w:hAnsi="Times New Roman" w:eastAsia="宋体" w:cs="Times New Roman"/>
                <w:color w:val="auto"/>
                <w:sz w:val="24"/>
              </w:rPr>
              <w:t>及全市工地扬尘监控信息化指挥控制平台建设。强化渣土运输车辆全封闭运输管理，城市建成区全面使用新型环保智能渣土车。推动港口码头仓库料场全封闭管理，易起尘港口多点安装粉尘在线监测设备。对城市公共区域、长期未开发建设裸地，以及废旧厂区、物流园、大型停车场等进行排查建档并采取防尘措施。提高城市保洁机械化作业比率，城市建成区道路机械化清扫率达到90%以上。</w:t>
            </w:r>
          </w:p>
          <w:p w14:paraId="57BE75E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到2025年，全市重度及以上污染天气比率控制在0.2%以内。</w:t>
            </w:r>
          </w:p>
          <w:p w14:paraId="5158633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（二）着力打好臭氧污染防治攻坚战</w:t>
            </w:r>
          </w:p>
          <w:p w14:paraId="5D378A0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以化工、涂装、医药、包装印刷、油品储运销等行业领域为重点，实施原辅材料和产品源头替代工程。结合产业结构分布，培育源头替代示范型企业。对照国家强制性标准，每季度开展1次各类涂料、油墨、胶黏剂、清洗剂等产品VOCs含量限值标准执行情况的监督检查。</w:t>
            </w:r>
          </w:p>
          <w:p w14:paraId="7ADB2F9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2、提高企业挥发性有机物治理水平。开展有机储罐分类深度治理及回头看工作。优化企业集群布局，积极推动企业集群入工业园区或小微企业园。按照</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标杆建设一批、改造提升一批、优化整合一批、淘汰退出一批</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的要求，对涉气产业集群开展排查及分类治理。</w:t>
            </w:r>
          </w:p>
          <w:p w14:paraId="30E36FF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强化装卸废气收集治理。向汽车罐车装载汽油、航空煤油、石脑油和苯、甲苯、二甲苯等应采用底部装载方式，换用自封式快速接头。推进万吨级及以上原油、成品油码头完成油气回收治理。长江和京杭运河沿线原油、汽油和石脑油装船作业码头加大改造力度。推进挥发性有机液体运输洗舱VOCs治理，油品运输船舶具备油气回收能力。</w:t>
            </w:r>
          </w:p>
          <w:p w14:paraId="1C714F4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4、推进餐饮油烟污染治理和执法监管。推动治理设施第三方运维管理及运行状态监控。开展餐饮油烟专项整治或</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回头看</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，打造餐饮油烟治理示范项目。</w:t>
            </w:r>
          </w:p>
          <w:p w14:paraId="729D6D1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到2025年，挥发性有机物、氮氧化物削减量完成省定下达目标，臭氧浓度增长趋势得到有效遏制。</w:t>
            </w:r>
          </w:p>
          <w:p w14:paraId="0725EAF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（三）着力打好交通运输污染治理攻坚战</w:t>
            </w:r>
          </w:p>
          <w:p w14:paraId="289CBAD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1、加大货物运输结构调整力度，煤炭、矿石等大宗货物中长距离运输推广使用铁路、水路或管道方式，短距离运输优先采用封闭式皮带廊道或新能源车辆。到2025年，货运铁路和水运分担率之和达到35%。</w:t>
            </w:r>
          </w:p>
          <w:p w14:paraId="5DDF294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2、实施</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绿色车轮</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计划，编制并实施常州市区充换电设施布局规划，推进新能源汽车消费替代，城市建成区新增或替换的公交车实现新能源和清洁能源车辆占比达100%以上，邮政等公共领域新增或者替换的车辆全面采用新能源汽车或清洁能源汽车，环卫领域车辆逐步推进提高新能源汽车或清洁能源汽车占比。到2025年，基本淘汰国三及以下排放标准柴油货车，开展中重型新能源货车及内河LNG船舶的推广应用。到2025年，主要港口和排放控制区内靠港船舶的岸电使用电量在2020年基础上翻一番，靠港和水上服务区锚泊船舶岸电应用尽用。</w:t>
            </w:r>
          </w:p>
          <w:p w14:paraId="05A93BB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稳步提高柴油车监督抽测排放合格率，基本消除冒黑烟现象。重点加强柴油货车路检路查，以及集中使用和停放地的入户抽测。对凌家塘物流园、货物集散地等车辆集中停放地，以及大型工矿企业、物流货运、长途客运、公交、环卫、邮政、旅游等重点单位每月至少开展一次入户监督抽测，全面实施汽车排放检测与维护（I/M）制度和汽车排放召回制度。</w:t>
            </w:r>
          </w:p>
          <w:p w14:paraId="2ACC7A3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建立车用油品、车用尿素、船用燃料油全生命周期监管档案管理制度，加油站每年至少开展1次加油枪气液比、系统密闭性及管线液阻的检查检测，储油库每季度开展油气回收系统接口泄漏检测和油气回收处理装置运行效果监测。</w:t>
            </w:r>
          </w:p>
          <w:p w14:paraId="12F02E3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加强非道路移动机械污染防治。实施非道路移动柴油机械第四阶段排放标准，对非道路移动机械生产、进口、销售企业实施常态化环保达标监督检查。持续推进非道路移动机械的摸底调查和编码登记工作，建立多部门协调配合的工程机械环保监管制度，形成编码登记、排放检测、超标处罚撤场等全链条管理。未经环保部门编码登记、确认符合排放要求的非道路移动机械不得进入禁用区域，逐步推进在禁用区域内施工的移动机械达到国Ⅲ及以上标准。建立生态环境、建设、交通运输等多部门的联合执法机制，强化工程机械监督抽测。禁止超标排放工程机械使用，消除冒黑烟现象。</w:t>
            </w:r>
          </w:p>
          <w:p w14:paraId="7ECE302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目标：到2025年，全市生态环境质量持续改善，主要污染物排放总量持续下降，PM2.5浓度达到30微克/立方米左右，优良天数比率达到81.4%，生态质量指数达到50以上。</w:t>
            </w:r>
          </w:p>
          <w:p w14:paraId="35859EF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（3）其他污染物环境质量现状评价</w:t>
            </w:r>
          </w:p>
          <w:p w14:paraId="5D71D9C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本项目特征因子非甲烷总烃环境质量现状监测数据引用TST202411059 特斯特</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江苏</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检测科技有限公司于2024.11.11-2024.11.17对〇3项目所在地</w:t>
            </w:r>
            <w:r>
              <w:rPr>
                <w:rFonts w:hint="eastAsia" w:ascii="Times New Roman" w:hAnsi="Times New Roman" w:eastAsia="宋体" w:cs="Times New Roman"/>
                <w:color w:val="auto"/>
                <w:sz w:val="24"/>
                <w:lang w:eastAsia="zh-CN"/>
              </w:rPr>
              <w:t>（微宙电子西100米处，钱资湖大道南）</w:t>
            </w:r>
            <w:r>
              <w:rPr>
                <w:rFonts w:hint="default" w:ascii="Times New Roman" w:hAnsi="Times New Roman" w:eastAsia="宋体" w:cs="Times New Roman"/>
                <w:color w:val="auto"/>
                <w:sz w:val="24"/>
              </w:rPr>
              <w:t>连续7天的检测数据，引用因子为非甲烷总烃。</w:t>
            </w:r>
          </w:p>
          <w:p w14:paraId="601629E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引用数据有效性：①引用2024.11.11-2024.11.17日非甲烷总烃连续</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color w:val="auto"/>
                <w:sz w:val="24"/>
              </w:rPr>
              <w:t>天历史监测数据，引用时间不超过3年，引用时间有效；②项目所在区域内污染源未发生重大变化，可引用3年内大气的检测数据；③引用点位在项目相关评价范围内，则大气引用点位有效。</w:t>
            </w:r>
          </w:p>
          <w:p w14:paraId="26558EF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本项目环境空气质量现状具体引用位置见表3-2，大气环境现状引用结果见表3-3。</w:t>
            </w:r>
          </w:p>
          <w:p w14:paraId="364D03A4">
            <w:pPr>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表3-2  大气环境质量引用点位一览表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Layout w:type="fixed"/>
              <w:tblCellMar>
                <w:top w:w="0" w:type="dxa"/>
                <w:left w:w="30" w:type="dxa"/>
                <w:bottom w:w="0" w:type="dxa"/>
                <w:right w:w="30" w:type="dxa"/>
              </w:tblCellMar>
            </w:tblPr>
            <w:tblGrid>
              <w:gridCol w:w="565"/>
              <w:gridCol w:w="1803"/>
              <w:gridCol w:w="1047"/>
              <w:gridCol w:w="1349"/>
              <w:gridCol w:w="1347"/>
              <w:gridCol w:w="2183"/>
            </w:tblGrid>
            <w:tr w14:paraId="06E5B9C1">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30" w:type="dxa"/>
                  <w:bottom w:w="0" w:type="dxa"/>
                  <w:right w:w="30" w:type="dxa"/>
                </w:tblCellMar>
              </w:tblPrEx>
              <w:trPr>
                <w:trHeight w:val="317" w:hRule="atLeast"/>
                <w:jc w:val="center"/>
              </w:trPr>
              <w:tc>
                <w:tcPr>
                  <w:tcW w:w="341" w:type="pct"/>
                  <w:vMerge w:val="restart"/>
                  <w:vAlign w:val="center"/>
                </w:tcPr>
                <w:p w14:paraId="36E1FE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w:t>
                  </w:r>
                </w:p>
                <w:p w14:paraId="36B903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编号</w:t>
                  </w:r>
                </w:p>
              </w:tc>
              <w:tc>
                <w:tcPr>
                  <w:tcW w:w="1087" w:type="pct"/>
                  <w:vMerge w:val="restart"/>
                  <w:vAlign w:val="center"/>
                </w:tcPr>
                <w:p w14:paraId="7399C1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测点名称</w:t>
                  </w:r>
                </w:p>
              </w:tc>
              <w:tc>
                <w:tcPr>
                  <w:tcW w:w="1444" w:type="pct"/>
                  <w:gridSpan w:val="2"/>
                  <w:vAlign w:val="center"/>
                </w:tcPr>
                <w:p w14:paraId="67FBC0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测点位置</w:t>
                  </w:r>
                </w:p>
              </w:tc>
              <w:tc>
                <w:tcPr>
                  <w:tcW w:w="812" w:type="pct"/>
                  <w:vMerge w:val="restart"/>
                  <w:vAlign w:val="center"/>
                </w:tcPr>
                <w:p w14:paraId="38810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引用项目</w:t>
                  </w:r>
                </w:p>
              </w:tc>
              <w:tc>
                <w:tcPr>
                  <w:tcW w:w="1316" w:type="pct"/>
                  <w:vMerge w:val="restart"/>
                  <w:vAlign w:val="center"/>
                </w:tcPr>
                <w:p w14:paraId="1D2F17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引用频次</w:t>
                  </w:r>
                </w:p>
              </w:tc>
            </w:tr>
            <w:tr w14:paraId="0FFEA52F">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30" w:type="dxa"/>
                  <w:bottom w:w="0" w:type="dxa"/>
                  <w:right w:w="30" w:type="dxa"/>
                </w:tblCellMar>
              </w:tblPrEx>
              <w:trPr>
                <w:trHeight w:val="415" w:hRule="atLeast"/>
                <w:jc w:val="center"/>
              </w:trPr>
              <w:tc>
                <w:tcPr>
                  <w:tcW w:w="341" w:type="pct"/>
                  <w:vMerge w:val="continue"/>
                  <w:vAlign w:val="center"/>
                </w:tcPr>
                <w:p w14:paraId="3E381B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87" w:type="pct"/>
                  <w:vMerge w:val="continue"/>
                  <w:vAlign w:val="center"/>
                </w:tcPr>
                <w:p w14:paraId="090D48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31" w:type="pct"/>
                  <w:vAlign w:val="center"/>
                </w:tcPr>
                <w:p w14:paraId="0D6D88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方位</w:t>
                  </w:r>
                </w:p>
              </w:tc>
              <w:tc>
                <w:tcPr>
                  <w:tcW w:w="813" w:type="pct"/>
                  <w:vAlign w:val="center"/>
                </w:tcPr>
                <w:p w14:paraId="1E7C8B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距离（m）</w:t>
                  </w:r>
                </w:p>
              </w:tc>
              <w:tc>
                <w:tcPr>
                  <w:tcW w:w="812" w:type="pct"/>
                  <w:vMerge w:val="continue"/>
                  <w:vAlign w:val="center"/>
                </w:tcPr>
                <w:p w14:paraId="0B25D6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316" w:type="pct"/>
                  <w:vMerge w:val="continue"/>
                  <w:vAlign w:val="center"/>
                </w:tcPr>
                <w:p w14:paraId="3514D8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13ED86DD">
              <w:tblPrEx>
                <w:tblBorders>
                  <w:top w:val="single" w:color="000000" w:sz="12" w:space="0"/>
                  <w:left w:val="none" w:color="auto" w:sz="0" w:space="0"/>
                  <w:bottom w:val="single" w:color="000000" w:sz="12" w:space="0"/>
                  <w:right w:val="none" w:color="auto" w:sz="0" w:space="0"/>
                  <w:insideH w:val="single" w:color="000000" w:sz="8" w:space="0"/>
                  <w:insideV w:val="single" w:color="000000" w:sz="8" w:space="0"/>
                </w:tblBorders>
                <w:tblCellMar>
                  <w:top w:w="0" w:type="dxa"/>
                  <w:left w:w="30" w:type="dxa"/>
                  <w:bottom w:w="0" w:type="dxa"/>
                  <w:right w:w="30" w:type="dxa"/>
                </w:tblCellMar>
              </w:tblPrEx>
              <w:trPr>
                <w:trHeight w:val="397" w:hRule="atLeast"/>
                <w:jc w:val="center"/>
              </w:trPr>
              <w:tc>
                <w:tcPr>
                  <w:tcW w:w="341" w:type="pct"/>
                  <w:vAlign w:val="center"/>
                </w:tcPr>
                <w:p w14:paraId="02B203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〇3</w:t>
                  </w:r>
                </w:p>
              </w:tc>
              <w:tc>
                <w:tcPr>
                  <w:tcW w:w="1087" w:type="pct"/>
                  <w:vAlign w:val="center"/>
                </w:tcPr>
                <w:p w14:paraId="355EC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微宙电子西100米处</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钱资湖大道南</w:t>
                  </w:r>
                </w:p>
              </w:tc>
              <w:tc>
                <w:tcPr>
                  <w:tcW w:w="631" w:type="pct"/>
                  <w:vAlign w:val="center"/>
                </w:tcPr>
                <w:p w14:paraId="2BF34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p>
              </w:tc>
              <w:tc>
                <w:tcPr>
                  <w:tcW w:w="813" w:type="pct"/>
                  <w:vAlign w:val="center"/>
                </w:tcPr>
                <w:p w14:paraId="362695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19</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0</w:t>
                  </w:r>
                </w:p>
              </w:tc>
              <w:tc>
                <w:tcPr>
                  <w:tcW w:w="812" w:type="pct"/>
                  <w:vAlign w:val="center"/>
                </w:tcPr>
                <w:p w14:paraId="0FEC8A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非甲烷总烃</w:t>
                  </w:r>
                </w:p>
              </w:tc>
              <w:tc>
                <w:tcPr>
                  <w:tcW w:w="1316" w:type="pct"/>
                  <w:vAlign w:val="center"/>
                </w:tcPr>
                <w:p w14:paraId="32A457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连续引用</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天</w:t>
                  </w:r>
                </w:p>
              </w:tc>
            </w:tr>
          </w:tbl>
          <w:p w14:paraId="7A0B5B18">
            <w:pPr>
              <w:keepNext w:val="0"/>
              <w:keepLines w:val="0"/>
              <w:pageBreakBefore w:val="0"/>
              <w:widowControl w:val="0"/>
              <w:kinsoku/>
              <w:wordWrap/>
              <w:overflowPunct/>
              <w:topLinePunct w:val="0"/>
              <w:autoSpaceDE/>
              <w:autoSpaceDN/>
              <w:bidi w:val="0"/>
              <w:adjustRightInd/>
              <w:snapToGrid/>
              <w:spacing w:before="120" w:line="240" w:lineRule="auto"/>
              <w:jc w:val="center"/>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表3-3  大气环境现状引用结果（mg/m</w:t>
            </w:r>
            <w:r>
              <w:rPr>
                <w:rFonts w:hint="default" w:ascii="Times New Roman" w:hAnsi="Times New Roman" w:eastAsia="宋体" w:cs="Times New Roman"/>
                <w:b/>
                <w:bCs/>
                <w:color w:val="auto"/>
                <w:sz w:val="24"/>
                <w:vertAlign w:val="superscript"/>
              </w:rPr>
              <w:t>3</w:t>
            </w:r>
            <w:r>
              <w:rPr>
                <w:rFonts w:hint="default" w:ascii="Times New Roman" w:hAnsi="Times New Roman" w:eastAsia="宋体" w:cs="Times New Roman"/>
                <w:b/>
                <w:bCs/>
                <w:color w:val="auto"/>
                <w:sz w:val="24"/>
              </w:rPr>
              <w:t>）</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760"/>
              <w:gridCol w:w="1238"/>
              <w:gridCol w:w="1062"/>
              <w:gridCol w:w="1232"/>
              <w:gridCol w:w="1232"/>
              <w:gridCol w:w="1185"/>
              <w:gridCol w:w="747"/>
              <w:gridCol w:w="838"/>
            </w:tblGrid>
            <w:tr w14:paraId="1805F72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8" w:type="pct"/>
                  <w:vAlign w:val="center"/>
                </w:tcPr>
                <w:p w14:paraId="521634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点位编号</w:t>
                  </w:r>
                </w:p>
              </w:tc>
              <w:tc>
                <w:tcPr>
                  <w:tcW w:w="746" w:type="pct"/>
                  <w:vAlign w:val="center"/>
                </w:tcPr>
                <w:p w14:paraId="587C5A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640" w:type="pct"/>
                  <w:vAlign w:val="center"/>
                </w:tcPr>
                <w:p w14:paraId="6CDEC3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评价指标</w:t>
                  </w:r>
                </w:p>
              </w:tc>
              <w:tc>
                <w:tcPr>
                  <w:tcW w:w="742" w:type="pct"/>
                  <w:vAlign w:val="center"/>
                </w:tcPr>
                <w:p w14:paraId="05152D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评价标准（</w:t>
                  </w:r>
                  <w:r>
                    <w:rPr>
                      <w:rFonts w:hint="eastAsia" w:ascii="Times New Roman" w:hAnsi="Times New Roman" w:eastAsia="宋体" w:cs="Times New Roman"/>
                      <w:b/>
                      <w:bCs/>
                      <w:color w:val="auto"/>
                      <w:sz w:val="21"/>
                      <w:szCs w:val="21"/>
                      <w:lang w:val="en-US" w:eastAsia="zh-CN"/>
                    </w:rPr>
                    <w:t>mg</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742" w:type="pct"/>
                  <w:vAlign w:val="center"/>
                </w:tcPr>
                <w:p w14:paraId="74D2D5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现状浓度（</w:t>
                  </w:r>
                  <w:r>
                    <w:rPr>
                      <w:rFonts w:hint="eastAsia" w:ascii="Times New Roman" w:hAnsi="Times New Roman" w:eastAsia="宋体" w:cs="Times New Roman"/>
                      <w:b/>
                      <w:bCs/>
                      <w:color w:val="auto"/>
                      <w:sz w:val="21"/>
                      <w:szCs w:val="21"/>
                      <w:lang w:val="en-US" w:eastAsia="zh-CN"/>
                    </w:rPr>
                    <w:t>mg</w:t>
                  </w: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c>
                <w:tcPr>
                  <w:tcW w:w="714" w:type="pct"/>
                  <w:vAlign w:val="center"/>
                </w:tcPr>
                <w:p w14:paraId="1C4381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最大浓度占标率/%</w:t>
                  </w:r>
                </w:p>
              </w:tc>
              <w:tc>
                <w:tcPr>
                  <w:tcW w:w="450" w:type="pct"/>
                  <w:vAlign w:val="center"/>
                </w:tcPr>
                <w:p w14:paraId="08B3AC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超标率/%</w:t>
                  </w:r>
                </w:p>
              </w:tc>
              <w:tc>
                <w:tcPr>
                  <w:tcW w:w="505" w:type="pct"/>
                  <w:vAlign w:val="center"/>
                </w:tcPr>
                <w:p w14:paraId="2A3785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达标情况</w:t>
                  </w:r>
                </w:p>
              </w:tc>
            </w:tr>
            <w:tr w14:paraId="23524CC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40" w:hRule="atLeast"/>
                <w:jc w:val="center"/>
              </w:trPr>
              <w:tc>
                <w:tcPr>
                  <w:tcW w:w="458" w:type="pct"/>
                  <w:vAlign w:val="center"/>
                </w:tcPr>
                <w:p w14:paraId="7EC73C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〇3</w:t>
                  </w:r>
                </w:p>
              </w:tc>
              <w:tc>
                <w:tcPr>
                  <w:tcW w:w="746" w:type="pct"/>
                  <w:vAlign w:val="center"/>
                </w:tcPr>
                <w:p w14:paraId="34261D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非甲烷总烃</w:t>
                  </w:r>
                </w:p>
              </w:tc>
              <w:tc>
                <w:tcPr>
                  <w:tcW w:w="640" w:type="pct"/>
                  <w:vAlign w:val="center"/>
                </w:tcPr>
                <w:p w14:paraId="78B173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一次值</w:t>
                  </w:r>
                </w:p>
              </w:tc>
              <w:tc>
                <w:tcPr>
                  <w:tcW w:w="742" w:type="pct"/>
                  <w:vAlign w:val="center"/>
                </w:tcPr>
                <w:p w14:paraId="60136A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42" w:type="pct"/>
                  <w:vAlign w:val="center"/>
                </w:tcPr>
                <w:p w14:paraId="1D38E2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0.08</w:t>
                  </w:r>
                  <w:r>
                    <w:rPr>
                      <w:rFonts w:hint="default" w:ascii="Times New Roman" w:hAnsi="Times New Roman" w:eastAsia="宋体" w:cs="Times New Roman"/>
                      <w:color w:val="auto"/>
                      <w:sz w:val="21"/>
                      <w:szCs w:val="21"/>
                    </w:rPr>
                    <w:t>~</w:t>
                  </w:r>
                  <w:r>
                    <w:rPr>
                      <w:rFonts w:hint="eastAsia" w:ascii="Times New Roman" w:hAnsi="Times New Roman" w:eastAsia="宋体" w:cs="Times New Roman"/>
                      <w:color w:val="auto"/>
                      <w:sz w:val="21"/>
                      <w:szCs w:val="21"/>
                      <w:lang w:val="en-US" w:eastAsia="zh-CN"/>
                    </w:rPr>
                    <w:t>0.38</w:t>
                  </w:r>
                </w:p>
              </w:tc>
              <w:tc>
                <w:tcPr>
                  <w:tcW w:w="714" w:type="pct"/>
                  <w:vAlign w:val="center"/>
                </w:tcPr>
                <w:p w14:paraId="64C6F4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19</w:t>
                  </w:r>
                </w:p>
              </w:tc>
              <w:tc>
                <w:tcPr>
                  <w:tcW w:w="450" w:type="pct"/>
                  <w:vAlign w:val="center"/>
                </w:tcPr>
                <w:p w14:paraId="54035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505" w:type="pct"/>
                  <w:vAlign w:val="center"/>
                </w:tcPr>
                <w:p w14:paraId="67586A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达标</w:t>
                  </w:r>
                </w:p>
              </w:tc>
            </w:tr>
          </w:tbl>
          <w:p w14:paraId="0505FC18">
            <w:pPr>
              <w:spacing w:line="360" w:lineRule="auto"/>
              <w:ind w:firstLine="480" w:firstLineChars="200"/>
              <w:rPr>
                <w:rFonts w:hint="default" w:ascii="Times New Roman" w:hAnsi="Times New Roman" w:cs="Times New Roman"/>
                <w:snapToGrid w:val="0"/>
                <w:color w:val="auto"/>
                <w:szCs w:val="20"/>
              </w:rPr>
            </w:pPr>
            <w:r>
              <w:rPr>
                <w:rFonts w:hint="default" w:ascii="Times New Roman" w:hAnsi="Times New Roman" w:eastAsia="宋体" w:cs="Times New Roman"/>
                <w:color w:val="auto"/>
                <w:sz w:val="24"/>
              </w:rPr>
              <w:t>由上表可知，项目所在地附近周围环境空气中非甲烷总烃满足《大气污染物综合排放标准详解》标准。</w:t>
            </w:r>
          </w:p>
          <w:p w14:paraId="3C1E2532">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2、地表水环境</w:t>
            </w:r>
          </w:p>
          <w:p w14:paraId="7D39A65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（1）区域水环境状况</w:t>
            </w:r>
          </w:p>
          <w:p w14:paraId="3E92878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根据《202</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年常州市生态环境质量状况公报》中相关内容，202</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年常州市纳入</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十四五</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国家地表水环境质量考核的20个断面，年均水质达到或好于《地表水环境质量标准》（GB 3838—2002）Ⅲ类标准的断面比例为85%（年度考核目标80%），无劣Ⅴ类断面。纳入江苏省</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十四五</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水环境质量目标考核的51个断面，年均水质达到或好于Ⅲ类的比例为94.1%（年度考核目标92.2%），无劣Ⅴ类断面。太湖湖心区断面自太湖治理以来首次达到地表水湖库Ⅲ类标准，其中总磷0.05mg/L，同比下降21.9%，高锰酸盐指数和氨氮分别达到Ⅱ类和Ⅰ类标准。太湖西部区断面总磷0.074mg/L，同比下降16.9%，高锰酸盐指数和氨氮分别达到Ⅱ类和Ⅰ类标准。武进港、漕桥河、太滆运河等3条主要入湖河道氮磷达到省定约束性考核目标。长江干流魏村（右岸）断面水质连续六年达到Ⅱ类；新孟河、德胜河、澡港河等3条主要通江支流上5个国省考断面年均水质均达到或优于Ⅲ类。京杭大运河（常州段）沿线五牧、连江桥下、戚墅堰等3个国省考断面年均水质均达到或好于Ⅲ类。</w:t>
            </w:r>
          </w:p>
          <w:p w14:paraId="60287BF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中共江苏省委、江苏省人民政府印发的《关于深入打好污染防治攻坚战的实施意见》，加强流域海域协同治理，深入打好碧水保卫战。到2025年，地表水国考断面水质优Ⅲ比例达90%以上，近岸海域水质优良（Ⅰ、Ⅱ类）比例达65%以上。</w:t>
            </w:r>
          </w:p>
          <w:p w14:paraId="1979C37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持续打好长江保护修复攻坚战，到2025年长江干流水质稳定达到Ⅱ类；持续打好太湖流域综合整治攻坚战，坚决守住</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确保饮用水安全，确保不发生大面积湖泛</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底线；提升饮用水水源安全保障水平，完善集中式水源地保护区划分和长效管护机制，加强水源地预警监控能力建设；持续打好黑臭水体治理攻坚战，到2025年，苏南县级以上城市建成区80%以上面积，苏中、苏北县级以上城市建成区60%以上面积，建成</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污水处理提质增效达标区</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；着力打好海洋生态环境综合治理攻坚战，推进重点河口海湾综合治理，深入开展</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美丽海湾</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建设；强化陆域水域污染协同治理，到2025年，全面完成骨干河道和重点湖泊排污口排查整治。</w:t>
            </w:r>
          </w:p>
          <w:p w14:paraId="63DEC56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（2）地表水环境质量现状引用</w:t>
            </w:r>
          </w:p>
          <w:p w14:paraId="6072ED9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为了解</w:t>
            </w:r>
            <w:r>
              <w:rPr>
                <w:rFonts w:hint="default" w:ascii="Times New Roman" w:hAnsi="Times New Roman" w:eastAsia="宋体" w:cs="Times New Roman"/>
                <w:color w:val="auto"/>
                <w:sz w:val="24"/>
                <w:lang w:eastAsia="zh-CN"/>
              </w:rPr>
              <w:t>金坛第二污水处理厂</w:t>
            </w:r>
            <w:r>
              <w:rPr>
                <w:rFonts w:hint="default" w:ascii="Times New Roman" w:hAnsi="Times New Roman" w:eastAsia="宋体" w:cs="Times New Roman"/>
                <w:color w:val="auto"/>
                <w:sz w:val="24"/>
              </w:rPr>
              <w:t>排口上</w:t>
            </w:r>
            <w:r>
              <w:rPr>
                <w:rFonts w:hint="default" w:ascii="Times New Roman" w:hAnsi="Times New Roman" w:eastAsia="宋体" w:cs="Times New Roman"/>
                <w:color w:val="auto"/>
                <w:sz w:val="24"/>
                <w:lang w:val="en-US" w:eastAsia="zh-CN"/>
              </w:rPr>
              <w:t>下游</w:t>
            </w:r>
            <w:r>
              <w:rPr>
                <w:rFonts w:hint="default" w:ascii="Times New Roman" w:hAnsi="Times New Roman" w:eastAsia="宋体" w:cs="Times New Roman"/>
                <w:color w:val="auto"/>
                <w:sz w:val="24"/>
              </w:rPr>
              <w:t>水质</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尧塘河</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现状，本次评价引用</w:t>
            </w:r>
            <w:r>
              <w:rPr>
                <w:rFonts w:hint="default" w:ascii="Times New Roman" w:hAnsi="Times New Roman" w:eastAsia="宋体" w:cs="Times New Roman"/>
                <w:color w:val="FF0000"/>
                <w:sz w:val="24"/>
              </w:rPr>
              <w:t>TST202501015</w:t>
            </w:r>
            <w:r>
              <w:rPr>
                <w:rFonts w:hint="default" w:ascii="Times New Roman" w:hAnsi="Times New Roman" w:eastAsia="宋体" w:cs="Times New Roman"/>
                <w:color w:val="auto"/>
                <w:sz w:val="24"/>
              </w:rPr>
              <w:t>在金坛第二污水处理厂排口上游500米处和金坛第二污水处理厂排口下游 2000米处点位地表水对 pH 值、化学需氧量、氨氮、总磷的检测数据。</w:t>
            </w:r>
          </w:p>
          <w:p w14:paraId="6160F61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引用数据有效性分析：</w:t>
            </w:r>
            <w:r>
              <w:rPr>
                <w:rFonts w:hint="default" w:ascii="Times New Roman" w:hAnsi="Times New Roman" w:eastAsia="宋体" w:cs="Times New Roman"/>
                <w:color w:val="FF0000"/>
                <w:sz w:val="24"/>
              </w:rPr>
              <w:t>①本项目地表水质量现状引用202</w:t>
            </w:r>
            <w:r>
              <w:rPr>
                <w:rFonts w:hint="eastAsia" w:ascii="Times New Roman" w:hAnsi="Times New Roman" w:eastAsia="宋体" w:cs="Times New Roman"/>
                <w:color w:val="FF0000"/>
                <w:sz w:val="24"/>
                <w:lang w:val="en-US" w:eastAsia="zh-CN"/>
              </w:rPr>
              <w:t>5</w:t>
            </w:r>
            <w:r>
              <w:rPr>
                <w:rFonts w:hint="default" w:ascii="Times New Roman" w:hAnsi="Times New Roman" w:eastAsia="宋体" w:cs="Times New Roman"/>
                <w:color w:val="FF0000"/>
                <w:sz w:val="24"/>
              </w:rPr>
              <w:t>年</w:t>
            </w:r>
            <w:r>
              <w:rPr>
                <w:rFonts w:hint="eastAsia" w:ascii="Times New Roman" w:hAnsi="Times New Roman" w:eastAsia="宋体" w:cs="Times New Roman"/>
                <w:color w:val="FF0000"/>
                <w:sz w:val="24"/>
                <w:lang w:val="en-US" w:eastAsia="zh-CN"/>
              </w:rPr>
              <w:t>1</w:t>
            </w:r>
            <w:r>
              <w:rPr>
                <w:rFonts w:hint="default" w:ascii="Times New Roman" w:hAnsi="Times New Roman" w:eastAsia="宋体" w:cs="Times New Roman"/>
                <w:color w:val="FF0000"/>
                <w:sz w:val="24"/>
              </w:rPr>
              <w:t>月</w:t>
            </w:r>
            <w:r>
              <w:rPr>
                <w:rFonts w:hint="eastAsia" w:ascii="Times New Roman" w:hAnsi="Times New Roman" w:eastAsia="宋体" w:cs="Times New Roman"/>
                <w:color w:val="FF0000"/>
                <w:sz w:val="24"/>
                <w:lang w:val="en-US" w:eastAsia="zh-CN"/>
              </w:rPr>
              <w:t>06</w:t>
            </w:r>
            <w:r>
              <w:rPr>
                <w:rFonts w:hint="default" w:ascii="Times New Roman" w:hAnsi="Times New Roman" w:eastAsia="宋体" w:cs="Times New Roman"/>
                <w:color w:val="FF0000"/>
                <w:sz w:val="24"/>
              </w:rPr>
              <w:t>日</w:t>
            </w:r>
            <w:r>
              <w:rPr>
                <w:rFonts w:hint="default" w:ascii="Times New Roman" w:hAnsi="Times New Roman" w:eastAsia="宋体" w:cs="Times New Roman"/>
                <w:color w:val="FF0000"/>
                <w:sz w:val="24"/>
                <w:lang w:val="en-US" w:eastAsia="zh-CN"/>
              </w:rPr>
              <w:t>、</w:t>
            </w:r>
            <w:r>
              <w:rPr>
                <w:rFonts w:hint="eastAsia" w:ascii="Times New Roman" w:hAnsi="Times New Roman" w:eastAsia="宋体" w:cs="Times New Roman"/>
                <w:color w:val="FF0000"/>
                <w:sz w:val="24"/>
                <w:lang w:val="en-US" w:eastAsia="zh-CN"/>
              </w:rPr>
              <w:t>1</w:t>
            </w:r>
            <w:r>
              <w:rPr>
                <w:rFonts w:hint="default" w:ascii="Times New Roman" w:hAnsi="Times New Roman" w:eastAsia="宋体" w:cs="Times New Roman"/>
                <w:color w:val="FF0000"/>
                <w:sz w:val="24"/>
                <w:lang w:val="en-US" w:eastAsia="zh-CN"/>
              </w:rPr>
              <w:t>月</w:t>
            </w:r>
            <w:r>
              <w:rPr>
                <w:rFonts w:hint="eastAsia" w:ascii="Times New Roman" w:hAnsi="Times New Roman" w:eastAsia="宋体" w:cs="Times New Roman"/>
                <w:color w:val="FF0000"/>
                <w:sz w:val="24"/>
                <w:lang w:val="en-US" w:eastAsia="zh-CN"/>
              </w:rPr>
              <w:t>07</w:t>
            </w:r>
            <w:r>
              <w:rPr>
                <w:rFonts w:hint="default" w:ascii="Times New Roman" w:hAnsi="Times New Roman" w:eastAsia="宋体" w:cs="Times New Roman"/>
                <w:color w:val="FF0000"/>
                <w:sz w:val="24"/>
                <w:lang w:val="en-US" w:eastAsia="zh-CN"/>
              </w:rPr>
              <w:t>日、</w:t>
            </w:r>
            <w:r>
              <w:rPr>
                <w:rFonts w:hint="eastAsia" w:ascii="Times New Roman" w:hAnsi="Times New Roman" w:eastAsia="宋体" w:cs="Times New Roman"/>
                <w:color w:val="FF0000"/>
                <w:sz w:val="24"/>
                <w:lang w:val="en-US" w:eastAsia="zh-CN"/>
              </w:rPr>
              <w:t>1</w:t>
            </w:r>
            <w:r>
              <w:rPr>
                <w:rFonts w:hint="default" w:ascii="Times New Roman" w:hAnsi="Times New Roman" w:eastAsia="宋体" w:cs="Times New Roman"/>
                <w:color w:val="FF0000"/>
                <w:sz w:val="24"/>
                <w:lang w:val="en-US" w:eastAsia="zh-CN"/>
              </w:rPr>
              <w:t>月</w:t>
            </w:r>
            <w:r>
              <w:rPr>
                <w:rFonts w:hint="eastAsia" w:ascii="Times New Roman" w:hAnsi="Times New Roman" w:eastAsia="宋体" w:cs="Times New Roman"/>
                <w:color w:val="FF0000"/>
                <w:sz w:val="24"/>
                <w:lang w:val="en-US" w:eastAsia="zh-CN"/>
              </w:rPr>
              <w:t>08</w:t>
            </w:r>
            <w:r>
              <w:rPr>
                <w:rFonts w:hint="default" w:ascii="Times New Roman" w:hAnsi="Times New Roman" w:eastAsia="宋体" w:cs="Times New Roman"/>
                <w:color w:val="FF0000"/>
                <w:sz w:val="24"/>
                <w:lang w:val="en-US" w:eastAsia="zh-CN"/>
              </w:rPr>
              <w:t>日</w:t>
            </w:r>
            <w:r>
              <w:rPr>
                <w:rFonts w:hint="default" w:ascii="Times New Roman" w:hAnsi="Times New Roman" w:eastAsia="宋体" w:cs="Times New Roman"/>
                <w:color w:val="FF0000"/>
                <w:sz w:val="24"/>
              </w:rPr>
              <w:t>监测数据，</w:t>
            </w:r>
            <w:r>
              <w:rPr>
                <w:rFonts w:hint="default" w:ascii="Times New Roman" w:hAnsi="Times New Roman" w:eastAsia="宋体" w:cs="Times New Roman"/>
                <w:color w:val="auto"/>
                <w:sz w:val="24"/>
              </w:rPr>
              <w:t>引用时间不超过3年，且项目所在区域内污染源未发生重大变化，地表水引用时间有效；②引用点位在项目相关评价范围内，则地表水引用点位有效。</w:t>
            </w:r>
          </w:p>
          <w:p w14:paraId="1121FEAC">
            <w:pPr>
              <w:spacing w:line="360" w:lineRule="auto"/>
              <w:ind w:firstLine="480" w:firstLineChars="200"/>
              <w:rPr>
                <w:rFonts w:hint="default" w:ascii="Times New Roman" w:hAnsi="Times New Roman" w:eastAsia="宋体" w:cs="Times New Roman"/>
                <w:color w:val="FF0000"/>
                <w:sz w:val="24"/>
              </w:rPr>
            </w:pPr>
            <w:r>
              <w:rPr>
                <w:rFonts w:hint="default" w:ascii="Times New Roman" w:hAnsi="Times New Roman" w:eastAsia="宋体" w:cs="Times New Roman"/>
                <w:color w:val="FF0000"/>
                <w:sz w:val="24"/>
              </w:rPr>
              <w:t>监测数据统计结果见下表：</w:t>
            </w:r>
          </w:p>
          <w:p w14:paraId="1BF46036">
            <w:pPr>
              <w:jc w:val="center"/>
              <w:rPr>
                <w:rFonts w:hint="default" w:ascii="Times New Roman" w:hAnsi="Times New Roman" w:eastAsia="宋体" w:cs="Times New Roman"/>
                <w:b/>
                <w:color w:val="FF0000"/>
                <w:sz w:val="24"/>
              </w:rPr>
            </w:pPr>
            <w:r>
              <w:rPr>
                <w:rFonts w:hint="default" w:ascii="Times New Roman" w:hAnsi="Times New Roman" w:eastAsia="宋体" w:cs="Times New Roman"/>
                <w:b/>
                <w:color w:val="FF0000"/>
                <w:sz w:val="24"/>
              </w:rPr>
              <w:t>表3-</w:t>
            </w:r>
            <w:r>
              <w:rPr>
                <w:rFonts w:hint="eastAsia" w:ascii="Times New Roman" w:hAnsi="Times New Roman" w:eastAsia="宋体" w:cs="Times New Roman"/>
                <w:b/>
                <w:color w:val="FF0000"/>
                <w:sz w:val="24"/>
                <w:lang w:val="en-US" w:eastAsia="zh-CN"/>
              </w:rPr>
              <w:t>4</w:t>
            </w:r>
            <w:r>
              <w:rPr>
                <w:rFonts w:hint="default" w:ascii="Times New Roman" w:hAnsi="Times New Roman" w:eastAsia="宋体" w:cs="Times New Roman"/>
                <w:b/>
                <w:color w:val="FF0000"/>
                <w:sz w:val="24"/>
              </w:rPr>
              <w:t xml:space="preserve">  地表水断面现状监测数据  单位：mg/L</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450"/>
              <w:gridCol w:w="1838"/>
              <w:gridCol w:w="1053"/>
              <w:gridCol w:w="1057"/>
              <w:gridCol w:w="1057"/>
              <w:gridCol w:w="1055"/>
            </w:tblGrid>
            <w:tr w14:paraId="7CAFD4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restart"/>
                  <w:vAlign w:val="center"/>
                </w:tcPr>
                <w:p w14:paraId="0E54C933">
                  <w:pPr>
                    <w:contextualSpacing/>
                    <w:jc w:val="center"/>
                    <w:rPr>
                      <w:rFonts w:hint="default" w:ascii="Times New Roman" w:hAnsi="Times New Roman" w:eastAsia="宋体" w:cs="Times New Roman"/>
                      <w:b/>
                      <w:bCs/>
                      <w:color w:val="FF0000"/>
                      <w:kern w:val="0"/>
                      <w:sz w:val="21"/>
                      <w:szCs w:val="21"/>
                      <w:highlight w:val="none"/>
                    </w:rPr>
                  </w:pPr>
                  <w:r>
                    <w:rPr>
                      <w:rFonts w:hint="default" w:ascii="Times New Roman" w:hAnsi="Times New Roman" w:eastAsia="宋体" w:cs="Times New Roman"/>
                      <w:b/>
                      <w:bCs/>
                      <w:color w:val="FF0000"/>
                      <w:kern w:val="0"/>
                      <w:sz w:val="21"/>
                      <w:szCs w:val="21"/>
                      <w:highlight w:val="none"/>
                    </w:rPr>
                    <w:t>水域名称</w:t>
                  </w:r>
                </w:p>
              </w:tc>
              <w:tc>
                <w:tcPr>
                  <w:tcW w:w="874" w:type="pct"/>
                  <w:vMerge w:val="restart"/>
                  <w:vAlign w:val="center"/>
                </w:tcPr>
                <w:p w14:paraId="2D1B1CF9">
                  <w:pPr>
                    <w:contextualSpacing/>
                    <w:jc w:val="center"/>
                    <w:rPr>
                      <w:rFonts w:hint="default" w:ascii="Times New Roman" w:hAnsi="Times New Roman" w:eastAsia="宋体" w:cs="Times New Roman"/>
                      <w:b/>
                      <w:bCs/>
                      <w:color w:val="FF0000"/>
                      <w:kern w:val="0"/>
                      <w:sz w:val="21"/>
                      <w:szCs w:val="21"/>
                      <w:highlight w:val="none"/>
                    </w:rPr>
                  </w:pPr>
                  <w:r>
                    <w:rPr>
                      <w:rFonts w:hint="default" w:ascii="Times New Roman" w:hAnsi="Times New Roman" w:eastAsia="宋体" w:cs="Times New Roman"/>
                      <w:b/>
                      <w:bCs/>
                      <w:color w:val="FF0000"/>
                      <w:kern w:val="0"/>
                      <w:sz w:val="21"/>
                      <w:szCs w:val="21"/>
                      <w:highlight w:val="none"/>
                    </w:rPr>
                    <w:t>采样断面</w:t>
                  </w:r>
                </w:p>
              </w:tc>
              <w:tc>
                <w:tcPr>
                  <w:tcW w:w="1108" w:type="pct"/>
                  <w:vMerge w:val="restart"/>
                  <w:vAlign w:val="center"/>
                </w:tcPr>
                <w:p w14:paraId="00CEE5AB">
                  <w:pPr>
                    <w:contextualSpacing/>
                    <w:jc w:val="center"/>
                    <w:rPr>
                      <w:rFonts w:hint="default" w:ascii="Times New Roman" w:hAnsi="Times New Roman" w:eastAsia="宋体" w:cs="Times New Roman"/>
                      <w:b/>
                      <w:bCs/>
                      <w:color w:val="FF0000"/>
                      <w:kern w:val="0"/>
                      <w:sz w:val="21"/>
                      <w:szCs w:val="21"/>
                      <w:highlight w:val="none"/>
                    </w:rPr>
                  </w:pPr>
                  <w:r>
                    <w:rPr>
                      <w:rFonts w:hint="default" w:ascii="Times New Roman" w:hAnsi="Times New Roman" w:eastAsia="宋体" w:cs="Times New Roman"/>
                      <w:b/>
                      <w:bCs/>
                      <w:color w:val="FF0000"/>
                      <w:kern w:val="0"/>
                      <w:sz w:val="21"/>
                      <w:szCs w:val="21"/>
                      <w:highlight w:val="none"/>
                    </w:rPr>
                    <w:t>项目</w:t>
                  </w:r>
                </w:p>
              </w:tc>
              <w:tc>
                <w:tcPr>
                  <w:tcW w:w="2546" w:type="pct"/>
                  <w:gridSpan w:val="4"/>
                  <w:vAlign w:val="center"/>
                </w:tcPr>
                <w:p w14:paraId="0D425C57">
                  <w:pPr>
                    <w:contextualSpacing/>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b/>
                      <w:bCs/>
                      <w:color w:val="FF0000"/>
                      <w:sz w:val="21"/>
                      <w:szCs w:val="21"/>
                      <w:highlight w:val="none"/>
                    </w:rPr>
                    <w:t>检测结果</w:t>
                  </w:r>
                </w:p>
              </w:tc>
            </w:tr>
            <w:tr w14:paraId="241DDA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367AAB7D">
                  <w:pPr>
                    <w:contextualSpacing/>
                    <w:jc w:val="center"/>
                    <w:rPr>
                      <w:rFonts w:hint="default" w:ascii="Times New Roman" w:hAnsi="Times New Roman" w:eastAsia="宋体" w:cs="Times New Roman"/>
                      <w:b/>
                      <w:bCs/>
                      <w:color w:val="FF0000"/>
                      <w:kern w:val="0"/>
                      <w:sz w:val="21"/>
                      <w:szCs w:val="21"/>
                      <w:highlight w:val="none"/>
                    </w:rPr>
                  </w:pPr>
                </w:p>
              </w:tc>
              <w:tc>
                <w:tcPr>
                  <w:tcW w:w="874" w:type="pct"/>
                  <w:vMerge w:val="continue"/>
                  <w:vAlign w:val="center"/>
                </w:tcPr>
                <w:p w14:paraId="74CE8CDF">
                  <w:pPr>
                    <w:contextualSpacing/>
                    <w:jc w:val="center"/>
                    <w:rPr>
                      <w:rFonts w:hint="default" w:ascii="Times New Roman" w:hAnsi="Times New Roman" w:eastAsia="宋体" w:cs="Times New Roman"/>
                      <w:b/>
                      <w:bCs/>
                      <w:color w:val="FF0000"/>
                      <w:kern w:val="0"/>
                      <w:sz w:val="21"/>
                      <w:szCs w:val="21"/>
                      <w:highlight w:val="none"/>
                    </w:rPr>
                  </w:pPr>
                </w:p>
              </w:tc>
              <w:tc>
                <w:tcPr>
                  <w:tcW w:w="1108" w:type="pct"/>
                  <w:vMerge w:val="continue"/>
                  <w:vAlign w:val="center"/>
                </w:tcPr>
                <w:p w14:paraId="0E7B8214">
                  <w:pPr>
                    <w:contextualSpacing/>
                    <w:jc w:val="center"/>
                    <w:rPr>
                      <w:rFonts w:hint="default" w:ascii="Times New Roman" w:hAnsi="Times New Roman" w:eastAsia="宋体" w:cs="Times New Roman"/>
                      <w:b/>
                      <w:bCs/>
                      <w:color w:val="FF0000"/>
                      <w:kern w:val="0"/>
                      <w:sz w:val="21"/>
                      <w:szCs w:val="21"/>
                      <w:highlight w:val="none"/>
                    </w:rPr>
                  </w:pPr>
                </w:p>
              </w:tc>
              <w:tc>
                <w:tcPr>
                  <w:tcW w:w="635" w:type="pct"/>
                  <w:vAlign w:val="center"/>
                </w:tcPr>
                <w:p w14:paraId="067A2920">
                  <w:pPr>
                    <w:contextualSpacing/>
                    <w:jc w:val="center"/>
                    <w:rPr>
                      <w:rFonts w:hint="default" w:ascii="Times New Roman" w:hAnsi="Times New Roman" w:eastAsia="宋体" w:cs="Times New Roman"/>
                      <w:b/>
                      <w:bCs/>
                      <w:color w:val="FF0000"/>
                      <w:sz w:val="21"/>
                      <w:szCs w:val="21"/>
                      <w:highlight w:val="none"/>
                      <w:vertAlign w:val="subscript"/>
                    </w:rPr>
                  </w:pPr>
                  <w:r>
                    <w:rPr>
                      <w:rFonts w:hint="default" w:ascii="Times New Roman" w:hAnsi="Times New Roman" w:eastAsia="宋体" w:cs="Times New Roman"/>
                      <w:b/>
                      <w:bCs/>
                      <w:color w:val="FF0000"/>
                      <w:sz w:val="21"/>
                      <w:szCs w:val="21"/>
                      <w:highlight w:val="none"/>
                    </w:rPr>
                    <w:t>pH</w:t>
                  </w:r>
                </w:p>
              </w:tc>
              <w:tc>
                <w:tcPr>
                  <w:tcW w:w="637" w:type="pct"/>
                  <w:vAlign w:val="center"/>
                </w:tcPr>
                <w:p w14:paraId="091E2CC4">
                  <w:pPr>
                    <w:contextualSpacing/>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b/>
                      <w:bCs/>
                      <w:color w:val="FF0000"/>
                      <w:sz w:val="21"/>
                      <w:szCs w:val="21"/>
                      <w:highlight w:val="none"/>
                    </w:rPr>
                    <w:t>COD</w:t>
                  </w:r>
                </w:p>
              </w:tc>
              <w:tc>
                <w:tcPr>
                  <w:tcW w:w="637" w:type="pct"/>
                  <w:vAlign w:val="center"/>
                </w:tcPr>
                <w:p w14:paraId="72A86537">
                  <w:pPr>
                    <w:contextualSpacing/>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b/>
                      <w:bCs/>
                      <w:color w:val="FF0000"/>
                      <w:sz w:val="21"/>
                      <w:szCs w:val="21"/>
                      <w:highlight w:val="none"/>
                    </w:rPr>
                    <w:t>氨氮</w:t>
                  </w:r>
                </w:p>
              </w:tc>
              <w:tc>
                <w:tcPr>
                  <w:tcW w:w="637" w:type="pct"/>
                  <w:vAlign w:val="center"/>
                </w:tcPr>
                <w:p w14:paraId="50E45EDA">
                  <w:pPr>
                    <w:contextualSpacing/>
                    <w:jc w:val="center"/>
                    <w:rPr>
                      <w:rFonts w:hint="default" w:ascii="Times New Roman" w:hAnsi="Times New Roman" w:eastAsia="宋体" w:cs="Times New Roman"/>
                      <w:b/>
                      <w:bCs/>
                      <w:color w:val="FF0000"/>
                      <w:sz w:val="21"/>
                      <w:szCs w:val="21"/>
                      <w:highlight w:val="none"/>
                    </w:rPr>
                  </w:pPr>
                  <w:r>
                    <w:rPr>
                      <w:rFonts w:hint="default" w:ascii="Times New Roman" w:hAnsi="Times New Roman" w:eastAsia="宋体" w:cs="Times New Roman"/>
                      <w:b/>
                      <w:bCs/>
                      <w:color w:val="FF0000"/>
                      <w:sz w:val="21"/>
                      <w:szCs w:val="21"/>
                      <w:highlight w:val="none"/>
                    </w:rPr>
                    <w:t>总磷</w:t>
                  </w:r>
                </w:p>
              </w:tc>
            </w:tr>
            <w:tr w14:paraId="068173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restart"/>
                  <w:vAlign w:val="center"/>
                </w:tcPr>
                <w:p w14:paraId="11811E02">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尧塘河</w:t>
                  </w:r>
                </w:p>
              </w:tc>
              <w:tc>
                <w:tcPr>
                  <w:tcW w:w="874" w:type="pct"/>
                  <w:vMerge w:val="restart"/>
                  <w:vAlign w:val="center"/>
                </w:tcPr>
                <w:p w14:paraId="1094E314">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常州金坛区第二污水处理厂尾水排口上游500米</w:t>
                  </w:r>
                </w:p>
              </w:tc>
              <w:tc>
                <w:tcPr>
                  <w:tcW w:w="1108" w:type="pct"/>
                  <w:vAlign w:val="center"/>
                </w:tcPr>
                <w:p w14:paraId="293009B6">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最大值</w:t>
                  </w:r>
                </w:p>
              </w:tc>
              <w:tc>
                <w:tcPr>
                  <w:tcW w:w="635" w:type="pct"/>
                  <w:vAlign w:val="center"/>
                </w:tcPr>
                <w:p w14:paraId="7DE06267">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8</w:t>
                  </w:r>
                  <w:r>
                    <w:rPr>
                      <w:rFonts w:hint="default" w:ascii="Times New Roman" w:hAnsi="Times New Roman" w:eastAsia="宋体" w:cs="Times New Roman"/>
                      <w:color w:val="FF0000"/>
                      <w:kern w:val="0"/>
                      <w:sz w:val="21"/>
                      <w:szCs w:val="21"/>
                      <w:highlight w:val="none"/>
                      <w:lang w:val="en-US" w:eastAsia="zh-CN"/>
                    </w:rPr>
                    <w:t>.1</w:t>
                  </w:r>
                </w:p>
              </w:tc>
              <w:tc>
                <w:tcPr>
                  <w:tcW w:w="637" w:type="pct"/>
                  <w:vAlign w:val="center"/>
                </w:tcPr>
                <w:p w14:paraId="78DA60E9">
                  <w:pPr>
                    <w:contextualSpacing/>
                    <w:jc w:val="center"/>
                    <w:rPr>
                      <w:rFonts w:hint="default" w:ascii="Times New Roman" w:hAnsi="Times New Roman" w:eastAsia="宋体" w:cs="Times New Roman"/>
                      <w:color w:val="FF0000"/>
                      <w:kern w:val="0"/>
                      <w:sz w:val="21"/>
                      <w:szCs w:val="21"/>
                      <w:highlight w:val="none"/>
                      <w:lang w:val="en-US" w:eastAsia="zh-CN"/>
                    </w:rPr>
                  </w:pPr>
                  <w:r>
                    <w:rPr>
                      <w:rFonts w:hint="default" w:ascii="Times New Roman" w:hAnsi="Times New Roman" w:eastAsia="宋体" w:cs="Times New Roman"/>
                      <w:color w:val="FF0000"/>
                      <w:kern w:val="0"/>
                      <w:sz w:val="21"/>
                      <w:szCs w:val="21"/>
                      <w:highlight w:val="none"/>
                      <w:lang w:val="en-US" w:eastAsia="zh-CN"/>
                    </w:rPr>
                    <w:t>1</w:t>
                  </w:r>
                  <w:r>
                    <w:rPr>
                      <w:rFonts w:hint="eastAsia" w:ascii="Times New Roman" w:hAnsi="Times New Roman" w:eastAsia="宋体" w:cs="Times New Roman"/>
                      <w:color w:val="FF0000"/>
                      <w:kern w:val="0"/>
                      <w:sz w:val="21"/>
                      <w:szCs w:val="21"/>
                      <w:highlight w:val="none"/>
                      <w:lang w:val="en-US" w:eastAsia="zh-CN"/>
                    </w:rPr>
                    <w:t>9</w:t>
                  </w:r>
                </w:p>
              </w:tc>
              <w:tc>
                <w:tcPr>
                  <w:tcW w:w="637" w:type="pct"/>
                  <w:vAlign w:val="center"/>
                </w:tcPr>
                <w:p w14:paraId="5FCDF46E">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0.350</w:t>
                  </w:r>
                </w:p>
              </w:tc>
              <w:tc>
                <w:tcPr>
                  <w:tcW w:w="637" w:type="pct"/>
                  <w:vAlign w:val="center"/>
                </w:tcPr>
                <w:p w14:paraId="54DCB8C3">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0.09</w:t>
                  </w:r>
                </w:p>
              </w:tc>
            </w:tr>
            <w:tr w14:paraId="157A2D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7F09DC73">
                  <w:pPr>
                    <w:contextualSpacing/>
                    <w:jc w:val="center"/>
                    <w:rPr>
                      <w:rFonts w:hint="default" w:ascii="Times New Roman" w:hAnsi="Times New Roman" w:eastAsia="宋体" w:cs="Times New Roman"/>
                      <w:color w:val="FF0000"/>
                      <w:kern w:val="0"/>
                      <w:sz w:val="21"/>
                      <w:szCs w:val="21"/>
                      <w:highlight w:val="none"/>
                    </w:rPr>
                  </w:pPr>
                </w:p>
              </w:tc>
              <w:tc>
                <w:tcPr>
                  <w:tcW w:w="874" w:type="pct"/>
                  <w:vMerge w:val="continue"/>
                  <w:vAlign w:val="center"/>
                </w:tcPr>
                <w:p w14:paraId="456606A6">
                  <w:pPr>
                    <w:contextualSpacing/>
                    <w:jc w:val="center"/>
                    <w:rPr>
                      <w:rFonts w:hint="default" w:ascii="Times New Roman" w:hAnsi="Times New Roman" w:eastAsia="宋体" w:cs="Times New Roman"/>
                      <w:color w:val="FF0000"/>
                      <w:kern w:val="0"/>
                      <w:sz w:val="21"/>
                      <w:szCs w:val="21"/>
                      <w:highlight w:val="none"/>
                    </w:rPr>
                  </w:pPr>
                </w:p>
              </w:tc>
              <w:tc>
                <w:tcPr>
                  <w:tcW w:w="1108" w:type="pct"/>
                  <w:vAlign w:val="center"/>
                </w:tcPr>
                <w:p w14:paraId="2825EF87">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最小值</w:t>
                  </w:r>
                </w:p>
              </w:tc>
              <w:tc>
                <w:tcPr>
                  <w:tcW w:w="635" w:type="pct"/>
                  <w:vAlign w:val="center"/>
                </w:tcPr>
                <w:p w14:paraId="111BC324">
                  <w:pPr>
                    <w:contextualSpacing/>
                    <w:jc w:val="center"/>
                    <w:rPr>
                      <w:rFonts w:hint="default" w:ascii="Times New Roman" w:hAnsi="Times New Roman" w:eastAsia="宋体" w:cs="Times New Roman"/>
                      <w:color w:val="FF0000"/>
                      <w:kern w:val="0"/>
                      <w:sz w:val="21"/>
                      <w:szCs w:val="21"/>
                      <w:highlight w:val="none"/>
                      <w:lang w:val="en-US" w:eastAsia="zh-CN"/>
                    </w:rPr>
                  </w:pPr>
                  <w:r>
                    <w:rPr>
                      <w:rFonts w:hint="default" w:ascii="Times New Roman" w:hAnsi="Times New Roman" w:eastAsia="宋体" w:cs="Times New Roman"/>
                      <w:color w:val="FF0000"/>
                      <w:kern w:val="0"/>
                      <w:sz w:val="21"/>
                      <w:szCs w:val="21"/>
                      <w:highlight w:val="none"/>
                      <w:lang w:val="en-US" w:eastAsia="zh-CN"/>
                    </w:rPr>
                    <w:t>7.</w:t>
                  </w:r>
                  <w:r>
                    <w:rPr>
                      <w:rFonts w:hint="eastAsia" w:ascii="Times New Roman" w:hAnsi="Times New Roman" w:eastAsia="宋体" w:cs="Times New Roman"/>
                      <w:color w:val="FF0000"/>
                      <w:kern w:val="0"/>
                      <w:sz w:val="21"/>
                      <w:szCs w:val="21"/>
                      <w:highlight w:val="none"/>
                      <w:lang w:val="en-US" w:eastAsia="zh-CN"/>
                    </w:rPr>
                    <w:t>8</w:t>
                  </w:r>
                </w:p>
              </w:tc>
              <w:tc>
                <w:tcPr>
                  <w:tcW w:w="637" w:type="pct"/>
                  <w:vAlign w:val="center"/>
                </w:tcPr>
                <w:p w14:paraId="21485F24">
                  <w:pPr>
                    <w:contextualSpacing/>
                    <w:jc w:val="center"/>
                    <w:rPr>
                      <w:rFonts w:hint="default" w:ascii="Times New Roman" w:hAnsi="Times New Roman" w:eastAsia="宋体" w:cs="Times New Roman"/>
                      <w:color w:val="FF0000"/>
                      <w:kern w:val="0"/>
                      <w:sz w:val="21"/>
                      <w:szCs w:val="21"/>
                      <w:highlight w:val="none"/>
                      <w:lang w:eastAsia="zh-CN"/>
                    </w:rPr>
                  </w:pPr>
                  <w:r>
                    <w:rPr>
                      <w:rFonts w:hint="default" w:ascii="Times New Roman" w:hAnsi="Times New Roman" w:eastAsia="宋体" w:cs="Times New Roman"/>
                      <w:color w:val="FF0000"/>
                      <w:kern w:val="0"/>
                      <w:sz w:val="21"/>
                      <w:szCs w:val="21"/>
                      <w:highlight w:val="none"/>
                    </w:rPr>
                    <w:t>1</w:t>
                  </w:r>
                  <w:r>
                    <w:rPr>
                      <w:rFonts w:hint="eastAsia" w:ascii="Times New Roman" w:hAnsi="Times New Roman" w:eastAsia="宋体" w:cs="Times New Roman"/>
                      <w:color w:val="FF0000"/>
                      <w:kern w:val="0"/>
                      <w:sz w:val="21"/>
                      <w:szCs w:val="21"/>
                      <w:highlight w:val="none"/>
                      <w:lang w:val="en-US" w:eastAsia="zh-CN"/>
                    </w:rPr>
                    <w:t>6</w:t>
                  </w:r>
                </w:p>
              </w:tc>
              <w:tc>
                <w:tcPr>
                  <w:tcW w:w="637" w:type="pct"/>
                  <w:vAlign w:val="center"/>
                </w:tcPr>
                <w:p w14:paraId="517E0171">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0.149</w:t>
                  </w:r>
                </w:p>
              </w:tc>
              <w:tc>
                <w:tcPr>
                  <w:tcW w:w="637" w:type="pct"/>
                  <w:vAlign w:val="center"/>
                </w:tcPr>
                <w:p w14:paraId="34EC8A83">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0.08</w:t>
                  </w:r>
                </w:p>
              </w:tc>
            </w:tr>
            <w:tr w14:paraId="2A6B0B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38183ED8">
                  <w:pPr>
                    <w:contextualSpacing/>
                    <w:jc w:val="center"/>
                    <w:rPr>
                      <w:rFonts w:hint="default" w:ascii="Times New Roman" w:hAnsi="Times New Roman" w:eastAsia="宋体" w:cs="Times New Roman"/>
                      <w:color w:val="FF0000"/>
                      <w:kern w:val="0"/>
                      <w:sz w:val="21"/>
                      <w:szCs w:val="21"/>
                      <w:highlight w:val="none"/>
                    </w:rPr>
                  </w:pPr>
                </w:p>
              </w:tc>
              <w:tc>
                <w:tcPr>
                  <w:tcW w:w="874" w:type="pct"/>
                  <w:vMerge w:val="continue"/>
                  <w:vAlign w:val="center"/>
                </w:tcPr>
                <w:p w14:paraId="01387E36">
                  <w:pPr>
                    <w:contextualSpacing/>
                    <w:jc w:val="center"/>
                    <w:rPr>
                      <w:rFonts w:hint="default" w:ascii="Times New Roman" w:hAnsi="Times New Roman" w:eastAsia="宋体" w:cs="Times New Roman"/>
                      <w:color w:val="FF0000"/>
                      <w:kern w:val="0"/>
                      <w:sz w:val="21"/>
                      <w:szCs w:val="21"/>
                      <w:highlight w:val="none"/>
                    </w:rPr>
                  </w:pPr>
                </w:p>
              </w:tc>
              <w:tc>
                <w:tcPr>
                  <w:tcW w:w="1108" w:type="pct"/>
                  <w:vAlign w:val="center"/>
                </w:tcPr>
                <w:p w14:paraId="3ACD7D16">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平均值</w:t>
                  </w:r>
                </w:p>
              </w:tc>
              <w:tc>
                <w:tcPr>
                  <w:tcW w:w="635" w:type="pct"/>
                  <w:vAlign w:val="center"/>
                </w:tcPr>
                <w:p w14:paraId="459BDF6E">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8.0</w:t>
                  </w:r>
                </w:p>
              </w:tc>
              <w:tc>
                <w:tcPr>
                  <w:tcW w:w="637" w:type="pct"/>
                  <w:vAlign w:val="center"/>
                </w:tcPr>
                <w:p w14:paraId="32170E63">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17.7</w:t>
                  </w:r>
                </w:p>
              </w:tc>
              <w:tc>
                <w:tcPr>
                  <w:tcW w:w="637" w:type="pct"/>
                  <w:vAlign w:val="center"/>
                </w:tcPr>
                <w:p w14:paraId="3B1E5160">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0.246</w:t>
                  </w:r>
                </w:p>
              </w:tc>
              <w:tc>
                <w:tcPr>
                  <w:tcW w:w="637" w:type="pct"/>
                  <w:vAlign w:val="center"/>
                </w:tcPr>
                <w:p w14:paraId="79C9EFE8">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0.085</w:t>
                  </w:r>
                </w:p>
              </w:tc>
            </w:tr>
            <w:tr w14:paraId="4F1C71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2C4D05A5">
                  <w:pPr>
                    <w:contextualSpacing/>
                    <w:jc w:val="center"/>
                    <w:rPr>
                      <w:rFonts w:hint="default" w:ascii="Times New Roman" w:hAnsi="Times New Roman" w:eastAsia="宋体" w:cs="Times New Roman"/>
                      <w:color w:val="FF0000"/>
                      <w:kern w:val="0"/>
                      <w:sz w:val="21"/>
                      <w:szCs w:val="21"/>
                      <w:highlight w:val="none"/>
                    </w:rPr>
                  </w:pPr>
                </w:p>
              </w:tc>
              <w:tc>
                <w:tcPr>
                  <w:tcW w:w="874" w:type="pct"/>
                  <w:vMerge w:val="continue"/>
                  <w:vAlign w:val="center"/>
                </w:tcPr>
                <w:p w14:paraId="4516886D">
                  <w:pPr>
                    <w:contextualSpacing/>
                    <w:jc w:val="center"/>
                    <w:rPr>
                      <w:rFonts w:hint="default" w:ascii="Times New Roman" w:hAnsi="Times New Roman" w:eastAsia="宋体" w:cs="Times New Roman"/>
                      <w:color w:val="FF0000"/>
                      <w:kern w:val="0"/>
                      <w:sz w:val="21"/>
                      <w:szCs w:val="21"/>
                      <w:highlight w:val="none"/>
                    </w:rPr>
                  </w:pPr>
                </w:p>
              </w:tc>
              <w:tc>
                <w:tcPr>
                  <w:tcW w:w="1108" w:type="pct"/>
                  <w:vAlign w:val="center"/>
                </w:tcPr>
                <w:p w14:paraId="6F2A3BEA">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超标率（%）</w:t>
                  </w:r>
                </w:p>
              </w:tc>
              <w:tc>
                <w:tcPr>
                  <w:tcW w:w="635" w:type="pct"/>
                  <w:vAlign w:val="center"/>
                </w:tcPr>
                <w:p w14:paraId="61F32E77">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w:t>
                  </w:r>
                </w:p>
              </w:tc>
              <w:tc>
                <w:tcPr>
                  <w:tcW w:w="637" w:type="pct"/>
                  <w:vAlign w:val="center"/>
                </w:tcPr>
                <w:p w14:paraId="3F6F33BD">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0</w:t>
                  </w:r>
                </w:p>
              </w:tc>
              <w:tc>
                <w:tcPr>
                  <w:tcW w:w="637" w:type="pct"/>
                  <w:vAlign w:val="center"/>
                </w:tcPr>
                <w:p w14:paraId="076137CE">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0</w:t>
                  </w:r>
                </w:p>
              </w:tc>
              <w:tc>
                <w:tcPr>
                  <w:tcW w:w="637" w:type="pct"/>
                  <w:vAlign w:val="center"/>
                </w:tcPr>
                <w:p w14:paraId="409D8B8E">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0</w:t>
                  </w:r>
                </w:p>
              </w:tc>
            </w:tr>
            <w:tr w14:paraId="5341E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71F950B7">
                  <w:pPr>
                    <w:contextualSpacing/>
                    <w:jc w:val="center"/>
                    <w:rPr>
                      <w:rFonts w:hint="default" w:ascii="Times New Roman" w:hAnsi="Times New Roman" w:eastAsia="宋体" w:cs="Times New Roman"/>
                      <w:color w:val="FF0000"/>
                      <w:kern w:val="0"/>
                      <w:sz w:val="21"/>
                      <w:szCs w:val="21"/>
                      <w:highlight w:val="none"/>
                    </w:rPr>
                  </w:pPr>
                </w:p>
              </w:tc>
              <w:tc>
                <w:tcPr>
                  <w:tcW w:w="874" w:type="pct"/>
                  <w:vMerge w:val="continue"/>
                  <w:vAlign w:val="center"/>
                </w:tcPr>
                <w:p w14:paraId="530C28A7">
                  <w:pPr>
                    <w:contextualSpacing/>
                    <w:jc w:val="center"/>
                    <w:rPr>
                      <w:rFonts w:hint="default" w:ascii="Times New Roman" w:hAnsi="Times New Roman" w:eastAsia="宋体" w:cs="Times New Roman"/>
                      <w:color w:val="FF0000"/>
                      <w:kern w:val="0"/>
                      <w:sz w:val="21"/>
                      <w:szCs w:val="21"/>
                      <w:highlight w:val="none"/>
                    </w:rPr>
                  </w:pPr>
                </w:p>
              </w:tc>
              <w:tc>
                <w:tcPr>
                  <w:tcW w:w="1108" w:type="pct"/>
                  <w:vAlign w:val="center"/>
                </w:tcPr>
                <w:p w14:paraId="6E927004">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sz w:val="21"/>
                      <w:szCs w:val="21"/>
                      <w:highlight w:val="none"/>
                    </w:rPr>
                    <w:t>最大超标倍数（%）</w:t>
                  </w:r>
                </w:p>
              </w:tc>
              <w:tc>
                <w:tcPr>
                  <w:tcW w:w="635" w:type="pct"/>
                  <w:vAlign w:val="center"/>
                </w:tcPr>
                <w:p w14:paraId="662223E9">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w:t>
                  </w:r>
                </w:p>
              </w:tc>
              <w:tc>
                <w:tcPr>
                  <w:tcW w:w="637" w:type="pct"/>
                  <w:vAlign w:val="center"/>
                </w:tcPr>
                <w:p w14:paraId="694B9070">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w:t>
                  </w:r>
                </w:p>
              </w:tc>
              <w:tc>
                <w:tcPr>
                  <w:tcW w:w="637" w:type="pct"/>
                  <w:vAlign w:val="center"/>
                </w:tcPr>
                <w:p w14:paraId="741E809E">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w:t>
                  </w:r>
                </w:p>
              </w:tc>
              <w:tc>
                <w:tcPr>
                  <w:tcW w:w="637" w:type="pct"/>
                  <w:vAlign w:val="center"/>
                </w:tcPr>
                <w:p w14:paraId="77CF1E82">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w:t>
                  </w:r>
                </w:p>
              </w:tc>
            </w:tr>
            <w:tr w14:paraId="596017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789E42BC">
                  <w:pPr>
                    <w:contextualSpacing/>
                    <w:jc w:val="center"/>
                    <w:rPr>
                      <w:rFonts w:hint="default" w:ascii="Times New Roman" w:hAnsi="Times New Roman" w:eastAsia="宋体" w:cs="Times New Roman"/>
                      <w:color w:val="FF0000"/>
                      <w:kern w:val="0"/>
                      <w:sz w:val="21"/>
                      <w:szCs w:val="21"/>
                      <w:highlight w:val="none"/>
                    </w:rPr>
                  </w:pPr>
                </w:p>
              </w:tc>
              <w:tc>
                <w:tcPr>
                  <w:tcW w:w="874" w:type="pct"/>
                  <w:vMerge w:val="restart"/>
                  <w:vAlign w:val="center"/>
                </w:tcPr>
                <w:p w14:paraId="628C844B">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常州金坛区第二污水处理厂尾水排口下游2000米</w:t>
                  </w:r>
                </w:p>
              </w:tc>
              <w:tc>
                <w:tcPr>
                  <w:tcW w:w="1108" w:type="pct"/>
                  <w:vAlign w:val="center"/>
                </w:tcPr>
                <w:p w14:paraId="33AAA6FC">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最大值</w:t>
                  </w:r>
                </w:p>
              </w:tc>
              <w:tc>
                <w:tcPr>
                  <w:tcW w:w="635" w:type="pct"/>
                  <w:vAlign w:val="center"/>
                </w:tcPr>
                <w:p w14:paraId="19A2053F">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8.0</w:t>
                  </w:r>
                </w:p>
              </w:tc>
              <w:tc>
                <w:tcPr>
                  <w:tcW w:w="637" w:type="pct"/>
                  <w:vAlign w:val="center"/>
                </w:tcPr>
                <w:p w14:paraId="69E0BE20">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17</w:t>
                  </w:r>
                </w:p>
              </w:tc>
              <w:tc>
                <w:tcPr>
                  <w:tcW w:w="637" w:type="pct"/>
                  <w:vAlign w:val="center"/>
                </w:tcPr>
                <w:p w14:paraId="1D21FABC">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0.331</w:t>
                  </w:r>
                </w:p>
              </w:tc>
              <w:tc>
                <w:tcPr>
                  <w:tcW w:w="637" w:type="pct"/>
                  <w:vAlign w:val="center"/>
                </w:tcPr>
                <w:p w14:paraId="5425EBEB">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0.09</w:t>
                  </w:r>
                </w:p>
              </w:tc>
            </w:tr>
            <w:tr w14:paraId="0911A0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473" w:type="pct"/>
                  <w:vMerge w:val="continue"/>
                  <w:vAlign w:val="center"/>
                </w:tcPr>
                <w:p w14:paraId="77C7E7AE">
                  <w:pPr>
                    <w:contextualSpacing/>
                    <w:jc w:val="center"/>
                    <w:rPr>
                      <w:rFonts w:hint="default" w:ascii="Times New Roman" w:hAnsi="Times New Roman" w:eastAsia="宋体" w:cs="Times New Roman"/>
                      <w:color w:val="FF0000"/>
                      <w:kern w:val="0"/>
                      <w:sz w:val="21"/>
                      <w:szCs w:val="21"/>
                      <w:highlight w:val="none"/>
                    </w:rPr>
                  </w:pPr>
                </w:p>
              </w:tc>
              <w:tc>
                <w:tcPr>
                  <w:tcW w:w="874" w:type="pct"/>
                  <w:vMerge w:val="continue"/>
                  <w:vAlign w:val="center"/>
                </w:tcPr>
                <w:p w14:paraId="7A45FB90">
                  <w:pPr>
                    <w:contextualSpacing/>
                    <w:jc w:val="center"/>
                    <w:rPr>
                      <w:rFonts w:hint="default" w:ascii="Times New Roman" w:hAnsi="Times New Roman" w:eastAsia="宋体" w:cs="Times New Roman"/>
                      <w:color w:val="FF0000"/>
                      <w:kern w:val="0"/>
                      <w:sz w:val="21"/>
                      <w:szCs w:val="21"/>
                      <w:highlight w:val="none"/>
                    </w:rPr>
                  </w:pPr>
                </w:p>
              </w:tc>
              <w:tc>
                <w:tcPr>
                  <w:tcW w:w="1108" w:type="pct"/>
                  <w:vAlign w:val="center"/>
                </w:tcPr>
                <w:p w14:paraId="3F652123">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最小值</w:t>
                  </w:r>
                </w:p>
              </w:tc>
              <w:tc>
                <w:tcPr>
                  <w:tcW w:w="635" w:type="pct"/>
                  <w:vAlign w:val="center"/>
                </w:tcPr>
                <w:p w14:paraId="0459B722">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7.7</w:t>
                  </w:r>
                </w:p>
              </w:tc>
              <w:tc>
                <w:tcPr>
                  <w:tcW w:w="637" w:type="pct"/>
                  <w:vAlign w:val="center"/>
                </w:tcPr>
                <w:p w14:paraId="58C32F1A">
                  <w:pPr>
                    <w:contextualSpacing/>
                    <w:jc w:val="center"/>
                    <w:rPr>
                      <w:rFonts w:hint="default" w:ascii="Times New Roman" w:hAnsi="Times New Roman" w:eastAsia="宋体" w:cs="Times New Roman"/>
                      <w:color w:val="FF0000"/>
                      <w:kern w:val="0"/>
                      <w:sz w:val="21"/>
                      <w:szCs w:val="21"/>
                      <w:highlight w:val="none"/>
                      <w:lang w:val="en-US" w:eastAsia="zh-CN"/>
                    </w:rPr>
                  </w:pPr>
                  <w:r>
                    <w:rPr>
                      <w:rFonts w:hint="default" w:ascii="Times New Roman" w:hAnsi="Times New Roman" w:eastAsia="宋体" w:cs="Times New Roman"/>
                      <w:color w:val="FF0000"/>
                      <w:kern w:val="0"/>
                      <w:sz w:val="21"/>
                      <w:szCs w:val="21"/>
                      <w:highlight w:val="none"/>
                      <w:lang w:val="en-US" w:eastAsia="zh-CN"/>
                    </w:rPr>
                    <w:t>1</w:t>
                  </w:r>
                  <w:r>
                    <w:rPr>
                      <w:rFonts w:hint="eastAsia" w:ascii="Times New Roman" w:hAnsi="Times New Roman" w:eastAsia="宋体" w:cs="Times New Roman"/>
                      <w:color w:val="FF0000"/>
                      <w:kern w:val="0"/>
                      <w:sz w:val="21"/>
                      <w:szCs w:val="21"/>
                      <w:highlight w:val="none"/>
                      <w:lang w:val="en-US" w:eastAsia="zh-CN"/>
                    </w:rPr>
                    <w:t>4</w:t>
                  </w:r>
                </w:p>
              </w:tc>
              <w:tc>
                <w:tcPr>
                  <w:tcW w:w="637" w:type="pct"/>
                  <w:vAlign w:val="center"/>
                </w:tcPr>
                <w:p w14:paraId="589497B1">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0.251</w:t>
                  </w:r>
                </w:p>
              </w:tc>
              <w:tc>
                <w:tcPr>
                  <w:tcW w:w="637" w:type="pct"/>
                  <w:vAlign w:val="center"/>
                </w:tcPr>
                <w:p w14:paraId="56BA7708">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0.08</w:t>
                  </w:r>
                </w:p>
              </w:tc>
            </w:tr>
            <w:tr w14:paraId="7D1B5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53BE9350">
                  <w:pPr>
                    <w:contextualSpacing/>
                    <w:jc w:val="center"/>
                    <w:rPr>
                      <w:rFonts w:hint="default" w:ascii="Times New Roman" w:hAnsi="Times New Roman" w:eastAsia="宋体" w:cs="Times New Roman"/>
                      <w:color w:val="FF0000"/>
                      <w:kern w:val="0"/>
                      <w:sz w:val="21"/>
                      <w:szCs w:val="21"/>
                      <w:highlight w:val="none"/>
                    </w:rPr>
                  </w:pPr>
                </w:p>
              </w:tc>
              <w:tc>
                <w:tcPr>
                  <w:tcW w:w="874" w:type="pct"/>
                  <w:vMerge w:val="continue"/>
                  <w:vAlign w:val="center"/>
                </w:tcPr>
                <w:p w14:paraId="379FB842">
                  <w:pPr>
                    <w:contextualSpacing/>
                    <w:jc w:val="center"/>
                    <w:rPr>
                      <w:rFonts w:hint="default" w:ascii="Times New Roman" w:hAnsi="Times New Roman" w:eastAsia="宋体" w:cs="Times New Roman"/>
                      <w:color w:val="FF0000"/>
                      <w:kern w:val="0"/>
                      <w:sz w:val="21"/>
                      <w:szCs w:val="21"/>
                      <w:highlight w:val="none"/>
                    </w:rPr>
                  </w:pPr>
                </w:p>
              </w:tc>
              <w:tc>
                <w:tcPr>
                  <w:tcW w:w="1108" w:type="pct"/>
                  <w:vAlign w:val="center"/>
                </w:tcPr>
                <w:p w14:paraId="4769F74D">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平均值</w:t>
                  </w:r>
                </w:p>
              </w:tc>
              <w:tc>
                <w:tcPr>
                  <w:tcW w:w="635" w:type="pct"/>
                  <w:vAlign w:val="center"/>
                </w:tcPr>
                <w:p w14:paraId="280DBDCB">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7.8</w:t>
                  </w:r>
                </w:p>
              </w:tc>
              <w:tc>
                <w:tcPr>
                  <w:tcW w:w="637" w:type="pct"/>
                  <w:vAlign w:val="center"/>
                </w:tcPr>
                <w:p w14:paraId="441C9404">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15.5</w:t>
                  </w:r>
                </w:p>
              </w:tc>
              <w:tc>
                <w:tcPr>
                  <w:tcW w:w="637" w:type="pct"/>
                  <w:vAlign w:val="center"/>
                </w:tcPr>
                <w:p w14:paraId="032D64F5">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0.296</w:t>
                  </w:r>
                </w:p>
              </w:tc>
              <w:tc>
                <w:tcPr>
                  <w:tcW w:w="637" w:type="pct"/>
                  <w:vAlign w:val="center"/>
                </w:tcPr>
                <w:p w14:paraId="44DFBE1C">
                  <w:pPr>
                    <w:contextualSpacing/>
                    <w:jc w:val="center"/>
                    <w:rPr>
                      <w:rFonts w:hint="default" w:ascii="Times New Roman" w:hAnsi="Times New Roman" w:eastAsia="宋体" w:cs="Times New Roman"/>
                      <w:color w:val="FF0000"/>
                      <w:kern w:val="0"/>
                      <w:sz w:val="21"/>
                      <w:szCs w:val="21"/>
                      <w:highlight w:val="none"/>
                      <w:lang w:val="en-US" w:eastAsia="zh-CN"/>
                    </w:rPr>
                  </w:pPr>
                  <w:r>
                    <w:rPr>
                      <w:rFonts w:hint="eastAsia" w:ascii="Times New Roman" w:hAnsi="Times New Roman" w:eastAsia="宋体" w:cs="Times New Roman"/>
                      <w:color w:val="FF0000"/>
                      <w:kern w:val="0"/>
                      <w:sz w:val="21"/>
                      <w:szCs w:val="21"/>
                      <w:highlight w:val="none"/>
                      <w:lang w:val="en-US" w:eastAsia="zh-CN"/>
                    </w:rPr>
                    <w:t>0.085</w:t>
                  </w:r>
                </w:p>
              </w:tc>
            </w:tr>
            <w:tr w14:paraId="6365B3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23FDBFA3">
                  <w:pPr>
                    <w:contextualSpacing/>
                    <w:jc w:val="center"/>
                    <w:rPr>
                      <w:rFonts w:hint="default" w:ascii="Times New Roman" w:hAnsi="Times New Roman" w:eastAsia="宋体" w:cs="Times New Roman"/>
                      <w:color w:val="FF0000"/>
                      <w:kern w:val="0"/>
                      <w:sz w:val="21"/>
                      <w:szCs w:val="21"/>
                      <w:highlight w:val="none"/>
                    </w:rPr>
                  </w:pPr>
                </w:p>
              </w:tc>
              <w:tc>
                <w:tcPr>
                  <w:tcW w:w="874" w:type="pct"/>
                  <w:vMerge w:val="continue"/>
                  <w:vAlign w:val="center"/>
                </w:tcPr>
                <w:p w14:paraId="6E33D746">
                  <w:pPr>
                    <w:contextualSpacing/>
                    <w:jc w:val="center"/>
                    <w:rPr>
                      <w:rFonts w:hint="default" w:ascii="Times New Roman" w:hAnsi="Times New Roman" w:eastAsia="宋体" w:cs="Times New Roman"/>
                      <w:color w:val="FF0000"/>
                      <w:kern w:val="0"/>
                      <w:sz w:val="21"/>
                      <w:szCs w:val="21"/>
                      <w:highlight w:val="none"/>
                    </w:rPr>
                  </w:pPr>
                </w:p>
              </w:tc>
              <w:tc>
                <w:tcPr>
                  <w:tcW w:w="1108" w:type="pct"/>
                  <w:vAlign w:val="center"/>
                </w:tcPr>
                <w:p w14:paraId="57B04C5F">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超标率（%）</w:t>
                  </w:r>
                </w:p>
              </w:tc>
              <w:tc>
                <w:tcPr>
                  <w:tcW w:w="635" w:type="pct"/>
                  <w:vAlign w:val="center"/>
                </w:tcPr>
                <w:p w14:paraId="293DA4B5">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w:t>
                  </w:r>
                </w:p>
              </w:tc>
              <w:tc>
                <w:tcPr>
                  <w:tcW w:w="637" w:type="pct"/>
                  <w:vAlign w:val="center"/>
                </w:tcPr>
                <w:p w14:paraId="2BF0D350">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0</w:t>
                  </w:r>
                </w:p>
              </w:tc>
              <w:tc>
                <w:tcPr>
                  <w:tcW w:w="637" w:type="pct"/>
                  <w:vAlign w:val="center"/>
                </w:tcPr>
                <w:p w14:paraId="195ED8A5">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0</w:t>
                  </w:r>
                </w:p>
              </w:tc>
              <w:tc>
                <w:tcPr>
                  <w:tcW w:w="637" w:type="pct"/>
                  <w:vAlign w:val="center"/>
                </w:tcPr>
                <w:p w14:paraId="54D3E098">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0</w:t>
                  </w:r>
                </w:p>
              </w:tc>
            </w:tr>
            <w:tr w14:paraId="6267FB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473" w:type="pct"/>
                  <w:vMerge w:val="continue"/>
                  <w:vAlign w:val="center"/>
                </w:tcPr>
                <w:p w14:paraId="2B1C5813">
                  <w:pPr>
                    <w:contextualSpacing/>
                    <w:jc w:val="center"/>
                    <w:rPr>
                      <w:rFonts w:hint="default" w:ascii="Times New Roman" w:hAnsi="Times New Roman" w:eastAsia="宋体" w:cs="Times New Roman"/>
                      <w:color w:val="FF0000"/>
                      <w:kern w:val="0"/>
                      <w:sz w:val="21"/>
                      <w:szCs w:val="21"/>
                      <w:highlight w:val="none"/>
                    </w:rPr>
                  </w:pPr>
                </w:p>
              </w:tc>
              <w:tc>
                <w:tcPr>
                  <w:tcW w:w="874" w:type="pct"/>
                  <w:vMerge w:val="continue"/>
                  <w:vAlign w:val="center"/>
                </w:tcPr>
                <w:p w14:paraId="5EBB0314">
                  <w:pPr>
                    <w:contextualSpacing/>
                    <w:jc w:val="center"/>
                    <w:rPr>
                      <w:rFonts w:hint="default" w:ascii="Times New Roman" w:hAnsi="Times New Roman" w:eastAsia="宋体" w:cs="Times New Roman"/>
                      <w:color w:val="FF0000"/>
                      <w:kern w:val="0"/>
                      <w:sz w:val="21"/>
                      <w:szCs w:val="21"/>
                      <w:highlight w:val="none"/>
                    </w:rPr>
                  </w:pPr>
                </w:p>
              </w:tc>
              <w:tc>
                <w:tcPr>
                  <w:tcW w:w="1108" w:type="pct"/>
                  <w:vAlign w:val="center"/>
                </w:tcPr>
                <w:p w14:paraId="17C6382F">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sz w:val="21"/>
                      <w:szCs w:val="21"/>
                      <w:highlight w:val="none"/>
                    </w:rPr>
                    <w:t>最大超标倍数（%）</w:t>
                  </w:r>
                </w:p>
              </w:tc>
              <w:tc>
                <w:tcPr>
                  <w:tcW w:w="635" w:type="pct"/>
                  <w:vAlign w:val="center"/>
                </w:tcPr>
                <w:p w14:paraId="09F09B4A">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w:t>
                  </w:r>
                </w:p>
              </w:tc>
              <w:tc>
                <w:tcPr>
                  <w:tcW w:w="637" w:type="pct"/>
                  <w:vAlign w:val="center"/>
                </w:tcPr>
                <w:p w14:paraId="7BF36EC0">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w:t>
                  </w:r>
                </w:p>
              </w:tc>
              <w:tc>
                <w:tcPr>
                  <w:tcW w:w="637" w:type="pct"/>
                  <w:vAlign w:val="center"/>
                </w:tcPr>
                <w:p w14:paraId="1763D133">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w:t>
                  </w:r>
                </w:p>
              </w:tc>
              <w:tc>
                <w:tcPr>
                  <w:tcW w:w="637" w:type="pct"/>
                  <w:vAlign w:val="center"/>
                </w:tcPr>
                <w:p w14:paraId="71ED8010">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w:t>
                  </w:r>
                </w:p>
              </w:tc>
            </w:tr>
            <w:tr w14:paraId="68B82F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454" w:type="pct"/>
                  <w:gridSpan w:val="3"/>
                  <w:vAlign w:val="center"/>
                </w:tcPr>
                <w:p w14:paraId="67C02AB2">
                  <w:pPr>
                    <w:contextualSpacing/>
                    <w:jc w:val="center"/>
                    <w:rPr>
                      <w:rFonts w:hint="default" w:ascii="Times New Roman" w:hAnsi="Times New Roman" w:eastAsia="宋体" w:cs="Times New Roman"/>
                      <w:color w:val="FF0000"/>
                      <w:kern w:val="0"/>
                      <w:sz w:val="21"/>
                      <w:szCs w:val="21"/>
                      <w:highlight w:val="none"/>
                    </w:rPr>
                  </w:pPr>
                  <w:r>
                    <w:rPr>
                      <w:rFonts w:hint="default" w:ascii="Times New Roman" w:hAnsi="Times New Roman" w:eastAsia="宋体" w:cs="Times New Roman"/>
                      <w:color w:val="FF0000"/>
                      <w:kern w:val="0"/>
                      <w:sz w:val="21"/>
                      <w:szCs w:val="21"/>
                      <w:highlight w:val="none"/>
                    </w:rPr>
                    <w:t>标准值</w:t>
                  </w:r>
                </w:p>
              </w:tc>
              <w:tc>
                <w:tcPr>
                  <w:tcW w:w="635" w:type="pct"/>
                  <w:vAlign w:val="center"/>
                </w:tcPr>
                <w:p w14:paraId="084253FA">
                  <w:pPr>
                    <w:contextualSpacing/>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6～9</w:t>
                  </w:r>
                </w:p>
              </w:tc>
              <w:tc>
                <w:tcPr>
                  <w:tcW w:w="637" w:type="pct"/>
                  <w:vAlign w:val="center"/>
                </w:tcPr>
                <w:p w14:paraId="56E8661E">
                  <w:pPr>
                    <w:contextualSpacing/>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20</w:t>
                  </w:r>
                </w:p>
              </w:tc>
              <w:tc>
                <w:tcPr>
                  <w:tcW w:w="637" w:type="pct"/>
                  <w:vAlign w:val="center"/>
                </w:tcPr>
                <w:p w14:paraId="1AF2218D">
                  <w:pPr>
                    <w:contextualSpacing/>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1.0</w:t>
                  </w:r>
                </w:p>
              </w:tc>
              <w:tc>
                <w:tcPr>
                  <w:tcW w:w="637" w:type="pct"/>
                  <w:vAlign w:val="center"/>
                </w:tcPr>
                <w:p w14:paraId="0023687B">
                  <w:pPr>
                    <w:contextualSpacing/>
                    <w:jc w:val="center"/>
                    <w:rPr>
                      <w:rFonts w:hint="default" w:ascii="Times New Roman" w:hAnsi="Times New Roman" w:eastAsia="宋体" w:cs="Times New Roman"/>
                      <w:color w:val="FF0000"/>
                      <w:sz w:val="21"/>
                      <w:szCs w:val="21"/>
                      <w:highlight w:val="none"/>
                    </w:rPr>
                  </w:pPr>
                  <w:r>
                    <w:rPr>
                      <w:rFonts w:hint="default" w:ascii="Times New Roman" w:hAnsi="Times New Roman" w:eastAsia="宋体" w:cs="Times New Roman"/>
                      <w:color w:val="FF0000"/>
                      <w:sz w:val="21"/>
                      <w:szCs w:val="21"/>
                      <w:highlight w:val="none"/>
                    </w:rPr>
                    <w:t>0.2</w:t>
                  </w:r>
                </w:p>
              </w:tc>
            </w:tr>
          </w:tbl>
          <w:p w14:paraId="36985E5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地表水水质现状监测及评价结果表明，尧塘河各引用断面中pH、COD、NH</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-N、TP均能达到《地表水环境质量标准》（GB3838-2002）III类水质标准，说明当地水环境质量良好，具有一定的环境承载力。</w:t>
            </w:r>
          </w:p>
          <w:p w14:paraId="642BF65E">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3、声环境</w:t>
            </w:r>
          </w:p>
          <w:p w14:paraId="2B91712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1）声环境质量标准</w:t>
            </w:r>
          </w:p>
          <w:p w14:paraId="6EE3EDE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本项目周边50m范围内无敏感点，无需对厂界进行监测，根据声环境功能区规划图可知，本项目所在区域声环境质量现状划分为《声环境质量标准》（GB3096-2008）中3类标准。</w:t>
            </w:r>
          </w:p>
          <w:p w14:paraId="27A0C04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2）声环境现状评价</w:t>
            </w:r>
          </w:p>
          <w:p w14:paraId="77DF1FE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本项目周边50米范围内无敏感点，因此无需开展噪声现状调查。</w:t>
            </w:r>
          </w:p>
          <w:p w14:paraId="08F78F1A">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4、土壤、地下水环境质量现状</w:t>
            </w:r>
          </w:p>
          <w:p w14:paraId="56F1D752">
            <w:pPr>
              <w:spacing w:line="360" w:lineRule="auto"/>
              <w:ind w:firstLine="480" w:firstLineChars="200"/>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根据《关于印发《建设项目环境影响报告表》内容、格式及编制技术指南的通知》（环办环评〔2020〕33号）</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原则上不开展环境质量现状调查。建设项目存在土壤、地下水环境污染途径的，应结合污染源、保护目标分布情况开展现状调查以留作背景值</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w:t>
            </w:r>
          </w:p>
          <w:p w14:paraId="2EF70BD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本项目运营期土壤环境影响识别主要针对本项目产生的废气和废水。本项目</w:t>
            </w:r>
            <w:r>
              <w:rPr>
                <w:rFonts w:hint="eastAsia" w:ascii="Times New Roman" w:hAnsi="Times New Roman" w:eastAsia="宋体" w:cs="Times New Roman"/>
                <w:color w:val="auto"/>
                <w:sz w:val="24"/>
                <w:lang w:val="en-US" w:eastAsia="zh-CN"/>
              </w:rPr>
              <w:t>生产废水经新建污水处理设置处理后回用</w:t>
            </w:r>
            <w:r>
              <w:rPr>
                <w:rFonts w:hint="default" w:ascii="Times New Roman" w:hAnsi="Times New Roman" w:eastAsia="宋体" w:cs="Times New Roman"/>
                <w:color w:val="auto"/>
                <w:sz w:val="24"/>
                <w:lang w:val="en-US" w:eastAsia="zh-CN"/>
              </w:rPr>
              <w:t>，不外排；</w:t>
            </w:r>
            <w:r>
              <w:rPr>
                <w:rFonts w:hint="eastAsia" w:ascii="Times New Roman" w:hAnsi="Times New Roman" w:eastAsia="宋体" w:cs="Times New Roman"/>
                <w:color w:val="auto"/>
                <w:sz w:val="24"/>
                <w:lang w:val="en-US" w:eastAsia="zh-CN"/>
              </w:rPr>
              <w:t>外排</w:t>
            </w:r>
            <w:r>
              <w:rPr>
                <w:rFonts w:hint="default" w:ascii="Times New Roman" w:hAnsi="Times New Roman" w:eastAsia="宋体" w:cs="Times New Roman"/>
                <w:color w:val="auto"/>
                <w:sz w:val="24"/>
              </w:rPr>
              <w:t>废水主要为生活污水，且水质简单，经管网接入金坛区第二污水处理厂处理。废气中的主要污染物为颗粒物</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非甲烷总烃</w:t>
            </w:r>
            <w:r>
              <w:rPr>
                <w:rFonts w:hint="eastAsia" w:ascii="Times New Roman" w:hAnsi="Times New Roman" w:eastAsia="宋体" w:cs="Times New Roman"/>
                <w:color w:val="auto"/>
                <w:sz w:val="24"/>
                <w:lang w:val="en-US" w:eastAsia="zh-CN"/>
              </w:rPr>
              <w:t>和氨气</w:t>
            </w:r>
            <w:r>
              <w:rPr>
                <w:rFonts w:hint="default" w:ascii="Times New Roman" w:hAnsi="Times New Roman" w:eastAsia="宋体" w:cs="Times New Roman"/>
                <w:color w:val="auto"/>
                <w:sz w:val="24"/>
              </w:rPr>
              <w:t>，拟建</w:t>
            </w:r>
            <w:r>
              <w:rPr>
                <w:rFonts w:hint="eastAsia" w:ascii="Times New Roman" w:hAnsi="Times New Roman" w:eastAsia="宋体" w:cs="Times New Roman"/>
                <w:color w:val="auto"/>
                <w:sz w:val="24"/>
                <w:lang w:val="en-US" w:eastAsia="zh-CN"/>
              </w:rPr>
              <w:t>原料仓库、</w:t>
            </w:r>
            <w:r>
              <w:rPr>
                <w:rFonts w:hint="default" w:ascii="Times New Roman" w:hAnsi="Times New Roman" w:eastAsia="宋体" w:cs="Times New Roman"/>
                <w:color w:val="auto"/>
                <w:sz w:val="24"/>
              </w:rPr>
              <w:t>危废库为重点防渗区，</w:t>
            </w:r>
            <w:r>
              <w:rPr>
                <w:rFonts w:hint="default" w:ascii="Times New Roman" w:hAnsi="Times New Roman" w:eastAsia="宋体" w:cs="Times New Roman"/>
                <w:color w:val="auto"/>
                <w:sz w:val="24"/>
                <w:lang w:val="en-US" w:eastAsia="zh-CN"/>
              </w:rPr>
              <w:t>均为现浇</w:t>
            </w:r>
            <w:r>
              <w:rPr>
                <w:rFonts w:hint="default" w:ascii="Times New Roman" w:hAnsi="Times New Roman" w:eastAsia="宋体" w:cs="Times New Roman"/>
                <w:color w:val="auto"/>
                <w:sz w:val="24"/>
              </w:rPr>
              <w:t>混凝土</w:t>
            </w:r>
            <w:r>
              <w:rPr>
                <w:rFonts w:hint="default" w:ascii="Times New Roman" w:hAnsi="Times New Roman" w:eastAsia="宋体" w:cs="Times New Roman"/>
                <w:color w:val="auto"/>
                <w:sz w:val="24"/>
                <w:lang w:val="en-US" w:eastAsia="zh-CN"/>
              </w:rPr>
              <w:t>地面，并采用</w:t>
            </w:r>
            <w:r>
              <w:rPr>
                <w:rFonts w:hint="default" w:ascii="Times New Roman" w:hAnsi="Times New Roman" w:eastAsia="宋体" w:cs="Times New Roman"/>
                <w:color w:val="auto"/>
                <w:sz w:val="24"/>
              </w:rPr>
              <w:t>环氧地坪进行地面防渗处理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其余生产区为一般防渗区，</w:t>
            </w:r>
            <w:r>
              <w:rPr>
                <w:rFonts w:hint="default" w:ascii="Times New Roman" w:hAnsi="Times New Roman" w:eastAsia="宋体" w:cs="Times New Roman"/>
                <w:color w:val="auto"/>
                <w:sz w:val="24"/>
                <w:lang w:val="en-US" w:eastAsia="zh-CN"/>
              </w:rPr>
              <w:t>均为现浇</w:t>
            </w:r>
            <w:r>
              <w:rPr>
                <w:rFonts w:hint="default" w:ascii="Times New Roman" w:hAnsi="Times New Roman" w:eastAsia="宋体" w:cs="Times New Roman"/>
                <w:color w:val="auto"/>
                <w:sz w:val="24"/>
              </w:rPr>
              <w:t>混凝土</w:t>
            </w:r>
            <w:r>
              <w:rPr>
                <w:rFonts w:hint="default" w:ascii="Times New Roman" w:hAnsi="Times New Roman" w:eastAsia="宋体" w:cs="Times New Roman"/>
                <w:color w:val="auto"/>
                <w:sz w:val="24"/>
                <w:lang w:val="en-US" w:eastAsia="zh-CN"/>
              </w:rPr>
              <w:t>地面，并采用</w:t>
            </w:r>
            <w:r>
              <w:rPr>
                <w:rFonts w:hint="default" w:ascii="Times New Roman" w:hAnsi="Times New Roman" w:eastAsia="宋体" w:cs="Times New Roman"/>
                <w:color w:val="auto"/>
                <w:sz w:val="24"/>
              </w:rPr>
              <w:t>环氧地坪进行地面防渗处理，办公区、道路等均进行地面硬化处理，</w:t>
            </w:r>
            <w:r>
              <w:rPr>
                <w:rFonts w:hint="default" w:ascii="Times New Roman" w:hAnsi="Times New Roman" w:eastAsia="宋体" w:cs="Times New Roman"/>
                <w:color w:val="auto"/>
                <w:sz w:val="24"/>
                <w:lang w:val="en-US" w:eastAsia="zh-CN"/>
              </w:rPr>
              <w:t>故</w:t>
            </w:r>
            <w:r>
              <w:rPr>
                <w:rFonts w:hint="default" w:ascii="Times New Roman" w:hAnsi="Times New Roman" w:eastAsia="宋体" w:cs="Times New Roman"/>
                <w:color w:val="auto"/>
                <w:sz w:val="24"/>
              </w:rPr>
              <w:t>不存在土壤、地下水环境垂直入渗、漫流等污染途径，因此，可不开展地下水、土壤现状评价工作。</w:t>
            </w:r>
          </w:p>
          <w:p w14:paraId="30555761">
            <w:pPr>
              <w:spacing w:line="360" w:lineRule="auto"/>
              <w:ind w:firstLine="482" w:firstLineChars="200"/>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5、生态环境</w:t>
            </w:r>
          </w:p>
          <w:p w14:paraId="64A51A0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本项目用地范围内不涉及生态环境保护目标，因此本项目不</w:t>
            </w:r>
            <w:r>
              <w:rPr>
                <w:rFonts w:hint="default" w:ascii="Times New Roman" w:hAnsi="Times New Roman" w:eastAsia="宋体" w:cs="Times New Roman"/>
                <w:color w:val="auto"/>
                <w:sz w:val="24"/>
                <w:lang w:eastAsia="zh-CN"/>
              </w:rPr>
              <w:t>开展</w:t>
            </w:r>
            <w:r>
              <w:rPr>
                <w:rFonts w:hint="default" w:ascii="Times New Roman" w:hAnsi="Times New Roman" w:eastAsia="宋体" w:cs="Times New Roman"/>
                <w:color w:val="auto"/>
                <w:sz w:val="24"/>
              </w:rPr>
              <w:t>生态现状调查</w:t>
            </w:r>
            <w:r>
              <w:rPr>
                <w:rFonts w:hint="default" w:ascii="Times New Roman" w:hAnsi="Times New Roman" w:eastAsia="宋体" w:cs="Times New Roman"/>
                <w:color w:val="auto"/>
                <w:sz w:val="24"/>
                <w:lang w:val="en-US" w:eastAsia="zh-CN"/>
              </w:rPr>
              <w:t>。</w:t>
            </w:r>
          </w:p>
          <w:p w14:paraId="7186D370">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6、电磁辐射</w:t>
            </w:r>
          </w:p>
          <w:p w14:paraId="0003A25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本项目不属于广播电台、差转台、电视塔台、卫星地球上行站、雷达等电磁辐射类项目。</w:t>
            </w:r>
          </w:p>
          <w:p w14:paraId="486B822F">
            <w:pPr>
              <w:spacing w:line="360" w:lineRule="auto"/>
              <w:ind w:firstLine="480" w:firstLineChars="200"/>
              <w:rPr>
                <w:rFonts w:hint="default" w:ascii="Times New Roman" w:hAnsi="Times New Roman" w:eastAsia="宋体" w:cs="Times New Roman"/>
                <w:color w:val="auto"/>
                <w:sz w:val="24"/>
              </w:rPr>
            </w:pPr>
          </w:p>
          <w:p w14:paraId="289E8D1D">
            <w:pPr>
              <w:spacing w:line="360" w:lineRule="auto"/>
              <w:rPr>
                <w:rFonts w:hint="default" w:ascii="Times New Roman" w:hAnsi="Times New Roman" w:eastAsia="宋体" w:cs="Times New Roman"/>
                <w:color w:val="auto"/>
                <w:sz w:val="24"/>
              </w:rPr>
            </w:pPr>
          </w:p>
        </w:tc>
      </w:tr>
      <w:tr w14:paraId="1CC93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07" w:hRule="atLeast"/>
        </w:trPr>
        <w:tc>
          <w:tcPr>
            <w:tcW w:w="418" w:type="pct"/>
            <w:vAlign w:val="center"/>
          </w:tcPr>
          <w:p w14:paraId="0412F49E">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环境保护目标</w:t>
            </w:r>
          </w:p>
        </w:tc>
        <w:tc>
          <w:tcPr>
            <w:tcW w:w="4581" w:type="pct"/>
          </w:tcPr>
          <w:p w14:paraId="595AC69C">
            <w:pPr>
              <w:adjustRightInd w:val="0"/>
              <w:snapToGrid w:val="0"/>
              <w:spacing w:line="360" w:lineRule="auto"/>
              <w:ind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kern w:val="0"/>
                <w:sz w:val="24"/>
                <w:szCs w:val="24"/>
              </w:rPr>
              <w:t>项目位于</w:t>
            </w:r>
            <w:r>
              <w:rPr>
                <w:rFonts w:hint="default" w:ascii="Times New Roman" w:hAnsi="Times New Roman" w:eastAsia="宋体" w:cs="Times New Roman"/>
                <w:color w:val="auto"/>
                <w:kern w:val="0"/>
                <w:sz w:val="24"/>
                <w:szCs w:val="24"/>
                <w:lang w:eastAsia="zh-CN"/>
              </w:rPr>
              <w:t>江苏省常州市金坛区金坛大道75号</w:t>
            </w:r>
            <w:r>
              <w:rPr>
                <w:rFonts w:hint="default" w:ascii="Times New Roman" w:hAnsi="Times New Roman" w:eastAsia="宋体" w:cs="Times New Roman"/>
                <w:color w:val="auto"/>
                <w:kern w:val="0"/>
                <w:sz w:val="24"/>
                <w:szCs w:val="24"/>
              </w:rPr>
              <w:t>，经实地勘查，确定建设项目主要环境保护目标见下表。</w:t>
            </w:r>
          </w:p>
          <w:p w14:paraId="7C609CA2">
            <w:pPr>
              <w:tabs>
                <w:tab w:val="left" w:pos="6510"/>
              </w:tabs>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表3-</w:t>
            </w:r>
            <w:r>
              <w:rPr>
                <w:rFonts w:hint="eastAsia" w:ascii="Times New Roman" w:hAnsi="Times New Roman" w:eastAsia="宋体" w:cs="Times New Roman"/>
                <w:b/>
                <w:bCs/>
                <w:color w:val="auto"/>
                <w:sz w:val="24"/>
                <w:szCs w:val="24"/>
                <w:lang w:val="en-US" w:eastAsia="zh-CN"/>
              </w:rPr>
              <w:t>5</w:t>
            </w:r>
            <w:r>
              <w:rPr>
                <w:rFonts w:hint="default" w:ascii="Times New Roman" w:hAnsi="Times New Roman" w:eastAsia="宋体" w:cs="Times New Roman"/>
                <w:b/>
                <w:bCs/>
                <w:color w:val="auto"/>
                <w:sz w:val="24"/>
                <w:szCs w:val="24"/>
              </w:rPr>
              <w:t xml:space="preserve">   主要环境保护目标一览表</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9"/>
              <w:gridCol w:w="653"/>
              <w:gridCol w:w="946"/>
              <w:gridCol w:w="945"/>
              <w:gridCol w:w="800"/>
              <w:gridCol w:w="486"/>
              <w:gridCol w:w="818"/>
              <w:gridCol w:w="817"/>
              <w:gridCol w:w="2132"/>
            </w:tblGrid>
            <w:tr w14:paraId="59ADFA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5" w:type="pct"/>
                  <w:vMerge w:val="restart"/>
                  <w:tcBorders>
                    <w:tl2br w:val="nil"/>
                    <w:tr2bl w:val="nil"/>
                  </w:tcBorders>
                  <w:vAlign w:val="center"/>
                </w:tcPr>
                <w:p w14:paraId="5A2E72B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环境要素</w:t>
                  </w:r>
                </w:p>
              </w:tc>
              <w:tc>
                <w:tcPr>
                  <w:tcW w:w="394" w:type="pct"/>
                  <w:vMerge w:val="restart"/>
                  <w:tcBorders>
                    <w:tl2br w:val="nil"/>
                    <w:tr2bl w:val="nil"/>
                  </w:tcBorders>
                  <w:vAlign w:val="center"/>
                </w:tcPr>
                <w:p w14:paraId="42F2D4EE">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名称</w:t>
                  </w:r>
                </w:p>
              </w:tc>
              <w:tc>
                <w:tcPr>
                  <w:tcW w:w="1141" w:type="pct"/>
                  <w:gridSpan w:val="2"/>
                  <w:tcBorders>
                    <w:tl2br w:val="nil"/>
                    <w:tr2bl w:val="nil"/>
                  </w:tcBorders>
                  <w:vAlign w:val="center"/>
                </w:tcPr>
                <w:p w14:paraId="78DF8620">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经纬度（°）</w:t>
                  </w:r>
                </w:p>
              </w:tc>
              <w:tc>
                <w:tcPr>
                  <w:tcW w:w="482" w:type="pct"/>
                  <w:vMerge w:val="restart"/>
                  <w:tcBorders>
                    <w:tl2br w:val="nil"/>
                    <w:tr2bl w:val="nil"/>
                  </w:tcBorders>
                  <w:vAlign w:val="center"/>
                </w:tcPr>
                <w:p w14:paraId="32296765">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保护对象</w:t>
                  </w:r>
                </w:p>
              </w:tc>
              <w:tc>
                <w:tcPr>
                  <w:tcW w:w="293" w:type="pct"/>
                  <w:vMerge w:val="restart"/>
                  <w:tcBorders>
                    <w:tl2br w:val="nil"/>
                    <w:tr2bl w:val="nil"/>
                  </w:tcBorders>
                  <w:vAlign w:val="center"/>
                </w:tcPr>
                <w:p w14:paraId="79706B93">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规模</w:t>
                  </w:r>
                </w:p>
              </w:tc>
              <w:tc>
                <w:tcPr>
                  <w:tcW w:w="493" w:type="pct"/>
                  <w:vMerge w:val="restart"/>
                  <w:tcBorders>
                    <w:tl2br w:val="nil"/>
                    <w:tr2bl w:val="nil"/>
                  </w:tcBorders>
                  <w:vAlign w:val="center"/>
                </w:tcPr>
                <w:p w14:paraId="68DBD718">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相对厂址方位</w:t>
                  </w:r>
                </w:p>
              </w:tc>
              <w:tc>
                <w:tcPr>
                  <w:tcW w:w="493" w:type="pct"/>
                  <w:vMerge w:val="restart"/>
                  <w:tcBorders>
                    <w:tl2br w:val="nil"/>
                    <w:tr2bl w:val="nil"/>
                  </w:tcBorders>
                  <w:vAlign w:val="center"/>
                </w:tcPr>
                <w:p w14:paraId="54D794C0">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相对厂界距离（m）</w:t>
                  </w:r>
                </w:p>
              </w:tc>
              <w:tc>
                <w:tcPr>
                  <w:tcW w:w="1286" w:type="pct"/>
                  <w:vMerge w:val="restart"/>
                  <w:tcBorders>
                    <w:tl2br w:val="nil"/>
                    <w:tr2bl w:val="nil"/>
                  </w:tcBorders>
                  <w:vAlign w:val="center"/>
                </w:tcPr>
                <w:p w14:paraId="6D726C34">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环境功能</w:t>
                  </w:r>
                </w:p>
              </w:tc>
            </w:tr>
            <w:tr w14:paraId="067280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5" w:type="pct"/>
                  <w:vMerge w:val="continue"/>
                  <w:tcBorders>
                    <w:tl2br w:val="nil"/>
                    <w:tr2bl w:val="nil"/>
                  </w:tcBorders>
                  <w:vAlign w:val="center"/>
                </w:tcPr>
                <w:p w14:paraId="0275CAF0">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c>
                <w:tcPr>
                  <w:tcW w:w="394" w:type="pct"/>
                  <w:vMerge w:val="continue"/>
                  <w:tcBorders>
                    <w:tl2br w:val="nil"/>
                    <w:tr2bl w:val="nil"/>
                  </w:tcBorders>
                  <w:vAlign w:val="center"/>
                </w:tcPr>
                <w:p w14:paraId="7BF70CB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c>
                <w:tcPr>
                  <w:tcW w:w="570" w:type="pct"/>
                  <w:tcBorders>
                    <w:tl2br w:val="nil"/>
                    <w:tr2bl w:val="nil"/>
                  </w:tcBorders>
                  <w:vAlign w:val="center"/>
                </w:tcPr>
                <w:p w14:paraId="4FB0874D">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经度</w:t>
                  </w:r>
                </w:p>
              </w:tc>
              <w:tc>
                <w:tcPr>
                  <w:tcW w:w="570" w:type="pct"/>
                  <w:tcBorders>
                    <w:tl2br w:val="nil"/>
                    <w:tr2bl w:val="nil"/>
                  </w:tcBorders>
                  <w:vAlign w:val="center"/>
                </w:tcPr>
                <w:p w14:paraId="4243813F">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纬度</w:t>
                  </w:r>
                </w:p>
              </w:tc>
              <w:tc>
                <w:tcPr>
                  <w:tcW w:w="482" w:type="pct"/>
                  <w:vMerge w:val="continue"/>
                  <w:tcBorders>
                    <w:tl2br w:val="nil"/>
                    <w:tr2bl w:val="nil"/>
                  </w:tcBorders>
                  <w:vAlign w:val="center"/>
                </w:tcPr>
                <w:p w14:paraId="32C2136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c>
                <w:tcPr>
                  <w:tcW w:w="293" w:type="pct"/>
                  <w:vMerge w:val="continue"/>
                  <w:tcBorders>
                    <w:tl2br w:val="nil"/>
                    <w:tr2bl w:val="nil"/>
                  </w:tcBorders>
                  <w:vAlign w:val="center"/>
                </w:tcPr>
                <w:p w14:paraId="5A6FDF4A">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c>
                <w:tcPr>
                  <w:tcW w:w="493" w:type="pct"/>
                  <w:vMerge w:val="continue"/>
                  <w:tcBorders>
                    <w:tl2br w:val="nil"/>
                    <w:tr2bl w:val="nil"/>
                  </w:tcBorders>
                  <w:vAlign w:val="center"/>
                </w:tcPr>
                <w:p w14:paraId="10D5F78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c>
                <w:tcPr>
                  <w:tcW w:w="493" w:type="pct"/>
                  <w:vMerge w:val="continue"/>
                  <w:tcBorders>
                    <w:tl2br w:val="nil"/>
                    <w:tr2bl w:val="nil"/>
                  </w:tcBorders>
                  <w:vAlign w:val="center"/>
                </w:tcPr>
                <w:p w14:paraId="7B866B48">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c>
                <w:tcPr>
                  <w:tcW w:w="1286" w:type="pct"/>
                  <w:vMerge w:val="continue"/>
                  <w:tcBorders>
                    <w:tl2br w:val="nil"/>
                    <w:tr2bl w:val="nil"/>
                  </w:tcBorders>
                  <w:vAlign w:val="center"/>
                </w:tcPr>
                <w:p w14:paraId="6ECE968D">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p>
              </w:tc>
            </w:tr>
            <w:tr w14:paraId="060B0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5" w:type="pct"/>
                  <w:tcBorders>
                    <w:tl2br w:val="nil"/>
                    <w:tr2bl w:val="nil"/>
                  </w:tcBorders>
                  <w:vAlign w:val="center"/>
                </w:tcPr>
                <w:p w14:paraId="71BA9FA0">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大气环境</w:t>
                  </w:r>
                </w:p>
              </w:tc>
              <w:tc>
                <w:tcPr>
                  <w:tcW w:w="3297" w:type="pct"/>
                  <w:gridSpan w:val="7"/>
                  <w:tcBorders>
                    <w:tl2br w:val="nil"/>
                    <w:tr2bl w:val="nil"/>
                  </w:tcBorders>
                  <w:vAlign w:val="center"/>
                </w:tcPr>
                <w:p w14:paraId="78E45E0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厂界外50</w:t>
                  </w:r>
                  <w:r>
                    <w:rPr>
                      <w:rFonts w:hint="default" w:ascii="Times New Roman" w:hAnsi="Times New Roman" w:eastAsia="宋体" w:cs="Times New Roman"/>
                      <w:bCs/>
                      <w:color w:val="auto"/>
                      <w:sz w:val="21"/>
                      <w:szCs w:val="21"/>
                      <w:lang w:val="en-US" w:eastAsia="zh-CN"/>
                    </w:rPr>
                    <w:t>0</w:t>
                  </w:r>
                  <w:r>
                    <w:rPr>
                      <w:rFonts w:hint="default" w:ascii="Times New Roman" w:hAnsi="Times New Roman" w:eastAsia="宋体" w:cs="Times New Roman"/>
                      <w:bCs/>
                      <w:color w:val="auto"/>
                      <w:sz w:val="21"/>
                      <w:szCs w:val="21"/>
                    </w:rPr>
                    <w:t>米范围无敏感保护目标</w:t>
                  </w:r>
                </w:p>
              </w:tc>
              <w:tc>
                <w:tcPr>
                  <w:tcW w:w="1286" w:type="pct"/>
                  <w:tcBorders>
                    <w:tl2br w:val="nil"/>
                    <w:tr2bl w:val="nil"/>
                  </w:tcBorders>
                  <w:vAlign w:val="center"/>
                </w:tcPr>
                <w:p w14:paraId="6BF73722">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《环境空气质量标准》（GB3095-2012）二级标准</w:t>
                  </w:r>
                </w:p>
              </w:tc>
            </w:tr>
            <w:tr w14:paraId="5D375D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5" w:type="pct"/>
                  <w:tcBorders>
                    <w:tl2br w:val="nil"/>
                    <w:tr2bl w:val="nil"/>
                  </w:tcBorders>
                  <w:vAlign w:val="center"/>
                </w:tcPr>
                <w:p w14:paraId="237C3E9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地表水环境</w:t>
                  </w:r>
                </w:p>
              </w:tc>
              <w:tc>
                <w:tcPr>
                  <w:tcW w:w="394" w:type="pct"/>
                  <w:tcBorders>
                    <w:tl2br w:val="nil"/>
                    <w:tr2bl w:val="nil"/>
                  </w:tcBorders>
                  <w:shd w:val="clear" w:color="auto" w:fill="auto"/>
                  <w:vAlign w:val="center"/>
                </w:tcPr>
                <w:p w14:paraId="7078F7E5">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夏溪河</w:t>
                  </w:r>
                </w:p>
              </w:tc>
              <w:tc>
                <w:tcPr>
                  <w:tcW w:w="570" w:type="pct"/>
                  <w:tcBorders>
                    <w:tl2br w:val="nil"/>
                    <w:tr2bl w:val="nil"/>
                  </w:tcBorders>
                  <w:shd w:val="clear" w:color="auto" w:fill="auto"/>
                  <w:vAlign w:val="center"/>
                </w:tcPr>
                <w:p w14:paraId="6BCB075F">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119.674562</w:t>
                  </w:r>
                </w:p>
              </w:tc>
              <w:tc>
                <w:tcPr>
                  <w:tcW w:w="570" w:type="pct"/>
                  <w:tcBorders>
                    <w:tl2br w:val="nil"/>
                    <w:tr2bl w:val="nil"/>
                  </w:tcBorders>
                  <w:shd w:val="clear" w:color="auto" w:fill="auto"/>
                  <w:vAlign w:val="center"/>
                </w:tcPr>
                <w:p w14:paraId="66E6B907">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31.624238</w:t>
                  </w:r>
                </w:p>
              </w:tc>
              <w:tc>
                <w:tcPr>
                  <w:tcW w:w="482" w:type="pct"/>
                  <w:tcBorders>
                    <w:tl2br w:val="nil"/>
                    <w:tr2bl w:val="nil"/>
                  </w:tcBorders>
                  <w:shd w:val="clear" w:color="auto" w:fill="auto"/>
                  <w:vAlign w:val="center"/>
                </w:tcPr>
                <w:p w14:paraId="3C552293">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河流</w:t>
                  </w:r>
                </w:p>
              </w:tc>
              <w:tc>
                <w:tcPr>
                  <w:tcW w:w="293" w:type="pct"/>
                  <w:tcBorders>
                    <w:tl2br w:val="nil"/>
                    <w:tr2bl w:val="nil"/>
                  </w:tcBorders>
                  <w:shd w:val="clear" w:color="auto" w:fill="auto"/>
                  <w:vAlign w:val="center"/>
                </w:tcPr>
                <w:p w14:paraId="291C43D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w:t>
                  </w:r>
                </w:p>
              </w:tc>
              <w:tc>
                <w:tcPr>
                  <w:tcW w:w="493" w:type="pct"/>
                  <w:tcBorders>
                    <w:tl2br w:val="nil"/>
                    <w:tr2bl w:val="nil"/>
                  </w:tcBorders>
                  <w:shd w:val="clear" w:color="auto" w:fill="auto"/>
                  <w:vAlign w:val="center"/>
                </w:tcPr>
                <w:p w14:paraId="3C641C53">
                  <w:pPr>
                    <w:keepNext w:val="0"/>
                    <w:keepLines w:val="0"/>
                    <w:pageBreakBefore w:val="0"/>
                    <w:widowControl/>
                    <w:kinsoku/>
                    <w:wordWrap/>
                    <w:overflowPunct/>
                    <w:topLinePunct w:val="0"/>
                    <w:autoSpaceDE w:val="0"/>
                    <w:autoSpaceDN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东侧</w:t>
                  </w:r>
                </w:p>
              </w:tc>
              <w:tc>
                <w:tcPr>
                  <w:tcW w:w="493" w:type="pct"/>
                  <w:tcBorders>
                    <w:tl2br w:val="nil"/>
                    <w:tr2bl w:val="nil"/>
                  </w:tcBorders>
                  <w:shd w:val="clear" w:color="auto" w:fill="auto"/>
                  <w:vAlign w:val="center"/>
                </w:tcPr>
                <w:p w14:paraId="679F67FA">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1100</w:t>
                  </w:r>
                </w:p>
              </w:tc>
              <w:tc>
                <w:tcPr>
                  <w:tcW w:w="1286" w:type="pct"/>
                  <w:tcBorders>
                    <w:tl2br w:val="nil"/>
                    <w:tr2bl w:val="nil"/>
                  </w:tcBorders>
                  <w:vAlign w:val="center"/>
                </w:tcPr>
                <w:p w14:paraId="6964DB2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《地表水环境质量标准》（GB3838-2002）Ⅲ类标准</w:t>
                  </w:r>
                </w:p>
              </w:tc>
            </w:tr>
            <w:tr w14:paraId="27119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5" w:type="pct"/>
                  <w:tcBorders>
                    <w:tl2br w:val="nil"/>
                    <w:tr2bl w:val="nil"/>
                  </w:tcBorders>
                  <w:vAlign w:val="center"/>
                </w:tcPr>
                <w:p w14:paraId="301463A5">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声环境</w:t>
                  </w:r>
                </w:p>
              </w:tc>
              <w:tc>
                <w:tcPr>
                  <w:tcW w:w="3297" w:type="pct"/>
                  <w:gridSpan w:val="7"/>
                  <w:tcBorders>
                    <w:tl2br w:val="nil"/>
                    <w:tr2bl w:val="nil"/>
                  </w:tcBorders>
                  <w:vAlign w:val="center"/>
                </w:tcPr>
                <w:p w14:paraId="193F8311">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厂界外50米范围无敏感保护目标</w:t>
                  </w:r>
                </w:p>
              </w:tc>
              <w:tc>
                <w:tcPr>
                  <w:tcW w:w="1286" w:type="pct"/>
                  <w:tcBorders>
                    <w:tl2br w:val="nil"/>
                    <w:tr2bl w:val="nil"/>
                  </w:tcBorders>
                  <w:vAlign w:val="center"/>
                </w:tcPr>
                <w:p w14:paraId="3493D9A6">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《声环境质量标准》（GB3096-2008）3类标准</w:t>
                  </w:r>
                </w:p>
              </w:tc>
            </w:tr>
            <w:tr w14:paraId="3858C5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5" w:type="pct"/>
                  <w:tcBorders>
                    <w:tl2br w:val="nil"/>
                    <w:tr2bl w:val="nil"/>
                  </w:tcBorders>
                  <w:vAlign w:val="center"/>
                </w:tcPr>
                <w:p w14:paraId="67FAEC9F">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地下水环境</w:t>
                  </w:r>
                </w:p>
              </w:tc>
              <w:tc>
                <w:tcPr>
                  <w:tcW w:w="3297" w:type="pct"/>
                  <w:gridSpan w:val="7"/>
                  <w:tcBorders>
                    <w:tl2br w:val="nil"/>
                    <w:tr2bl w:val="nil"/>
                  </w:tcBorders>
                  <w:vAlign w:val="center"/>
                </w:tcPr>
                <w:p w14:paraId="20546CFA">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厂界外500米范围无地下水集中式饮用水水源和热水、矿泉水、温泉等特殊地下水资源</w:t>
                  </w:r>
                </w:p>
              </w:tc>
              <w:tc>
                <w:tcPr>
                  <w:tcW w:w="1286" w:type="pct"/>
                  <w:tcBorders>
                    <w:tl2br w:val="nil"/>
                    <w:tr2bl w:val="nil"/>
                  </w:tcBorders>
                  <w:vAlign w:val="center"/>
                </w:tcPr>
                <w:p w14:paraId="61E564C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bookmarkStart w:id="12" w:name="_Hlk131000124"/>
                  <w:r>
                    <w:rPr>
                      <w:rFonts w:hint="default" w:ascii="Times New Roman" w:hAnsi="Times New Roman" w:eastAsia="宋体" w:cs="Times New Roman"/>
                      <w:bCs/>
                      <w:color w:val="auto"/>
                      <w:sz w:val="21"/>
                      <w:szCs w:val="21"/>
                    </w:rPr>
                    <w:t>《地下水质量标准》（GB/T14848-2017）</w:t>
                  </w:r>
                  <w:bookmarkEnd w:id="12"/>
                </w:p>
              </w:tc>
            </w:tr>
            <w:tr w14:paraId="21863F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5" w:type="pct"/>
                  <w:tcBorders>
                    <w:tl2br w:val="nil"/>
                    <w:tr2bl w:val="nil"/>
                  </w:tcBorders>
                  <w:vAlign w:val="center"/>
                </w:tcPr>
                <w:p w14:paraId="40ABB4BC">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生态环境</w:t>
                  </w:r>
                </w:p>
              </w:tc>
              <w:tc>
                <w:tcPr>
                  <w:tcW w:w="3297" w:type="pct"/>
                  <w:gridSpan w:val="7"/>
                  <w:tcBorders>
                    <w:tl2br w:val="nil"/>
                    <w:tr2bl w:val="nil"/>
                  </w:tcBorders>
                  <w:vAlign w:val="center"/>
                </w:tcPr>
                <w:p w14:paraId="16415708">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本项目位于</w:t>
                  </w:r>
                  <w:r>
                    <w:rPr>
                      <w:rFonts w:hint="default" w:ascii="Times New Roman" w:hAnsi="Times New Roman" w:eastAsia="宋体" w:cs="Times New Roman"/>
                      <w:bCs/>
                      <w:color w:val="auto"/>
                      <w:sz w:val="21"/>
                      <w:szCs w:val="21"/>
                      <w:lang w:eastAsia="zh-CN"/>
                    </w:rPr>
                    <w:t>江苏省常州市金坛区金坛大道75号</w:t>
                  </w:r>
                  <w:r>
                    <w:rPr>
                      <w:rFonts w:hint="default" w:ascii="Times New Roman" w:hAnsi="Times New Roman" w:eastAsia="宋体" w:cs="Times New Roman"/>
                      <w:bCs/>
                      <w:color w:val="auto"/>
                      <w:sz w:val="21"/>
                      <w:szCs w:val="21"/>
                    </w:rPr>
                    <w:t>，位于华罗庚高新技术产业开发区内，占地范围内无生态敏感目标。</w:t>
                  </w:r>
                </w:p>
              </w:tc>
              <w:tc>
                <w:tcPr>
                  <w:tcW w:w="1286" w:type="pct"/>
                  <w:tcBorders>
                    <w:tl2br w:val="nil"/>
                    <w:tr2bl w:val="nil"/>
                  </w:tcBorders>
                  <w:vAlign w:val="center"/>
                </w:tcPr>
                <w:p w14:paraId="63B4935D">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w:t>
                  </w:r>
                </w:p>
              </w:tc>
            </w:tr>
            <w:tr w14:paraId="099701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000" w:type="pct"/>
                  <w:gridSpan w:val="9"/>
                  <w:tcBorders>
                    <w:tl2br w:val="nil"/>
                    <w:tr2bl w:val="nil"/>
                  </w:tcBorders>
                  <w:vAlign w:val="center"/>
                </w:tcPr>
                <w:p w14:paraId="375D2115">
                  <w:pPr>
                    <w:keepNext w:val="0"/>
                    <w:keepLines w:val="0"/>
                    <w:pageBreakBefore w:val="0"/>
                    <w:widowControl/>
                    <w:kinsoku/>
                    <w:wordWrap/>
                    <w:overflowPunct/>
                    <w:topLinePunct w:val="0"/>
                    <w:bidi w:val="0"/>
                    <w:adjustRightInd/>
                    <w:snapToGrid/>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
                      <w:bCs/>
                      <w:color w:val="auto"/>
                      <w:sz w:val="21"/>
                      <w:szCs w:val="21"/>
                      <w:lang w:val="en-US" w:eastAsia="zh-CN"/>
                    </w:rPr>
                    <w:t>注：项目距离国控站点（金坛城区）直线距离约</w:t>
                  </w:r>
                  <w:r>
                    <w:rPr>
                      <w:rFonts w:hint="eastAsia" w:ascii="Times New Roman" w:hAnsi="Times New Roman" w:eastAsia="宋体" w:cs="Times New Roman"/>
                      <w:b/>
                      <w:bCs/>
                      <w:color w:val="auto"/>
                      <w:sz w:val="21"/>
                      <w:szCs w:val="21"/>
                      <w:lang w:val="en-US" w:eastAsia="zh-CN"/>
                    </w:rPr>
                    <w:t>9.1</w:t>
                  </w:r>
                  <w:r>
                    <w:rPr>
                      <w:rFonts w:hint="default" w:ascii="Times New Roman" w:hAnsi="Times New Roman" w:eastAsia="宋体" w:cs="Times New Roman"/>
                      <w:b/>
                      <w:bCs/>
                      <w:color w:val="auto"/>
                      <w:sz w:val="21"/>
                      <w:szCs w:val="21"/>
                      <w:lang w:val="en-US" w:eastAsia="zh-CN"/>
                    </w:rPr>
                    <w:t>km，距离省控站点（金坛监测站）</w:t>
                  </w:r>
                  <w:r>
                    <w:rPr>
                      <w:rFonts w:hint="eastAsia" w:ascii="Times New Roman" w:hAnsi="Times New Roman" w:eastAsia="宋体" w:cs="Times New Roman"/>
                      <w:b/>
                      <w:bCs/>
                      <w:color w:val="auto"/>
                      <w:sz w:val="21"/>
                      <w:szCs w:val="21"/>
                      <w:lang w:val="en-US" w:eastAsia="zh-CN"/>
                    </w:rPr>
                    <w:t>8.4</w:t>
                  </w:r>
                  <w:r>
                    <w:rPr>
                      <w:rFonts w:hint="default" w:ascii="Times New Roman" w:hAnsi="Times New Roman" w:eastAsia="宋体" w:cs="Times New Roman"/>
                      <w:b/>
                      <w:bCs/>
                      <w:color w:val="auto"/>
                      <w:sz w:val="21"/>
                      <w:szCs w:val="21"/>
                      <w:lang w:val="en-US" w:eastAsia="zh-CN"/>
                    </w:rPr>
                    <w:t>km，不在常州市空气质量监测国控、省控站点位置信息。</w:t>
                  </w:r>
                </w:p>
              </w:tc>
            </w:tr>
          </w:tbl>
          <w:p w14:paraId="2B395DFD">
            <w:pPr>
              <w:tabs>
                <w:tab w:val="left" w:pos="6510"/>
              </w:tabs>
              <w:adjustRightInd w:val="0"/>
              <w:snapToGrid w:val="0"/>
              <w:jc w:val="center"/>
              <w:rPr>
                <w:rFonts w:hint="default" w:ascii="Times New Roman" w:hAnsi="Times New Roman" w:eastAsia="宋体" w:cs="Times New Roman"/>
                <w:b/>
                <w:bCs/>
                <w:color w:val="auto"/>
                <w:sz w:val="24"/>
                <w:szCs w:val="24"/>
              </w:rPr>
            </w:pPr>
          </w:p>
          <w:p w14:paraId="6025BC5A">
            <w:pPr>
              <w:tabs>
                <w:tab w:val="left" w:pos="6510"/>
              </w:tabs>
              <w:adjustRightInd w:val="0"/>
              <w:snapToGrid w:val="0"/>
              <w:jc w:val="center"/>
              <w:rPr>
                <w:rFonts w:hint="default" w:ascii="Times New Roman" w:hAnsi="Times New Roman" w:eastAsia="宋体" w:cs="Times New Roman"/>
                <w:b/>
                <w:bCs/>
                <w:color w:val="auto"/>
                <w:sz w:val="24"/>
                <w:szCs w:val="24"/>
              </w:rPr>
            </w:pPr>
          </w:p>
          <w:p w14:paraId="1C9F0BAC">
            <w:pPr>
              <w:spacing w:line="360" w:lineRule="auto"/>
              <w:ind w:firstLine="480" w:firstLineChars="200"/>
              <w:rPr>
                <w:rFonts w:hint="default" w:ascii="Times New Roman" w:hAnsi="Times New Roman" w:eastAsia="宋体" w:cs="Times New Roman"/>
                <w:color w:val="auto"/>
                <w:sz w:val="24"/>
              </w:rPr>
            </w:pPr>
          </w:p>
          <w:p w14:paraId="123F54CA">
            <w:pPr>
              <w:spacing w:line="360" w:lineRule="auto"/>
              <w:rPr>
                <w:rFonts w:hint="default" w:ascii="Times New Roman" w:hAnsi="Times New Roman" w:eastAsia="宋体" w:cs="Times New Roman"/>
                <w:color w:val="auto"/>
                <w:sz w:val="24"/>
              </w:rPr>
            </w:pPr>
          </w:p>
        </w:tc>
      </w:tr>
      <w:tr w14:paraId="18F50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66" w:hRule="atLeast"/>
        </w:trPr>
        <w:tc>
          <w:tcPr>
            <w:tcW w:w="418" w:type="pct"/>
            <w:vAlign w:val="center"/>
          </w:tcPr>
          <w:p w14:paraId="5D74FA4D">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污染物排放控制标准</w:t>
            </w:r>
          </w:p>
        </w:tc>
        <w:tc>
          <w:tcPr>
            <w:tcW w:w="4581" w:type="pct"/>
          </w:tcPr>
          <w:p w14:paraId="13F619B2">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1、废气</w:t>
            </w:r>
          </w:p>
          <w:p w14:paraId="11AD7846">
            <w:pPr>
              <w:spacing w:line="360" w:lineRule="auto"/>
              <w:ind w:firstLine="480" w:firstLineChars="200"/>
              <w:rPr>
                <w:rFonts w:hint="default" w:ascii="Times New Roman" w:hAnsi="Times New Roman" w:eastAsia="宋体" w:cs="Times New Roman"/>
                <w:color w:val="FF0000"/>
                <w:sz w:val="24"/>
                <w:lang w:val="en-US" w:eastAsia="zh-CN"/>
              </w:rPr>
            </w:pPr>
            <w:r>
              <w:rPr>
                <w:rFonts w:hint="default" w:ascii="Times New Roman" w:hAnsi="Times New Roman" w:eastAsia="宋体" w:cs="Times New Roman"/>
                <w:color w:val="FF0000"/>
                <w:sz w:val="24"/>
              </w:rPr>
              <w:t>本项目</w:t>
            </w:r>
            <w:r>
              <w:rPr>
                <w:rFonts w:hint="eastAsia" w:ascii="Times New Roman" w:hAnsi="Times New Roman" w:eastAsia="宋体" w:cs="Times New Roman"/>
                <w:color w:val="FF0000"/>
                <w:sz w:val="24"/>
                <w:lang w:val="en-US" w:eastAsia="zh-CN"/>
              </w:rPr>
              <w:t>清洗</w:t>
            </w:r>
            <w:r>
              <w:rPr>
                <w:rFonts w:hint="default" w:ascii="Times New Roman" w:hAnsi="Times New Roman" w:eastAsia="宋体" w:cs="Times New Roman"/>
                <w:color w:val="FF0000"/>
                <w:sz w:val="24"/>
                <w:lang w:val="en-US" w:eastAsia="zh-CN"/>
              </w:rPr>
              <w:t>工序产生的废气（非甲烷总烃）</w:t>
            </w:r>
            <w:r>
              <w:rPr>
                <w:rFonts w:hint="eastAsia" w:ascii="Times New Roman" w:hAnsi="Times New Roman" w:eastAsia="宋体" w:cs="Times New Roman"/>
                <w:color w:val="FF0000"/>
                <w:sz w:val="24"/>
                <w:lang w:val="en-US" w:eastAsia="zh-CN"/>
              </w:rPr>
              <w:t>、淬火回火工序产生的废气（颗粒物、非甲烷总烃）和喷砂工序产生的废气（颗粒物）</w:t>
            </w:r>
            <w:r>
              <w:rPr>
                <w:rFonts w:hint="default" w:ascii="Times New Roman" w:hAnsi="Times New Roman" w:eastAsia="宋体" w:cs="Times New Roman"/>
                <w:color w:val="FF0000"/>
                <w:sz w:val="24"/>
                <w:lang w:val="en-US" w:eastAsia="zh-CN"/>
              </w:rPr>
              <w:t>排放执行江苏省地标</w:t>
            </w:r>
            <w:r>
              <w:rPr>
                <w:rFonts w:hint="default" w:ascii="Times New Roman" w:hAnsi="Times New Roman" w:eastAsia="宋体" w:cs="Times New Roman"/>
                <w:color w:val="FF0000"/>
                <w:sz w:val="24"/>
              </w:rPr>
              <w:t>《大气污染物综合排放标准》</w:t>
            </w:r>
            <w:r>
              <w:rPr>
                <w:rFonts w:hint="default" w:ascii="Times New Roman" w:hAnsi="Times New Roman" w:eastAsia="宋体" w:cs="Times New Roman"/>
                <w:color w:val="FF0000"/>
                <w:sz w:val="24"/>
                <w:lang w:eastAsia="zh-CN"/>
              </w:rPr>
              <w:t>（</w:t>
            </w:r>
            <w:r>
              <w:rPr>
                <w:rFonts w:hint="default" w:ascii="Times New Roman" w:hAnsi="Times New Roman" w:eastAsia="宋体" w:cs="Times New Roman"/>
                <w:color w:val="FF0000"/>
                <w:sz w:val="24"/>
              </w:rPr>
              <w:t>DB32/4041-2021</w:t>
            </w:r>
            <w:r>
              <w:rPr>
                <w:rFonts w:hint="default" w:ascii="Times New Roman" w:hAnsi="Times New Roman" w:eastAsia="宋体" w:cs="Times New Roman"/>
                <w:color w:val="FF0000"/>
                <w:sz w:val="24"/>
                <w:lang w:eastAsia="zh-CN"/>
              </w:rPr>
              <w:t>）表1中大气污染物有组织排放限值</w:t>
            </w:r>
            <w:r>
              <w:rPr>
                <w:rFonts w:hint="default" w:ascii="Times New Roman" w:hAnsi="Times New Roman" w:eastAsia="宋体" w:cs="Times New Roman"/>
                <w:color w:val="FF0000"/>
                <w:sz w:val="24"/>
                <w:lang w:val="en-US" w:eastAsia="zh-CN"/>
              </w:rPr>
              <w:t>；</w:t>
            </w:r>
            <w:r>
              <w:rPr>
                <w:rFonts w:hint="eastAsia" w:ascii="Times New Roman" w:hAnsi="Times New Roman" w:eastAsia="宋体" w:cs="Times New Roman"/>
                <w:color w:val="FF0000"/>
                <w:sz w:val="24"/>
                <w:lang w:val="en-US" w:eastAsia="zh-CN"/>
              </w:rPr>
              <w:t>氮化工序产生的氨气和臭气浓度执行《恶臭污染物排放标准》（GB 14554-93）表2标准；</w:t>
            </w:r>
          </w:p>
          <w:p w14:paraId="1FD73502">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厂界非甲烷总烃、颗粒物执行《大气污染物综合排放标准》（DB32/4041-2021）表3中单位边界大气污染物排放监控浓度限值</w:t>
            </w:r>
            <w:r>
              <w:rPr>
                <w:rFonts w:hint="eastAsia" w:ascii="Times New Roman" w:hAnsi="Times New Roman" w:eastAsia="宋体" w:cs="Times New Roman"/>
                <w:color w:val="auto"/>
                <w:sz w:val="24"/>
                <w:lang w:val="en-US" w:eastAsia="zh-CN"/>
              </w:rPr>
              <w:t>；氨气执行《恶臭污染物排放标准》（GB 14554-93）表1标准</w:t>
            </w:r>
            <w:r>
              <w:rPr>
                <w:rFonts w:hint="default" w:ascii="Times New Roman" w:hAnsi="Times New Roman" w:eastAsia="宋体" w:cs="Times New Roman"/>
                <w:color w:val="auto"/>
                <w:sz w:val="24"/>
                <w:lang w:val="en-US" w:eastAsia="zh-CN"/>
              </w:rPr>
              <w:t>。</w:t>
            </w:r>
          </w:p>
          <w:p w14:paraId="71625D2C">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厂区内非甲烷总烃无组织排放浓度执行《大气污染物综合排放标准》（DB32/4041-2021）表2中厂区内VOCs无组织排放限值。</w:t>
            </w:r>
          </w:p>
          <w:p w14:paraId="74BF595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具体标准值见表</w:t>
            </w:r>
            <w:r>
              <w:rPr>
                <w:rFonts w:hint="eastAsia" w:ascii="Times New Roman" w:hAnsi="Times New Roman" w:eastAsia="宋体" w:cs="Times New Roman"/>
                <w:color w:val="auto"/>
                <w:sz w:val="24"/>
                <w:lang w:val="en-US" w:eastAsia="zh-CN"/>
              </w:rPr>
              <w:t>3-6、表3-7和表3-8</w:t>
            </w:r>
            <w:r>
              <w:rPr>
                <w:rFonts w:hint="default" w:ascii="Times New Roman" w:hAnsi="Times New Roman" w:eastAsia="宋体" w:cs="Times New Roman"/>
                <w:color w:val="auto"/>
                <w:sz w:val="24"/>
              </w:rPr>
              <w:t>。</w:t>
            </w:r>
          </w:p>
          <w:p w14:paraId="2F6837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 xml:space="preserve">表3-6  </w:t>
            </w:r>
            <w:r>
              <w:rPr>
                <w:rFonts w:hint="eastAsia" w:ascii="Times New Roman" w:hAnsi="Times New Roman" w:eastAsia="宋体" w:cs="Times New Roman"/>
                <w:b/>
                <w:bCs/>
                <w:color w:val="auto"/>
                <w:sz w:val="24"/>
                <w:szCs w:val="24"/>
                <w:lang w:val="en-US" w:eastAsia="zh-CN"/>
              </w:rPr>
              <w:t>有组织</w:t>
            </w:r>
            <w:r>
              <w:rPr>
                <w:rFonts w:hint="default" w:ascii="Times New Roman" w:hAnsi="Times New Roman" w:eastAsia="宋体" w:cs="Times New Roman"/>
                <w:b/>
                <w:bCs/>
                <w:color w:val="auto"/>
                <w:sz w:val="24"/>
                <w:szCs w:val="24"/>
                <w:lang w:val="en-US" w:eastAsia="zh-CN"/>
              </w:rPr>
              <w:t>大气污染物排放标准</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88"/>
              <w:gridCol w:w="1901"/>
              <w:gridCol w:w="2677"/>
            </w:tblGrid>
            <w:tr w14:paraId="2EC1D5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0" w:type="pct"/>
                  <w:tcBorders>
                    <w:tl2br w:val="nil"/>
                    <w:tr2bl w:val="nil"/>
                  </w:tcBorders>
                  <w:noWrap w:val="0"/>
                  <w:vAlign w:val="center"/>
                </w:tcPr>
                <w:p w14:paraId="5197D534">
                  <w:pPr>
                    <w:pStyle w:val="8"/>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1319" w:type="pct"/>
                  <w:tcBorders>
                    <w:tl2br w:val="nil"/>
                    <w:tr2bl w:val="nil"/>
                  </w:tcBorders>
                  <w:noWrap w:val="0"/>
                  <w:vAlign w:val="center"/>
                </w:tcPr>
                <w:p w14:paraId="2297FBC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kern w:val="2"/>
                      <w:sz w:val="21"/>
                      <w:szCs w:val="21"/>
                    </w:rPr>
                    <w:t>最高允许排放浓度（</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kern w:val="2"/>
                      <w:sz w:val="21"/>
                      <w:szCs w:val="21"/>
                    </w:rPr>
                    <w:t>）</w:t>
                  </w:r>
                </w:p>
              </w:tc>
              <w:tc>
                <w:tcPr>
                  <w:tcW w:w="1146" w:type="pct"/>
                  <w:tcBorders>
                    <w:tl2br w:val="nil"/>
                    <w:tr2bl w:val="nil"/>
                  </w:tcBorders>
                  <w:noWrap w:val="0"/>
                  <w:vAlign w:val="center"/>
                </w:tcPr>
                <w:p w14:paraId="3A1195C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kern w:val="2"/>
                      <w:sz w:val="21"/>
                      <w:szCs w:val="21"/>
                    </w:rPr>
                  </w:pPr>
                  <w:r>
                    <w:rPr>
                      <w:rFonts w:hint="default" w:ascii="Times New Roman" w:hAnsi="Times New Roman" w:eastAsia="宋体" w:cs="Times New Roman"/>
                      <w:b/>
                      <w:bCs/>
                      <w:color w:val="auto"/>
                      <w:kern w:val="2"/>
                      <w:sz w:val="21"/>
                      <w:szCs w:val="21"/>
                    </w:rPr>
                    <w:t>最高允许排放速率kg/h</w:t>
                  </w:r>
                </w:p>
              </w:tc>
              <w:tc>
                <w:tcPr>
                  <w:tcW w:w="1614" w:type="pct"/>
                  <w:tcBorders>
                    <w:tl2br w:val="nil"/>
                    <w:tr2bl w:val="nil"/>
                  </w:tcBorders>
                  <w:noWrap w:val="0"/>
                  <w:vAlign w:val="center"/>
                </w:tcPr>
                <w:p w14:paraId="4CA8EFE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w:t>
                  </w:r>
                </w:p>
              </w:tc>
            </w:tr>
            <w:tr w14:paraId="1E549F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0" w:type="pct"/>
                  <w:tcBorders>
                    <w:tl2br w:val="nil"/>
                    <w:tr2bl w:val="nil"/>
                  </w:tcBorders>
                  <w:noWrap w:val="0"/>
                  <w:vAlign w:val="center"/>
                </w:tcPr>
                <w:p w14:paraId="7BF0F5F7">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default" w:ascii="Times New Roman" w:hAnsi="Times New Roman" w:eastAsia="宋体" w:cs="Times New Roman"/>
                      <w:color w:val="auto"/>
                      <w:kern w:val="2"/>
                      <w:sz w:val="21"/>
                      <w:szCs w:val="21"/>
                      <w:u w:val="none"/>
                      <w:shd w:val="clear" w:color="auto" w:fill="auto"/>
                      <w:lang w:val="en-US" w:eastAsia="zh-CN" w:bidi="ar-SA"/>
                    </w:rPr>
                    <w:t>非甲烷总烃</w:t>
                  </w:r>
                </w:p>
              </w:tc>
              <w:tc>
                <w:tcPr>
                  <w:tcW w:w="1319" w:type="pct"/>
                  <w:tcBorders>
                    <w:tl2br w:val="nil"/>
                    <w:tr2bl w:val="nil"/>
                  </w:tcBorders>
                  <w:noWrap w:val="0"/>
                  <w:vAlign w:val="center"/>
                </w:tcPr>
                <w:p w14:paraId="687076E9">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60</w:t>
                  </w:r>
                </w:p>
              </w:tc>
              <w:tc>
                <w:tcPr>
                  <w:tcW w:w="1146" w:type="pct"/>
                  <w:tcBorders>
                    <w:tl2br w:val="nil"/>
                    <w:tr2bl w:val="nil"/>
                  </w:tcBorders>
                  <w:noWrap w:val="0"/>
                  <w:vAlign w:val="center"/>
                </w:tcPr>
                <w:p w14:paraId="5308EB6A">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3</w:t>
                  </w:r>
                </w:p>
              </w:tc>
              <w:tc>
                <w:tcPr>
                  <w:tcW w:w="1614" w:type="pct"/>
                  <w:vMerge w:val="restart"/>
                  <w:tcBorders>
                    <w:tl2br w:val="nil"/>
                    <w:tr2bl w:val="nil"/>
                  </w:tcBorders>
                  <w:noWrap w:val="0"/>
                  <w:vAlign w:val="center"/>
                </w:tcPr>
                <w:p w14:paraId="48F69C3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江苏省地标《大气污染物综合排放标准》（DB32/4041-2021）</w:t>
                  </w:r>
                </w:p>
              </w:tc>
            </w:tr>
            <w:tr w14:paraId="2A7058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0" w:type="pct"/>
                  <w:tcBorders>
                    <w:tl2br w:val="nil"/>
                    <w:tr2bl w:val="nil"/>
                  </w:tcBorders>
                  <w:noWrap w:val="0"/>
                  <w:vAlign w:val="center"/>
                </w:tcPr>
                <w:p w14:paraId="2128A705">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颗粒物</w:t>
                  </w:r>
                </w:p>
              </w:tc>
              <w:tc>
                <w:tcPr>
                  <w:tcW w:w="1319" w:type="pct"/>
                  <w:tcBorders>
                    <w:tl2br w:val="nil"/>
                    <w:tr2bl w:val="nil"/>
                  </w:tcBorders>
                  <w:noWrap w:val="0"/>
                  <w:vAlign w:val="center"/>
                </w:tcPr>
                <w:p w14:paraId="342BD372">
                  <w:pPr>
                    <w:widowControl/>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仿宋" w:cs="Times New Roman"/>
                      <w:color w:val="auto"/>
                      <w:szCs w:val="22"/>
                    </w:rPr>
                    <w:t>20</w:t>
                  </w:r>
                </w:p>
              </w:tc>
              <w:tc>
                <w:tcPr>
                  <w:tcW w:w="1146" w:type="pct"/>
                  <w:tcBorders>
                    <w:tl2br w:val="nil"/>
                    <w:tr2bl w:val="nil"/>
                  </w:tcBorders>
                  <w:noWrap w:val="0"/>
                  <w:vAlign w:val="center"/>
                </w:tcPr>
                <w:p w14:paraId="73AC5E6F">
                  <w:pPr>
                    <w:widowControl/>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1614" w:type="pct"/>
                  <w:vMerge w:val="continue"/>
                  <w:tcBorders>
                    <w:tl2br w:val="nil"/>
                    <w:tr2bl w:val="nil"/>
                  </w:tcBorders>
                  <w:noWrap w:val="0"/>
                  <w:vAlign w:val="center"/>
                </w:tcPr>
                <w:p w14:paraId="7138D167">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p>
              </w:tc>
            </w:tr>
            <w:tr w14:paraId="6E38D2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0" w:type="pct"/>
                  <w:tcBorders>
                    <w:tl2br w:val="nil"/>
                    <w:tr2bl w:val="nil"/>
                  </w:tcBorders>
                  <w:noWrap w:val="0"/>
                  <w:vAlign w:val="center"/>
                </w:tcPr>
                <w:p w14:paraId="7B50005E">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氨气</w:t>
                  </w:r>
                </w:p>
              </w:tc>
              <w:tc>
                <w:tcPr>
                  <w:tcW w:w="1319" w:type="pct"/>
                  <w:tcBorders>
                    <w:tl2br w:val="nil"/>
                    <w:tr2bl w:val="nil"/>
                  </w:tcBorders>
                  <w:noWrap w:val="0"/>
                  <w:vAlign w:val="center"/>
                </w:tcPr>
                <w:p w14:paraId="020B4CC5">
                  <w:pPr>
                    <w:widowControl/>
                    <w:adjustRightInd w:val="0"/>
                    <w:snapToGrid w:val="0"/>
                    <w:jc w:val="center"/>
                    <w:rPr>
                      <w:rFonts w:hint="eastAsia" w:ascii="Times New Roman" w:hAnsi="Times New Roman" w:eastAsia="仿宋" w:cs="Times New Roman"/>
                      <w:color w:val="auto"/>
                      <w:szCs w:val="22"/>
                      <w:lang w:val="en-US" w:eastAsia="zh-CN"/>
                    </w:rPr>
                  </w:pPr>
                  <w:r>
                    <w:rPr>
                      <w:rFonts w:hint="eastAsia" w:ascii="Times New Roman" w:hAnsi="Times New Roman" w:eastAsia="仿宋" w:cs="Times New Roman"/>
                      <w:color w:val="auto"/>
                      <w:szCs w:val="22"/>
                      <w:lang w:val="en-US" w:eastAsia="zh-CN"/>
                    </w:rPr>
                    <w:t>/</w:t>
                  </w:r>
                </w:p>
              </w:tc>
              <w:tc>
                <w:tcPr>
                  <w:tcW w:w="1146" w:type="pct"/>
                  <w:tcBorders>
                    <w:tl2br w:val="nil"/>
                    <w:tr2bl w:val="nil"/>
                  </w:tcBorders>
                  <w:noWrap w:val="0"/>
                  <w:vAlign w:val="center"/>
                </w:tcPr>
                <w:p w14:paraId="784FAC79">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8.7</w:t>
                  </w:r>
                </w:p>
              </w:tc>
              <w:tc>
                <w:tcPr>
                  <w:tcW w:w="1614" w:type="pct"/>
                  <w:vMerge w:val="restart"/>
                  <w:tcBorders>
                    <w:tl2br w:val="nil"/>
                    <w:tr2bl w:val="nil"/>
                  </w:tcBorders>
                  <w:noWrap w:val="0"/>
                  <w:vAlign w:val="center"/>
                </w:tcPr>
                <w:p w14:paraId="1742005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《恶臭污染物排放标准》（GB 14554-93）</w:t>
                  </w:r>
                  <w:r>
                    <w:rPr>
                      <w:rFonts w:hint="eastAsia" w:ascii="Times New Roman" w:hAnsi="Times New Roman" w:eastAsia="宋体" w:cs="Times New Roman"/>
                      <w:bCs/>
                      <w:color w:val="auto"/>
                      <w:sz w:val="21"/>
                      <w:szCs w:val="21"/>
                      <w:lang w:val="en-US" w:eastAsia="zh-CN"/>
                    </w:rPr>
                    <w:t>表2</w:t>
                  </w:r>
                </w:p>
              </w:tc>
            </w:tr>
            <w:tr w14:paraId="439D9D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920" w:type="pct"/>
                  <w:tcBorders>
                    <w:tl2br w:val="nil"/>
                    <w:tr2bl w:val="nil"/>
                  </w:tcBorders>
                  <w:noWrap w:val="0"/>
                  <w:vAlign w:val="center"/>
                </w:tcPr>
                <w:p w14:paraId="44C3466C">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臭气浓度</w:t>
                  </w:r>
                </w:p>
              </w:tc>
              <w:tc>
                <w:tcPr>
                  <w:tcW w:w="1319" w:type="pct"/>
                  <w:tcBorders>
                    <w:tl2br w:val="nil"/>
                    <w:tr2bl w:val="nil"/>
                  </w:tcBorders>
                  <w:noWrap w:val="0"/>
                  <w:vAlign w:val="center"/>
                </w:tcPr>
                <w:p w14:paraId="37DC6D1A">
                  <w:pPr>
                    <w:widowControl/>
                    <w:adjustRightInd w:val="0"/>
                    <w:snapToGrid w:val="0"/>
                    <w:jc w:val="center"/>
                    <w:rPr>
                      <w:rFonts w:hint="default" w:ascii="Times New Roman" w:hAnsi="Times New Roman" w:eastAsia="仿宋" w:cs="Times New Roman"/>
                      <w:color w:val="auto"/>
                      <w:szCs w:val="22"/>
                      <w:lang w:val="en-US" w:eastAsia="zh-CN"/>
                    </w:rPr>
                  </w:pPr>
                  <w:r>
                    <w:rPr>
                      <w:rFonts w:hint="eastAsia" w:ascii="Times New Roman" w:hAnsi="Times New Roman" w:eastAsia="宋体" w:cs="Times New Roman"/>
                      <w:color w:val="auto"/>
                      <w:szCs w:val="22"/>
                      <w:lang w:val="en-US" w:eastAsia="zh-CN"/>
                    </w:rPr>
                    <w:t>6</w:t>
                  </w:r>
                  <w:r>
                    <w:rPr>
                      <w:rFonts w:hint="default" w:ascii="Times New Roman" w:hAnsi="Times New Roman" w:eastAsia="宋体" w:cs="Times New Roman"/>
                      <w:color w:val="auto"/>
                      <w:szCs w:val="22"/>
                      <w:lang w:val="en-US" w:eastAsia="zh-CN"/>
                    </w:rPr>
                    <w:t>000（无量纲）</w:t>
                  </w:r>
                </w:p>
              </w:tc>
              <w:tc>
                <w:tcPr>
                  <w:tcW w:w="1146" w:type="pct"/>
                  <w:tcBorders>
                    <w:tl2br w:val="nil"/>
                    <w:tr2bl w:val="nil"/>
                  </w:tcBorders>
                  <w:noWrap w:val="0"/>
                  <w:vAlign w:val="center"/>
                </w:tcPr>
                <w:p w14:paraId="53602706">
                  <w:pPr>
                    <w:widowControl/>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614" w:type="pct"/>
                  <w:vMerge w:val="continue"/>
                  <w:tcBorders>
                    <w:tl2br w:val="nil"/>
                    <w:tr2bl w:val="nil"/>
                  </w:tcBorders>
                  <w:noWrap w:val="0"/>
                  <w:vAlign w:val="center"/>
                </w:tcPr>
                <w:p w14:paraId="1E6D6F6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p>
              </w:tc>
            </w:tr>
          </w:tbl>
          <w:p w14:paraId="4DD171EB">
            <w:pPr>
              <w:keepNext w:val="0"/>
              <w:keepLines w:val="0"/>
              <w:pageBreakBefore w:val="0"/>
              <w:widowControl w:val="0"/>
              <w:kinsoku/>
              <w:wordWrap/>
              <w:overflowPunct/>
              <w:topLinePunct w:val="0"/>
              <w:autoSpaceDE/>
              <w:autoSpaceDN/>
              <w:bidi w:val="0"/>
              <w:adjustRightInd w:val="0"/>
              <w:snapToGrid w:val="0"/>
              <w:spacing w:before="120" w:line="240" w:lineRule="auto"/>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7</w:t>
            </w:r>
            <w:r>
              <w:rPr>
                <w:rFonts w:hint="default" w:ascii="Times New Roman" w:hAnsi="Times New Roman" w:eastAsia="宋体" w:cs="Times New Roman"/>
                <w:b/>
                <w:bCs/>
                <w:color w:val="auto"/>
                <w:sz w:val="24"/>
                <w:szCs w:val="24"/>
                <w:lang w:val="en-US" w:eastAsia="zh-CN"/>
              </w:rPr>
              <w:t xml:space="preserve">  </w:t>
            </w:r>
            <w:r>
              <w:rPr>
                <w:rFonts w:hint="eastAsia" w:ascii="Times New Roman" w:hAnsi="Times New Roman" w:eastAsia="宋体" w:cs="Times New Roman"/>
                <w:b/>
                <w:bCs/>
                <w:color w:val="auto"/>
                <w:sz w:val="24"/>
                <w:szCs w:val="24"/>
                <w:lang w:val="en-US" w:eastAsia="zh-CN"/>
              </w:rPr>
              <w:t>无组织</w:t>
            </w:r>
            <w:r>
              <w:rPr>
                <w:rFonts w:hint="default" w:ascii="Times New Roman" w:hAnsi="Times New Roman" w:eastAsia="宋体" w:cs="Times New Roman"/>
                <w:b/>
                <w:bCs/>
                <w:color w:val="auto"/>
                <w:sz w:val="24"/>
                <w:szCs w:val="24"/>
                <w:lang w:val="en-US" w:eastAsia="zh-CN"/>
              </w:rPr>
              <w:t>大气污染物排放标准</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2037"/>
              <w:gridCol w:w="2435"/>
              <w:gridCol w:w="2435"/>
            </w:tblGrid>
            <w:tr w14:paraId="563FFA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noWrap w:val="0"/>
                  <w:vAlign w:val="center"/>
                </w:tcPr>
                <w:p w14:paraId="1D0AC1E5">
                  <w:pPr>
                    <w:pStyle w:val="8"/>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污染物</w:t>
                  </w:r>
                </w:p>
              </w:tc>
              <w:tc>
                <w:tcPr>
                  <w:tcW w:w="1228" w:type="pct"/>
                  <w:tcBorders>
                    <w:tl2br w:val="nil"/>
                    <w:tr2bl w:val="nil"/>
                  </w:tcBorders>
                  <w:noWrap w:val="0"/>
                  <w:vAlign w:val="center"/>
                </w:tcPr>
                <w:p w14:paraId="6CB1DF95">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无组织排放监控浓度</w:t>
                  </w:r>
                  <w:r>
                    <w:rPr>
                      <w:rFonts w:hint="default" w:ascii="Times New Roman" w:hAnsi="Times New Roman" w:eastAsia="宋体" w:cs="Times New Roman"/>
                      <w:b/>
                      <w:bCs/>
                      <w:color w:val="auto"/>
                      <w:kern w:val="2"/>
                      <w:sz w:val="21"/>
                      <w:szCs w:val="21"/>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kern w:val="2"/>
                      <w:sz w:val="21"/>
                      <w:szCs w:val="21"/>
                    </w:rPr>
                    <w:t>）</w:t>
                  </w:r>
                </w:p>
              </w:tc>
              <w:tc>
                <w:tcPr>
                  <w:tcW w:w="1468" w:type="pct"/>
                  <w:tcBorders>
                    <w:tl2br w:val="nil"/>
                    <w:tr2bl w:val="nil"/>
                  </w:tcBorders>
                  <w:noWrap w:val="0"/>
                  <w:vAlign w:val="center"/>
                </w:tcPr>
                <w:p w14:paraId="6D8E58D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监控位置</w:t>
                  </w:r>
                </w:p>
              </w:tc>
              <w:tc>
                <w:tcPr>
                  <w:tcW w:w="1468" w:type="pct"/>
                  <w:tcBorders>
                    <w:tl2br w:val="nil"/>
                    <w:tr2bl w:val="nil"/>
                  </w:tcBorders>
                  <w:noWrap w:val="0"/>
                  <w:vAlign w:val="center"/>
                </w:tcPr>
                <w:p w14:paraId="0F1204CF">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标准</w:t>
                  </w:r>
                </w:p>
              </w:tc>
            </w:tr>
            <w:tr w14:paraId="5E1F65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noWrap w:val="0"/>
                  <w:vAlign w:val="center"/>
                </w:tcPr>
                <w:p w14:paraId="2C0A7664">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default" w:ascii="Times New Roman" w:hAnsi="Times New Roman" w:eastAsia="宋体" w:cs="Times New Roman"/>
                      <w:color w:val="auto"/>
                      <w:kern w:val="2"/>
                      <w:sz w:val="21"/>
                      <w:szCs w:val="21"/>
                      <w:u w:val="none"/>
                      <w:shd w:val="clear" w:color="auto" w:fill="auto"/>
                      <w:lang w:val="en-US" w:eastAsia="zh-CN" w:bidi="ar-SA"/>
                    </w:rPr>
                    <w:t>非甲烷总烃</w:t>
                  </w:r>
                </w:p>
              </w:tc>
              <w:tc>
                <w:tcPr>
                  <w:tcW w:w="1228" w:type="pct"/>
                  <w:tcBorders>
                    <w:tl2br w:val="nil"/>
                    <w:tr2bl w:val="nil"/>
                  </w:tcBorders>
                  <w:noWrap w:val="0"/>
                  <w:vAlign w:val="center"/>
                </w:tcPr>
                <w:p w14:paraId="30D31F66">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4.0</w:t>
                  </w:r>
                </w:p>
              </w:tc>
              <w:tc>
                <w:tcPr>
                  <w:tcW w:w="1468" w:type="pct"/>
                  <w:vMerge w:val="restart"/>
                  <w:tcBorders>
                    <w:tl2br w:val="nil"/>
                    <w:tr2bl w:val="nil"/>
                  </w:tcBorders>
                  <w:noWrap w:val="0"/>
                  <w:vAlign w:val="center"/>
                </w:tcPr>
                <w:p w14:paraId="207CA42B">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边界外浓度最高点</w:t>
                  </w:r>
                </w:p>
              </w:tc>
              <w:tc>
                <w:tcPr>
                  <w:tcW w:w="1468" w:type="pct"/>
                  <w:vMerge w:val="restart"/>
                  <w:tcBorders>
                    <w:tl2br w:val="nil"/>
                    <w:tr2bl w:val="nil"/>
                  </w:tcBorders>
                  <w:noWrap w:val="0"/>
                  <w:vAlign w:val="center"/>
                </w:tcPr>
                <w:p w14:paraId="49FDCA40">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江苏省地标《大气污染物综合排放标准》（DB32/4041-2021）</w:t>
                  </w:r>
                </w:p>
              </w:tc>
            </w:tr>
            <w:tr w14:paraId="566D00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noWrap w:val="0"/>
                  <w:vAlign w:val="center"/>
                </w:tcPr>
                <w:p w14:paraId="34816D2C">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颗粒物</w:t>
                  </w:r>
                </w:p>
              </w:tc>
              <w:tc>
                <w:tcPr>
                  <w:tcW w:w="1228" w:type="pct"/>
                  <w:tcBorders>
                    <w:tl2br w:val="nil"/>
                    <w:tr2bl w:val="nil"/>
                  </w:tcBorders>
                  <w:noWrap w:val="0"/>
                  <w:vAlign w:val="center"/>
                </w:tcPr>
                <w:p w14:paraId="13684EE4">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0.5</w:t>
                  </w:r>
                </w:p>
              </w:tc>
              <w:tc>
                <w:tcPr>
                  <w:tcW w:w="1468" w:type="pct"/>
                  <w:vMerge w:val="continue"/>
                  <w:tcBorders>
                    <w:tl2br w:val="nil"/>
                    <w:tr2bl w:val="nil"/>
                  </w:tcBorders>
                  <w:noWrap w:val="0"/>
                  <w:vAlign w:val="center"/>
                </w:tcPr>
                <w:p w14:paraId="24A67AC1">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eastAsia" w:ascii="Times New Roman" w:hAnsi="Times New Roman" w:eastAsia="宋体" w:cs="Times New Roman"/>
                      <w:bCs/>
                      <w:color w:val="auto"/>
                      <w:sz w:val="21"/>
                      <w:szCs w:val="21"/>
                      <w:lang w:val="en-US" w:eastAsia="zh-CN"/>
                    </w:rPr>
                  </w:pPr>
                </w:p>
              </w:tc>
              <w:tc>
                <w:tcPr>
                  <w:tcW w:w="1468" w:type="pct"/>
                  <w:vMerge w:val="continue"/>
                  <w:tcBorders>
                    <w:tl2br w:val="nil"/>
                    <w:tr2bl w:val="nil"/>
                  </w:tcBorders>
                  <w:noWrap w:val="0"/>
                  <w:vAlign w:val="center"/>
                </w:tcPr>
                <w:p w14:paraId="688CBA2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p>
              </w:tc>
            </w:tr>
            <w:tr w14:paraId="03278F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834" w:type="pct"/>
                  <w:tcBorders>
                    <w:tl2br w:val="nil"/>
                    <w:tr2bl w:val="nil"/>
                  </w:tcBorders>
                  <w:noWrap w:val="0"/>
                  <w:vAlign w:val="center"/>
                </w:tcPr>
                <w:p w14:paraId="655EFE0F">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氨气</w:t>
                  </w:r>
                </w:p>
              </w:tc>
              <w:tc>
                <w:tcPr>
                  <w:tcW w:w="1228" w:type="pct"/>
                  <w:tcBorders>
                    <w:tl2br w:val="nil"/>
                    <w:tr2bl w:val="nil"/>
                  </w:tcBorders>
                  <w:noWrap w:val="0"/>
                  <w:vAlign w:val="center"/>
                </w:tcPr>
                <w:p w14:paraId="689EE378">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1.5</w:t>
                  </w:r>
                </w:p>
              </w:tc>
              <w:tc>
                <w:tcPr>
                  <w:tcW w:w="1468" w:type="pct"/>
                  <w:tcBorders>
                    <w:tl2br w:val="nil"/>
                    <w:tr2bl w:val="nil"/>
                  </w:tcBorders>
                  <w:noWrap w:val="0"/>
                  <w:vAlign w:val="center"/>
                </w:tcPr>
                <w:p w14:paraId="7533217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468" w:type="pct"/>
                  <w:vMerge w:val="restart"/>
                  <w:tcBorders>
                    <w:tl2br w:val="nil"/>
                    <w:tr2bl w:val="nil"/>
                  </w:tcBorders>
                  <w:noWrap w:val="0"/>
                  <w:vAlign w:val="center"/>
                </w:tcPr>
                <w:p w14:paraId="2D6FB7B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《恶臭污染物排放标准》（GB 14554-93）</w:t>
                  </w:r>
                  <w:r>
                    <w:rPr>
                      <w:rFonts w:hint="eastAsia" w:ascii="Times New Roman" w:hAnsi="Times New Roman" w:eastAsia="宋体" w:cs="Times New Roman"/>
                      <w:bCs/>
                      <w:color w:val="auto"/>
                      <w:sz w:val="21"/>
                      <w:szCs w:val="21"/>
                      <w:lang w:val="en-US" w:eastAsia="zh-CN"/>
                    </w:rPr>
                    <w:t>表1</w:t>
                  </w:r>
                </w:p>
              </w:tc>
            </w:tr>
            <w:tr w14:paraId="7FB290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34" w:type="pct"/>
                  <w:tcBorders>
                    <w:tl2br w:val="nil"/>
                    <w:tr2bl w:val="nil"/>
                  </w:tcBorders>
                  <w:noWrap w:val="0"/>
                  <w:vAlign w:val="center"/>
                </w:tcPr>
                <w:p w14:paraId="6FDF10C0">
                  <w:pPr>
                    <w:pStyle w:val="58"/>
                    <w:keepNext w:val="0"/>
                    <w:keepLines w:val="0"/>
                    <w:pageBreakBefore w:val="0"/>
                    <w:widowControl w:val="0"/>
                    <w:kinsoku/>
                    <w:wordWrap/>
                    <w:overflowPunct/>
                    <w:topLinePunct w:val="0"/>
                    <w:autoSpaceDE/>
                    <w:autoSpaceDN/>
                    <w:bidi w:val="0"/>
                    <w:adjustRightInd w:val="0"/>
                    <w:snapToGrid/>
                    <w:spacing w:before="0" w:line="240" w:lineRule="auto"/>
                    <w:jc w:val="center"/>
                    <w:textAlignment w:val="auto"/>
                    <w:rPr>
                      <w:rFonts w:hint="default" w:ascii="Times New Roman" w:hAnsi="Times New Roman" w:eastAsia="宋体" w:cs="Times New Roman"/>
                      <w:color w:val="auto"/>
                      <w:kern w:val="2"/>
                      <w:sz w:val="21"/>
                      <w:szCs w:val="21"/>
                      <w:u w:val="none"/>
                      <w:shd w:val="clear" w:color="auto" w:fill="auto"/>
                      <w:lang w:val="en-US" w:eastAsia="zh-CN" w:bidi="ar-SA"/>
                    </w:rPr>
                  </w:pPr>
                  <w:r>
                    <w:rPr>
                      <w:rFonts w:hint="eastAsia" w:ascii="Times New Roman" w:hAnsi="Times New Roman" w:eastAsia="宋体" w:cs="Times New Roman"/>
                      <w:color w:val="auto"/>
                      <w:kern w:val="2"/>
                      <w:sz w:val="21"/>
                      <w:szCs w:val="21"/>
                      <w:u w:val="none"/>
                      <w:shd w:val="clear" w:color="auto" w:fill="auto"/>
                      <w:lang w:val="en-US" w:eastAsia="zh-CN" w:bidi="ar-SA"/>
                    </w:rPr>
                    <w:t>臭气浓度</w:t>
                  </w:r>
                </w:p>
              </w:tc>
              <w:tc>
                <w:tcPr>
                  <w:tcW w:w="1228" w:type="pct"/>
                  <w:tcBorders>
                    <w:tl2br w:val="nil"/>
                    <w:tr2bl w:val="nil"/>
                  </w:tcBorders>
                  <w:noWrap w:val="0"/>
                  <w:vAlign w:val="center"/>
                </w:tcPr>
                <w:p w14:paraId="749652CC">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20（无量纲）</w:t>
                  </w:r>
                </w:p>
              </w:tc>
              <w:tc>
                <w:tcPr>
                  <w:tcW w:w="1468" w:type="pct"/>
                  <w:tcBorders>
                    <w:tl2br w:val="nil"/>
                    <w:tr2bl w:val="nil"/>
                  </w:tcBorders>
                  <w:noWrap w:val="0"/>
                  <w:vAlign w:val="center"/>
                </w:tcPr>
                <w:p w14:paraId="1DFC2269">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c>
                <w:tcPr>
                  <w:tcW w:w="1468" w:type="pct"/>
                  <w:vMerge w:val="continue"/>
                  <w:tcBorders>
                    <w:tl2br w:val="nil"/>
                    <w:tr2bl w:val="nil"/>
                  </w:tcBorders>
                  <w:noWrap w:val="0"/>
                  <w:vAlign w:val="center"/>
                </w:tcPr>
                <w:p w14:paraId="14DC270A">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Cs/>
                      <w:color w:val="auto"/>
                      <w:sz w:val="21"/>
                      <w:szCs w:val="21"/>
                      <w:lang w:val="en-US" w:eastAsia="zh-CN"/>
                    </w:rPr>
                  </w:pPr>
                </w:p>
              </w:tc>
            </w:tr>
          </w:tbl>
          <w:p w14:paraId="56A65B91">
            <w:pPr>
              <w:keepNext w:val="0"/>
              <w:keepLines w:val="0"/>
              <w:pageBreakBefore w:val="0"/>
              <w:widowControl w:val="0"/>
              <w:kinsoku/>
              <w:wordWrap/>
              <w:overflowPunct/>
              <w:topLinePunct w:val="0"/>
              <w:autoSpaceDE/>
              <w:autoSpaceDN/>
              <w:bidi w:val="0"/>
              <w:adjustRightInd w:val="0"/>
              <w:snapToGrid w:val="0"/>
              <w:spacing w:before="120" w:line="240" w:lineRule="auto"/>
              <w:ind w:left="0" w:leftChars="0" w:firstLine="0" w:firstLineChars="0"/>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表3-</w:t>
            </w:r>
            <w:r>
              <w:rPr>
                <w:rFonts w:hint="eastAsia" w:ascii="Times New Roman" w:hAnsi="Times New Roman" w:eastAsia="宋体" w:cs="Times New Roman"/>
                <w:b/>
                <w:bCs/>
                <w:color w:val="auto"/>
                <w:sz w:val="24"/>
                <w:szCs w:val="24"/>
                <w:lang w:val="en-US" w:eastAsia="zh-CN"/>
              </w:rPr>
              <w:t>8</w:t>
            </w:r>
            <w:r>
              <w:rPr>
                <w:rFonts w:hint="default" w:ascii="Times New Roman" w:hAnsi="Times New Roman" w:eastAsia="宋体" w:cs="Times New Roman"/>
                <w:b/>
                <w:bCs/>
                <w:color w:val="auto"/>
                <w:sz w:val="24"/>
                <w:szCs w:val="24"/>
                <w:lang w:val="en-US" w:eastAsia="zh-CN"/>
              </w:rPr>
              <w:t xml:space="preserve">  厂区内VOCs无组织排放限值</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1316"/>
              <w:gridCol w:w="2214"/>
              <w:gridCol w:w="2621"/>
              <w:gridCol w:w="2140"/>
            </w:tblGrid>
            <w:tr w14:paraId="125626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noWrap w:val="0"/>
                  <w:vAlign w:val="center"/>
                </w:tcPr>
                <w:p w14:paraId="4078332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污染物项目</w:t>
                  </w:r>
                </w:p>
              </w:tc>
              <w:tc>
                <w:tcPr>
                  <w:tcW w:w="1335" w:type="pct"/>
                  <w:noWrap w:val="0"/>
                  <w:vAlign w:val="center"/>
                </w:tcPr>
                <w:p w14:paraId="50C38B4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特别排放限值</w:t>
                  </w: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rPr>
                    <w:t>mg/m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lang w:val="en-US" w:eastAsia="zh-CN"/>
                    </w:rPr>
                    <w:t>）</w:t>
                  </w:r>
                </w:p>
              </w:tc>
              <w:tc>
                <w:tcPr>
                  <w:tcW w:w="1580" w:type="pct"/>
                  <w:noWrap w:val="0"/>
                  <w:vAlign w:val="center"/>
                </w:tcPr>
                <w:p w14:paraId="4AB3E69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限值含义</w:t>
                  </w:r>
                </w:p>
              </w:tc>
              <w:tc>
                <w:tcPr>
                  <w:tcW w:w="1290" w:type="pct"/>
                  <w:noWrap w:val="0"/>
                  <w:vAlign w:val="center"/>
                </w:tcPr>
                <w:p w14:paraId="72589D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无组织排放监控位置</w:t>
                  </w:r>
                </w:p>
              </w:tc>
            </w:tr>
            <w:tr w14:paraId="54B148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vMerge w:val="restart"/>
                  <w:noWrap w:val="0"/>
                  <w:vAlign w:val="center"/>
                </w:tcPr>
                <w:p w14:paraId="4F9D99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1335" w:type="pct"/>
                  <w:noWrap w:val="0"/>
                  <w:vAlign w:val="center"/>
                </w:tcPr>
                <w:p w14:paraId="2FD57C4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1580" w:type="pct"/>
                  <w:noWrap w:val="0"/>
                  <w:vAlign w:val="center"/>
                </w:tcPr>
                <w:p w14:paraId="36A7302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监控点处1h平均浓度值</w:t>
                  </w:r>
                </w:p>
              </w:tc>
              <w:tc>
                <w:tcPr>
                  <w:tcW w:w="1290" w:type="pct"/>
                  <w:vMerge w:val="restart"/>
                  <w:noWrap w:val="0"/>
                  <w:vAlign w:val="center"/>
                </w:tcPr>
                <w:p w14:paraId="44A39FC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在厂房外设置监控点</w:t>
                  </w:r>
                </w:p>
              </w:tc>
            </w:tr>
            <w:tr w14:paraId="372F6E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312" w:hRule="atLeast"/>
                <w:jc w:val="center"/>
              </w:trPr>
              <w:tc>
                <w:tcPr>
                  <w:tcW w:w="794" w:type="pct"/>
                  <w:vMerge w:val="continue"/>
                  <w:noWrap w:val="0"/>
                  <w:vAlign w:val="center"/>
                </w:tcPr>
                <w:p w14:paraId="7E562C3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c>
                <w:tcPr>
                  <w:tcW w:w="1335" w:type="pct"/>
                  <w:noWrap w:val="0"/>
                  <w:vAlign w:val="center"/>
                </w:tcPr>
                <w:p w14:paraId="637534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20</w:t>
                  </w:r>
                </w:p>
              </w:tc>
              <w:tc>
                <w:tcPr>
                  <w:tcW w:w="1580" w:type="pct"/>
                  <w:noWrap w:val="0"/>
                  <w:vAlign w:val="center"/>
                </w:tcPr>
                <w:p w14:paraId="5A3269B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监控点处任意一次浓度值</w:t>
                  </w:r>
                </w:p>
              </w:tc>
              <w:tc>
                <w:tcPr>
                  <w:tcW w:w="1290" w:type="pct"/>
                  <w:vMerge w:val="continue"/>
                  <w:noWrap w:val="0"/>
                  <w:vAlign w:val="center"/>
                </w:tcPr>
                <w:p w14:paraId="292E433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rPr>
                  </w:pPr>
                </w:p>
              </w:tc>
            </w:tr>
          </w:tbl>
          <w:p w14:paraId="1F7E8606">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2、废水</w:t>
            </w:r>
          </w:p>
          <w:p w14:paraId="408566C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外排废水主要为生活污水，经化粪池预处理后接管至</w:t>
            </w:r>
            <w:r>
              <w:rPr>
                <w:rFonts w:hint="default" w:ascii="Times New Roman" w:hAnsi="Times New Roman" w:eastAsia="宋体" w:cs="Times New Roman"/>
                <w:color w:val="auto"/>
                <w:sz w:val="24"/>
              </w:rPr>
              <w:t>常州市金坛区第二污水处理厂</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接管废水</w:t>
            </w:r>
            <w:r>
              <w:rPr>
                <w:rFonts w:hint="default" w:ascii="Times New Roman" w:hAnsi="Times New Roman" w:eastAsia="宋体" w:cs="Times New Roman"/>
                <w:color w:val="auto"/>
                <w:sz w:val="24"/>
              </w:rPr>
              <w:t>执行金坛区第二污水处理厂</w:t>
            </w:r>
            <w:r>
              <w:rPr>
                <w:rFonts w:hint="eastAsia" w:ascii="Times New Roman" w:hAnsi="Times New Roman" w:eastAsia="宋体" w:cs="Times New Roman"/>
                <w:color w:val="auto"/>
                <w:sz w:val="24"/>
                <w:lang w:val="en-US" w:eastAsia="zh-CN"/>
              </w:rPr>
              <w:t>接管标准</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常州市金坛区第二污水处理厂处理后尾水排入尧塘河，排放标准执行《城镇污水处理厂污染物排放标准》</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GB18918-2002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中一级A标准以及《太湖地区城镇污水处理厂及重点行业主要水污染物排放限值》（DB32/T1072-2018）中表2城镇污水处理标准，标准值参见下表。</w:t>
            </w:r>
          </w:p>
          <w:p w14:paraId="790ED1C0">
            <w:pPr>
              <w:jc w:val="center"/>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rPr>
              <w:t>表3-</w:t>
            </w:r>
            <w:r>
              <w:rPr>
                <w:rFonts w:hint="eastAsia" w:ascii="Times New Roman" w:hAnsi="Times New Roman" w:eastAsia="宋体" w:cs="Times New Roman"/>
                <w:b/>
                <w:color w:val="auto"/>
                <w:sz w:val="24"/>
                <w:lang w:val="en-US" w:eastAsia="zh-CN"/>
              </w:rPr>
              <w:t>9</w:t>
            </w:r>
            <w:r>
              <w:rPr>
                <w:rFonts w:hint="default" w:ascii="Times New Roman" w:hAnsi="Times New Roman" w:eastAsia="宋体" w:cs="Times New Roman"/>
                <w:b/>
                <w:color w:val="auto"/>
                <w:sz w:val="24"/>
              </w:rPr>
              <w:t xml:space="preserve">  废水排放标准 （单位：mg/L</w:t>
            </w:r>
            <w:r>
              <w:rPr>
                <w:rFonts w:hint="default" w:ascii="Times New Roman" w:hAnsi="Times New Roman" w:eastAsia="宋体" w:cs="Times New Roman"/>
                <w:b/>
                <w:color w:val="auto"/>
                <w:sz w:val="24"/>
                <w:lang w:eastAsia="zh-CN"/>
              </w:rPr>
              <w:t>）</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187"/>
              <w:gridCol w:w="3512"/>
              <w:gridCol w:w="1000"/>
              <w:gridCol w:w="1281"/>
              <w:gridCol w:w="1314"/>
            </w:tblGrid>
            <w:tr w14:paraId="610B06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tcBorders>
                    <w:tl2br w:val="nil"/>
                    <w:tr2bl w:val="nil"/>
                  </w:tcBorders>
                  <w:tcMar>
                    <w:top w:w="0" w:type="dxa"/>
                    <w:left w:w="108" w:type="dxa"/>
                    <w:bottom w:w="0" w:type="dxa"/>
                    <w:right w:w="108" w:type="dxa"/>
                  </w:tcMar>
                  <w:vAlign w:val="center"/>
                </w:tcPr>
                <w:p w14:paraId="2E3A3DD8">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类别</w:t>
                  </w:r>
                </w:p>
              </w:tc>
              <w:tc>
                <w:tcPr>
                  <w:tcW w:w="2117" w:type="pct"/>
                  <w:tcBorders>
                    <w:tl2br w:val="nil"/>
                    <w:tr2bl w:val="nil"/>
                  </w:tcBorders>
                  <w:tcMar>
                    <w:top w:w="0" w:type="dxa"/>
                    <w:left w:w="108" w:type="dxa"/>
                    <w:bottom w:w="0" w:type="dxa"/>
                    <w:right w:w="108" w:type="dxa"/>
                  </w:tcMar>
                  <w:vAlign w:val="center"/>
                </w:tcPr>
                <w:p w14:paraId="5439158B">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执行标准</w:t>
                  </w:r>
                </w:p>
              </w:tc>
              <w:tc>
                <w:tcPr>
                  <w:tcW w:w="603" w:type="pct"/>
                  <w:tcBorders>
                    <w:tl2br w:val="nil"/>
                    <w:tr2bl w:val="nil"/>
                  </w:tcBorders>
                  <w:tcMar>
                    <w:top w:w="0" w:type="dxa"/>
                    <w:left w:w="108" w:type="dxa"/>
                    <w:bottom w:w="0" w:type="dxa"/>
                    <w:right w:w="108" w:type="dxa"/>
                  </w:tcMar>
                  <w:vAlign w:val="center"/>
                </w:tcPr>
                <w:p w14:paraId="7A270615">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标准</w:t>
                  </w:r>
                </w:p>
                <w:p w14:paraId="382EF659">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级别</w:t>
                  </w:r>
                </w:p>
              </w:tc>
              <w:tc>
                <w:tcPr>
                  <w:tcW w:w="772" w:type="pct"/>
                  <w:tcBorders>
                    <w:tl2br w:val="nil"/>
                    <w:tr2bl w:val="nil"/>
                  </w:tcBorders>
                  <w:tcMar>
                    <w:top w:w="0" w:type="dxa"/>
                    <w:left w:w="108" w:type="dxa"/>
                    <w:bottom w:w="0" w:type="dxa"/>
                    <w:right w:w="108" w:type="dxa"/>
                  </w:tcMar>
                  <w:vAlign w:val="center"/>
                </w:tcPr>
                <w:p w14:paraId="3E7AAEBE">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指标</w:t>
                  </w:r>
                </w:p>
              </w:tc>
              <w:tc>
                <w:tcPr>
                  <w:tcW w:w="792" w:type="pct"/>
                  <w:tcBorders>
                    <w:tl2br w:val="nil"/>
                    <w:tr2bl w:val="nil"/>
                  </w:tcBorders>
                  <w:tcMar>
                    <w:top w:w="0" w:type="dxa"/>
                    <w:left w:w="108" w:type="dxa"/>
                    <w:bottom w:w="0" w:type="dxa"/>
                    <w:right w:w="108" w:type="dxa"/>
                  </w:tcMar>
                  <w:vAlign w:val="center"/>
                </w:tcPr>
                <w:p w14:paraId="4550BCD8">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标准限值</w:t>
                  </w:r>
                </w:p>
              </w:tc>
            </w:tr>
            <w:tr w14:paraId="0548E1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restart"/>
                  <w:tcBorders>
                    <w:tl2br w:val="nil"/>
                    <w:tr2bl w:val="nil"/>
                  </w:tcBorders>
                  <w:tcMar>
                    <w:top w:w="0" w:type="dxa"/>
                    <w:left w:w="108" w:type="dxa"/>
                    <w:bottom w:w="0" w:type="dxa"/>
                    <w:right w:w="108" w:type="dxa"/>
                  </w:tcMar>
                  <w:vAlign w:val="center"/>
                </w:tcPr>
                <w:p w14:paraId="2ECED8FF">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接管标准</w:t>
                  </w:r>
                </w:p>
              </w:tc>
              <w:tc>
                <w:tcPr>
                  <w:tcW w:w="2117" w:type="pct"/>
                  <w:vMerge w:val="restart"/>
                  <w:tcBorders>
                    <w:tl2br w:val="nil"/>
                    <w:tr2bl w:val="nil"/>
                  </w:tcBorders>
                  <w:tcMar>
                    <w:top w:w="0" w:type="dxa"/>
                    <w:left w:w="108" w:type="dxa"/>
                    <w:bottom w:w="0" w:type="dxa"/>
                    <w:right w:w="108" w:type="dxa"/>
                  </w:tcMar>
                  <w:vAlign w:val="center"/>
                </w:tcPr>
                <w:p w14:paraId="076214D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金坛区第二污水处理厂</w:t>
                  </w:r>
                  <w:r>
                    <w:rPr>
                      <w:rFonts w:hint="default" w:ascii="Times New Roman" w:hAnsi="Times New Roman" w:eastAsia="宋体" w:cs="Times New Roman"/>
                      <w:color w:val="auto"/>
                      <w:lang w:val="en-US" w:eastAsia="zh-CN"/>
                    </w:rPr>
                    <w:t>接管标准</w:t>
                  </w:r>
                </w:p>
              </w:tc>
              <w:tc>
                <w:tcPr>
                  <w:tcW w:w="603" w:type="pct"/>
                  <w:vMerge w:val="restart"/>
                  <w:tcBorders>
                    <w:tl2br w:val="nil"/>
                    <w:tr2bl w:val="nil"/>
                  </w:tcBorders>
                  <w:tcMar>
                    <w:top w:w="0" w:type="dxa"/>
                    <w:left w:w="108" w:type="dxa"/>
                    <w:bottom w:w="0" w:type="dxa"/>
                    <w:right w:w="108" w:type="dxa"/>
                  </w:tcMar>
                  <w:vAlign w:val="center"/>
                </w:tcPr>
                <w:p w14:paraId="10D11A45">
                  <w:pPr>
                    <w:jc w:val="center"/>
                    <w:rPr>
                      <w:rFonts w:hint="eastAsia" w:ascii="Times New Roman" w:hAnsi="Times New Roman" w:eastAsia="宋体" w:cs="Times New Roman"/>
                      <w:color w:val="auto"/>
                      <w:lang w:eastAsia="zh-CN"/>
                    </w:rPr>
                  </w:pPr>
                  <w:r>
                    <w:rPr>
                      <w:rFonts w:hint="eastAsia" w:ascii="Times New Roman" w:hAnsi="Times New Roman" w:eastAsia="宋体" w:cs="Times New Roman"/>
                      <w:color w:val="auto"/>
                      <w:lang w:val="en-US" w:eastAsia="zh-CN"/>
                    </w:rPr>
                    <w:t>/</w:t>
                  </w:r>
                </w:p>
              </w:tc>
              <w:tc>
                <w:tcPr>
                  <w:tcW w:w="772" w:type="pct"/>
                  <w:tcBorders>
                    <w:tl2br w:val="nil"/>
                    <w:tr2bl w:val="nil"/>
                  </w:tcBorders>
                  <w:tcMar>
                    <w:top w:w="0" w:type="dxa"/>
                    <w:left w:w="108" w:type="dxa"/>
                    <w:bottom w:w="0" w:type="dxa"/>
                    <w:right w:w="108" w:type="dxa"/>
                  </w:tcMar>
                  <w:vAlign w:val="center"/>
                </w:tcPr>
                <w:p w14:paraId="04B79B1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pH</w:t>
                  </w:r>
                </w:p>
              </w:tc>
              <w:tc>
                <w:tcPr>
                  <w:tcW w:w="792" w:type="pct"/>
                  <w:tcBorders>
                    <w:tl2br w:val="nil"/>
                    <w:tr2bl w:val="nil"/>
                  </w:tcBorders>
                  <w:tcMar>
                    <w:top w:w="0" w:type="dxa"/>
                    <w:left w:w="108" w:type="dxa"/>
                    <w:bottom w:w="0" w:type="dxa"/>
                    <w:right w:w="108" w:type="dxa"/>
                  </w:tcMar>
                  <w:vAlign w:val="center"/>
                </w:tcPr>
                <w:p w14:paraId="7F4FF13D">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6.5~9.5</w:t>
                  </w:r>
                </w:p>
              </w:tc>
            </w:tr>
            <w:tr w14:paraId="63EBC7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13D90FF8">
                  <w:pPr>
                    <w:jc w:val="center"/>
                    <w:rPr>
                      <w:rFonts w:hint="default" w:ascii="Times New Roman" w:hAnsi="Times New Roman" w:eastAsia="宋体" w:cs="Times New Roman"/>
                      <w:color w:val="auto"/>
                    </w:rPr>
                  </w:pPr>
                </w:p>
              </w:tc>
              <w:tc>
                <w:tcPr>
                  <w:tcW w:w="2117" w:type="pct"/>
                  <w:vMerge w:val="continue"/>
                  <w:tcBorders>
                    <w:tl2br w:val="nil"/>
                    <w:tr2bl w:val="nil"/>
                  </w:tcBorders>
                  <w:tcMar>
                    <w:top w:w="0" w:type="dxa"/>
                    <w:left w:w="108" w:type="dxa"/>
                    <w:bottom w:w="0" w:type="dxa"/>
                    <w:right w:w="108" w:type="dxa"/>
                  </w:tcMar>
                  <w:vAlign w:val="center"/>
                </w:tcPr>
                <w:p w14:paraId="2CD7C19E">
                  <w:pPr>
                    <w:jc w:val="center"/>
                    <w:rPr>
                      <w:rFonts w:hint="default" w:ascii="Times New Roman" w:hAnsi="Times New Roman" w:eastAsia="宋体" w:cs="Times New Roman"/>
                      <w:color w:val="auto"/>
                    </w:rPr>
                  </w:pPr>
                </w:p>
              </w:tc>
              <w:tc>
                <w:tcPr>
                  <w:tcW w:w="603" w:type="pct"/>
                  <w:vMerge w:val="continue"/>
                  <w:tcBorders>
                    <w:tl2br w:val="nil"/>
                    <w:tr2bl w:val="nil"/>
                  </w:tcBorders>
                  <w:tcMar>
                    <w:top w:w="0" w:type="dxa"/>
                    <w:left w:w="108" w:type="dxa"/>
                    <w:bottom w:w="0" w:type="dxa"/>
                    <w:right w:w="108" w:type="dxa"/>
                  </w:tcMar>
                  <w:vAlign w:val="center"/>
                </w:tcPr>
                <w:p w14:paraId="2274DB05">
                  <w:pPr>
                    <w:jc w:val="center"/>
                    <w:rPr>
                      <w:rFonts w:hint="default" w:ascii="Times New Roman" w:hAnsi="Times New Roman" w:eastAsia="宋体" w:cs="Times New Roman"/>
                      <w:color w:val="auto"/>
                    </w:rPr>
                  </w:pPr>
                </w:p>
              </w:tc>
              <w:tc>
                <w:tcPr>
                  <w:tcW w:w="1281" w:type="dxa"/>
                  <w:tcBorders>
                    <w:tl2br w:val="nil"/>
                    <w:tr2bl w:val="nil"/>
                  </w:tcBorders>
                  <w:tcMar>
                    <w:top w:w="0" w:type="dxa"/>
                    <w:left w:w="108" w:type="dxa"/>
                    <w:bottom w:w="0" w:type="dxa"/>
                    <w:right w:w="108" w:type="dxa"/>
                  </w:tcMar>
                  <w:vAlign w:val="center"/>
                </w:tcPr>
                <w:p w14:paraId="5C1C414D">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COD</w:t>
                  </w:r>
                </w:p>
              </w:tc>
              <w:tc>
                <w:tcPr>
                  <w:tcW w:w="1314" w:type="dxa"/>
                  <w:tcBorders>
                    <w:tl2br w:val="nil"/>
                    <w:tr2bl w:val="nil"/>
                  </w:tcBorders>
                  <w:tcMar>
                    <w:top w:w="0" w:type="dxa"/>
                    <w:left w:w="108" w:type="dxa"/>
                    <w:bottom w:w="0" w:type="dxa"/>
                    <w:right w:w="108" w:type="dxa"/>
                  </w:tcMar>
                  <w:vAlign w:val="center"/>
                </w:tcPr>
                <w:p w14:paraId="383E8119">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500</w:t>
                  </w:r>
                </w:p>
              </w:tc>
            </w:tr>
            <w:tr w14:paraId="55468F4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3DAF9146">
                  <w:pPr>
                    <w:jc w:val="center"/>
                    <w:rPr>
                      <w:rFonts w:hint="default" w:ascii="Times New Roman" w:hAnsi="Times New Roman" w:eastAsia="宋体" w:cs="Times New Roman"/>
                      <w:color w:val="auto"/>
                    </w:rPr>
                  </w:pPr>
                </w:p>
              </w:tc>
              <w:tc>
                <w:tcPr>
                  <w:tcW w:w="2117" w:type="pct"/>
                  <w:vMerge w:val="continue"/>
                  <w:tcBorders>
                    <w:tl2br w:val="nil"/>
                    <w:tr2bl w:val="nil"/>
                  </w:tcBorders>
                  <w:tcMar>
                    <w:top w:w="0" w:type="dxa"/>
                    <w:left w:w="108" w:type="dxa"/>
                    <w:bottom w:w="0" w:type="dxa"/>
                    <w:right w:w="108" w:type="dxa"/>
                  </w:tcMar>
                  <w:vAlign w:val="center"/>
                </w:tcPr>
                <w:p w14:paraId="41EF5F5A">
                  <w:pPr>
                    <w:jc w:val="center"/>
                    <w:rPr>
                      <w:rFonts w:hint="default" w:ascii="Times New Roman" w:hAnsi="Times New Roman" w:eastAsia="宋体" w:cs="Times New Roman"/>
                      <w:color w:val="auto"/>
                    </w:rPr>
                  </w:pPr>
                </w:p>
              </w:tc>
              <w:tc>
                <w:tcPr>
                  <w:tcW w:w="603" w:type="pct"/>
                  <w:vMerge w:val="continue"/>
                  <w:tcBorders>
                    <w:tl2br w:val="nil"/>
                    <w:tr2bl w:val="nil"/>
                  </w:tcBorders>
                  <w:tcMar>
                    <w:top w:w="0" w:type="dxa"/>
                    <w:left w:w="108" w:type="dxa"/>
                    <w:bottom w:w="0" w:type="dxa"/>
                    <w:right w:w="108" w:type="dxa"/>
                  </w:tcMar>
                  <w:vAlign w:val="center"/>
                </w:tcPr>
                <w:p w14:paraId="15107756">
                  <w:pPr>
                    <w:jc w:val="center"/>
                    <w:rPr>
                      <w:rFonts w:hint="default" w:ascii="Times New Roman" w:hAnsi="Times New Roman" w:eastAsia="宋体" w:cs="Times New Roman"/>
                      <w:color w:val="auto"/>
                    </w:rPr>
                  </w:pPr>
                </w:p>
              </w:tc>
              <w:tc>
                <w:tcPr>
                  <w:tcW w:w="1281" w:type="dxa"/>
                  <w:tcBorders>
                    <w:tl2br w:val="nil"/>
                    <w:tr2bl w:val="nil"/>
                  </w:tcBorders>
                  <w:tcMar>
                    <w:top w:w="0" w:type="dxa"/>
                    <w:left w:w="108" w:type="dxa"/>
                    <w:bottom w:w="0" w:type="dxa"/>
                    <w:right w:w="108" w:type="dxa"/>
                  </w:tcMar>
                  <w:vAlign w:val="center"/>
                </w:tcPr>
                <w:p w14:paraId="184E0A6D">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SS</w:t>
                  </w:r>
                </w:p>
              </w:tc>
              <w:tc>
                <w:tcPr>
                  <w:tcW w:w="1314" w:type="dxa"/>
                  <w:tcBorders>
                    <w:tl2br w:val="nil"/>
                    <w:tr2bl w:val="nil"/>
                  </w:tcBorders>
                  <w:tcMar>
                    <w:top w:w="0" w:type="dxa"/>
                    <w:left w:w="108" w:type="dxa"/>
                    <w:bottom w:w="0" w:type="dxa"/>
                    <w:right w:w="108" w:type="dxa"/>
                  </w:tcMar>
                  <w:vAlign w:val="center"/>
                </w:tcPr>
                <w:p w14:paraId="24697841">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250</w:t>
                  </w:r>
                </w:p>
              </w:tc>
            </w:tr>
            <w:tr w14:paraId="5DE4F37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3620A306">
                  <w:pPr>
                    <w:jc w:val="center"/>
                    <w:rPr>
                      <w:rFonts w:hint="default" w:ascii="Times New Roman" w:hAnsi="Times New Roman" w:eastAsia="宋体" w:cs="Times New Roman"/>
                      <w:color w:val="auto"/>
                    </w:rPr>
                  </w:pPr>
                </w:p>
              </w:tc>
              <w:tc>
                <w:tcPr>
                  <w:tcW w:w="2117" w:type="pct"/>
                  <w:vMerge w:val="continue"/>
                  <w:tcBorders>
                    <w:tl2br w:val="nil"/>
                    <w:tr2bl w:val="nil"/>
                  </w:tcBorders>
                  <w:tcMar>
                    <w:top w:w="0" w:type="dxa"/>
                    <w:left w:w="108" w:type="dxa"/>
                    <w:bottom w:w="0" w:type="dxa"/>
                    <w:right w:w="108" w:type="dxa"/>
                  </w:tcMar>
                  <w:vAlign w:val="center"/>
                </w:tcPr>
                <w:p w14:paraId="645F5BDA">
                  <w:pPr>
                    <w:jc w:val="center"/>
                    <w:rPr>
                      <w:rFonts w:hint="default" w:ascii="Times New Roman" w:hAnsi="Times New Roman" w:eastAsia="宋体" w:cs="Times New Roman"/>
                      <w:color w:val="auto"/>
                    </w:rPr>
                  </w:pPr>
                </w:p>
              </w:tc>
              <w:tc>
                <w:tcPr>
                  <w:tcW w:w="603" w:type="pct"/>
                  <w:vMerge w:val="continue"/>
                  <w:tcBorders>
                    <w:tl2br w:val="nil"/>
                    <w:tr2bl w:val="nil"/>
                  </w:tcBorders>
                  <w:tcMar>
                    <w:top w:w="0" w:type="dxa"/>
                    <w:left w:w="108" w:type="dxa"/>
                    <w:bottom w:w="0" w:type="dxa"/>
                    <w:right w:w="108" w:type="dxa"/>
                  </w:tcMar>
                  <w:vAlign w:val="center"/>
                </w:tcPr>
                <w:p w14:paraId="29F7A3D6">
                  <w:pPr>
                    <w:jc w:val="center"/>
                    <w:rPr>
                      <w:rFonts w:hint="default" w:ascii="Times New Roman" w:hAnsi="Times New Roman" w:eastAsia="宋体" w:cs="Times New Roman"/>
                      <w:color w:val="auto"/>
                    </w:rPr>
                  </w:pPr>
                </w:p>
              </w:tc>
              <w:tc>
                <w:tcPr>
                  <w:tcW w:w="1281" w:type="dxa"/>
                  <w:tcBorders>
                    <w:tl2br w:val="nil"/>
                    <w:tr2bl w:val="nil"/>
                  </w:tcBorders>
                  <w:tcMar>
                    <w:top w:w="0" w:type="dxa"/>
                    <w:left w:w="108" w:type="dxa"/>
                    <w:bottom w:w="0" w:type="dxa"/>
                    <w:right w:w="108" w:type="dxa"/>
                  </w:tcMar>
                  <w:vAlign w:val="center"/>
                </w:tcPr>
                <w:p w14:paraId="26E8B41C">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NH</w:t>
                  </w:r>
                  <w:r>
                    <w:rPr>
                      <w:rFonts w:hint="default" w:ascii="Times New Roman" w:hAnsi="Times New Roman" w:eastAsia="仿宋" w:cs="Times New Roman"/>
                      <w:bCs/>
                      <w:color w:val="auto"/>
                      <w:szCs w:val="21"/>
                      <w:vertAlign w:val="subscript"/>
                    </w:rPr>
                    <w:t>3</w:t>
                  </w:r>
                  <w:r>
                    <w:rPr>
                      <w:rFonts w:hint="default" w:ascii="Times New Roman" w:hAnsi="Times New Roman" w:eastAsia="仿宋" w:cs="Times New Roman"/>
                      <w:bCs/>
                      <w:color w:val="auto"/>
                      <w:szCs w:val="21"/>
                    </w:rPr>
                    <w:t>-N</w:t>
                  </w:r>
                </w:p>
              </w:tc>
              <w:tc>
                <w:tcPr>
                  <w:tcW w:w="1314" w:type="dxa"/>
                  <w:tcBorders>
                    <w:tl2br w:val="nil"/>
                    <w:tr2bl w:val="nil"/>
                  </w:tcBorders>
                  <w:tcMar>
                    <w:top w:w="0" w:type="dxa"/>
                    <w:left w:w="108" w:type="dxa"/>
                    <w:bottom w:w="0" w:type="dxa"/>
                    <w:right w:w="108" w:type="dxa"/>
                  </w:tcMar>
                  <w:vAlign w:val="center"/>
                </w:tcPr>
                <w:p w14:paraId="341EDA5F">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35</w:t>
                  </w:r>
                </w:p>
              </w:tc>
            </w:tr>
            <w:tr w14:paraId="1E7B1E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24C68904">
                  <w:pPr>
                    <w:jc w:val="center"/>
                    <w:rPr>
                      <w:rFonts w:hint="default" w:ascii="Times New Roman" w:hAnsi="Times New Roman" w:eastAsia="宋体" w:cs="Times New Roman"/>
                      <w:color w:val="auto"/>
                    </w:rPr>
                  </w:pPr>
                </w:p>
              </w:tc>
              <w:tc>
                <w:tcPr>
                  <w:tcW w:w="2117" w:type="pct"/>
                  <w:vMerge w:val="continue"/>
                  <w:tcBorders>
                    <w:tl2br w:val="nil"/>
                    <w:tr2bl w:val="nil"/>
                  </w:tcBorders>
                  <w:tcMar>
                    <w:top w:w="0" w:type="dxa"/>
                    <w:left w:w="108" w:type="dxa"/>
                    <w:bottom w:w="0" w:type="dxa"/>
                    <w:right w:w="108" w:type="dxa"/>
                  </w:tcMar>
                  <w:vAlign w:val="center"/>
                </w:tcPr>
                <w:p w14:paraId="1B8696DA">
                  <w:pPr>
                    <w:jc w:val="center"/>
                    <w:rPr>
                      <w:rFonts w:hint="default" w:ascii="Times New Roman" w:hAnsi="Times New Roman" w:eastAsia="宋体" w:cs="Times New Roman"/>
                      <w:color w:val="auto"/>
                    </w:rPr>
                  </w:pPr>
                </w:p>
              </w:tc>
              <w:tc>
                <w:tcPr>
                  <w:tcW w:w="603" w:type="pct"/>
                  <w:vMerge w:val="continue"/>
                  <w:tcBorders>
                    <w:tl2br w:val="nil"/>
                    <w:tr2bl w:val="nil"/>
                  </w:tcBorders>
                  <w:tcMar>
                    <w:top w:w="0" w:type="dxa"/>
                    <w:left w:w="108" w:type="dxa"/>
                    <w:bottom w:w="0" w:type="dxa"/>
                    <w:right w:w="108" w:type="dxa"/>
                  </w:tcMar>
                  <w:vAlign w:val="center"/>
                </w:tcPr>
                <w:p w14:paraId="557DFC83">
                  <w:pPr>
                    <w:jc w:val="center"/>
                    <w:rPr>
                      <w:rFonts w:hint="default" w:ascii="Times New Roman" w:hAnsi="Times New Roman" w:eastAsia="宋体" w:cs="Times New Roman"/>
                      <w:color w:val="auto"/>
                    </w:rPr>
                  </w:pPr>
                </w:p>
              </w:tc>
              <w:tc>
                <w:tcPr>
                  <w:tcW w:w="1281" w:type="dxa"/>
                  <w:tcBorders>
                    <w:tl2br w:val="nil"/>
                    <w:tr2bl w:val="nil"/>
                  </w:tcBorders>
                  <w:tcMar>
                    <w:top w:w="0" w:type="dxa"/>
                    <w:left w:w="108" w:type="dxa"/>
                    <w:bottom w:w="0" w:type="dxa"/>
                    <w:right w:w="108" w:type="dxa"/>
                  </w:tcMar>
                  <w:vAlign w:val="center"/>
                </w:tcPr>
                <w:p w14:paraId="7238BCF6">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TP</w:t>
                  </w:r>
                </w:p>
              </w:tc>
              <w:tc>
                <w:tcPr>
                  <w:tcW w:w="1314" w:type="dxa"/>
                  <w:tcBorders>
                    <w:tl2br w:val="nil"/>
                    <w:tr2bl w:val="nil"/>
                  </w:tcBorders>
                  <w:tcMar>
                    <w:top w:w="0" w:type="dxa"/>
                    <w:left w:w="108" w:type="dxa"/>
                    <w:bottom w:w="0" w:type="dxa"/>
                    <w:right w:w="108" w:type="dxa"/>
                  </w:tcMar>
                  <w:vAlign w:val="center"/>
                </w:tcPr>
                <w:p w14:paraId="2922F45A">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3</w:t>
                  </w:r>
                </w:p>
              </w:tc>
            </w:tr>
            <w:tr w14:paraId="0781EB5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4BE78671">
                  <w:pPr>
                    <w:jc w:val="center"/>
                    <w:rPr>
                      <w:rFonts w:hint="default" w:ascii="Times New Roman" w:hAnsi="Times New Roman" w:eastAsia="宋体" w:cs="Times New Roman"/>
                      <w:color w:val="auto"/>
                    </w:rPr>
                  </w:pPr>
                </w:p>
              </w:tc>
              <w:tc>
                <w:tcPr>
                  <w:tcW w:w="2117" w:type="pct"/>
                  <w:vMerge w:val="continue"/>
                  <w:tcBorders>
                    <w:tl2br w:val="nil"/>
                    <w:tr2bl w:val="nil"/>
                  </w:tcBorders>
                  <w:tcMar>
                    <w:top w:w="0" w:type="dxa"/>
                    <w:left w:w="108" w:type="dxa"/>
                    <w:bottom w:w="0" w:type="dxa"/>
                    <w:right w:w="108" w:type="dxa"/>
                  </w:tcMar>
                  <w:vAlign w:val="center"/>
                </w:tcPr>
                <w:p w14:paraId="18CDE6F0">
                  <w:pPr>
                    <w:jc w:val="center"/>
                    <w:rPr>
                      <w:rFonts w:hint="default" w:ascii="Times New Roman" w:hAnsi="Times New Roman" w:eastAsia="宋体" w:cs="Times New Roman"/>
                      <w:color w:val="auto"/>
                    </w:rPr>
                  </w:pPr>
                </w:p>
              </w:tc>
              <w:tc>
                <w:tcPr>
                  <w:tcW w:w="603" w:type="pct"/>
                  <w:vMerge w:val="continue"/>
                  <w:tcBorders>
                    <w:tl2br w:val="nil"/>
                    <w:tr2bl w:val="nil"/>
                  </w:tcBorders>
                  <w:tcMar>
                    <w:top w:w="0" w:type="dxa"/>
                    <w:left w:w="108" w:type="dxa"/>
                    <w:bottom w:w="0" w:type="dxa"/>
                    <w:right w:w="108" w:type="dxa"/>
                  </w:tcMar>
                  <w:vAlign w:val="center"/>
                </w:tcPr>
                <w:p w14:paraId="583E449E">
                  <w:pPr>
                    <w:jc w:val="center"/>
                    <w:rPr>
                      <w:rFonts w:hint="default" w:ascii="Times New Roman" w:hAnsi="Times New Roman" w:eastAsia="宋体" w:cs="Times New Roman"/>
                      <w:color w:val="auto"/>
                    </w:rPr>
                  </w:pPr>
                </w:p>
              </w:tc>
              <w:tc>
                <w:tcPr>
                  <w:tcW w:w="1281" w:type="dxa"/>
                  <w:tcBorders>
                    <w:tl2br w:val="nil"/>
                    <w:tr2bl w:val="nil"/>
                  </w:tcBorders>
                  <w:tcMar>
                    <w:top w:w="0" w:type="dxa"/>
                    <w:left w:w="108" w:type="dxa"/>
                    <w:bottom w:w="0" w:type="dxa"/>
                    <w:right w:w="108" w:type="dxa"/>
                  </w:tcMar>
                  <w:vAlign w:val="center"/>
                </w:tcPr>
                <w:p w14:paraId="06620273">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TN</w:t>
                  </w:r>
                </w:p>
              </w:tc>
              <w:tc>
                <w:tcPr>
                  <w:tcW w:w="1314" w:type="dxa"/>
                  <w:tcBorders>
                    <w:tl2br w:val="nil"/>
                    <w:tr2bl w:val="nil"/>
                  </w:tcBorders>
                  <w:tcMar>
                    <w:top w:w="0" w:type="dxa"/>
                    <w:left w:w="108" w:type="dxa"/>
                    <w:bottom w:w="0" w:type="dxa"/>
                    <w:right w:w="108" w:type="dxa"/>
                  </w:tcMar>
                  <w:vAlign w:val="center"/>
                </w:tcPr>
                <w:p w14:paraId="6AB27BE6">
                  <w:pPr>
                    <w:adjustRightInd w:val="0"/>
                    <w:jc w:val="center"/>
                    <w:rPr>
                      <w:rFonts w:hint="default" w:ascii="Times New Roman" w:hAnsi="Times New Roman" w:eastAsia="宋体" w:cs="Times New Roman"/>
                      <w:color w:val="auto"/>
                    </w:rPr>
                  </w:pPr>
                  <w:r>
                    <w:rPr>
                      <w:rFonts w:hint="default" w:ascii="Times New Roman" w:hAnsi="Times New Roman" w:eastAsia="仿宋" w:cs="Times New Roman"/>
                      <w:bCs/>
                      <w:color w:val="auto"/>
                      <w:szCs w:val="21"/>
                    </w:rPr>
                    <w:t>50</w:t>
                  </w:r>
                </w:p>
              </w:tc>
            </w:tr>
            <w:tr w14:paraId="199B5AC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restart"/>
                  <w:tcBorders>
                    <w:tl2br w:val="nil"/>
                    <w:tr2bl w:val="nil"/>
                  </w:tcBorders>
                  <w:tcMar>
                    <w:top w:w="0" w:type="dxa"/>
                    <w:left w:w="108" w:type="dxa"/>
                    <w:bottom w:w="0" w:type="dxa"/>
                    <w:right w:w="108" w:type="dxa"/>
                  </w:tcMar>
                  <w:vAlign w:val="center"/>
                </w:tcPr>
                <w:p w14:paraId="6DC5FFC1">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常州市金坛区第二污水处理厂排口</w:t>
                  </w:r>
                </w:p>
              </w:tc>
              <w:tc>
                <w:tcPr>
                  <w:tcW w:w="2117" w:type="pct"/>
                  <w:vMerge w:val="restart"/>
                  <w:tcBorders>
                    <w:tl2br w:val="nil"/>
                    <w:tr2bl w:val="nil"/>
                  </w:tcBorders>
                  <w:tcMar>
                    <w:top w:w="0" w:type="dxa"/>
                    <w:left w:w="108" w:type="dxa"/>
                    <w:bottom w:w="0" w:type="dxa"/>
                    <w:right w:w="108" w:type="dxa"/>
                  </w:tcMar>
                  <w:vAlign w:val="center"/>
                </w:tcPr>
                <w:p w14:paraId="161C3DB6">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《城镇污水处理厂污染物排放标准》</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rPr>
                    <w:t>GB 18918-2002</w:t>
                  </w:r>
                  <w:r>
                    <w:rPr>
                      <w:rFonts w:hint="default" w:ascii="Times New Roman" w:hAnsi="Times New Roman" w:eastAsia="宋体" w:cs="Times New Roman"/>
                      <w:color w:val="auto"/>
                      <w:lang w:eastAsia="zh-CN"/>
                    </w:rPr>
                    <w:t>）</w:t>
                  </w:r>
                </w:p>
              </w:tc>
              <w:tc>
                <w:tcPr>
                  <w:tcW w:w="603" w:type="pct"/>
                  <w:vMerge w:val="restart"/>
                  <w:tcBorders>
                    <w:tl2br w:val="nil"/>
                    <w:tr2bl w:val="nil"/>
                  </w:tcBorders>
                  <w:tcMar>
                    <w:top w:w="0" w:type="dxa"/>
                    <w:left w:w="108" w:type="dxa"/>
                    <w:bottom w:w="0" w:type="dxa"/>
                    <w:right w:w="108" w:type="dxa"/>
                  </w:tcMar>
                  <w:vAlign w:val="center"/>
                </w:tcPr>
                <w:p w14:paraId="11C773F8">
                  <w:pPr>
                    <w:rPr>
                      <w:rFonts w:hint="default" w:ascii="Times New Roman" w:hAnsi="Times New Roman" w:eastAsia="宋体" w:cs="Times New Roman"/>
                      <w:color w:val="auto"/>
                    </w:rPr>
                  </w:pPr>
                  <w:r>
                    <w:rPr>
                      <w:rFonts w:hint="default" w:ascii="Times New Roman" w:hAnsi="Times New Roman" w:eastAsia="宋体" w:cs="Times New Roman"/>
                      <w:color w:val="auto"/>
                    </w:rPr>
                    <w:t>一级A</w:t>
                  </w:r>
                </w:p>
              </w:tc>
              <w:tc>
                <w:tcPr>
                  <w:tcW w:w="772" w:type="pct"/>
                  <w:tcBorders>
                    <w:tl2br w:val="nil"/>
                    <w:tr2bl w:val="nil"/>
                  </w:tcBorders>
                  <w:tcMar>
                    <w:top w:w="0" w:type="dxa"/>
                    <w:left w:w="108" w:type="dxa"/>
                    <w:bottom w:w="0" w:type="dxa"/>
                    <w:right w:w="108" w:type="dxa"/>
                  </w:tcMar>
                  <w:vAlign w:val="center"/>
                </w:tcPr>
                <w:p w14:paraId="1BA96516">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pH</w:t>
                  </w:r>
                </w:p>
              </w:tc>
              <w:tc>
                <w:tcPr>
                  <w:tcW w:w="792" w:type="pct"/>
                  <w:tcBorders>
                    <w:tl2br w:val="nil"/>
                    <w:tr2bl w:val="nil"/>
                  </w:tcBorders>
                  <w:tcMar>
                    <w:top w:w="0" w:type="dxa"/>
                    <w:left w:w="108" w:type="dxa"/>
                    <w:bottom w:w="0" w:type="dxa"/>
                    <w:right w:w="108" w:type="dxa"/>
                  </w:tcMar>
                  <w:vAlign w:val="center"/>
                </w:tcPr>
                <w:p w14:paraId="5BB7ACAA">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6~9</w:t>
                  </w:r>
                </w:p>
              </w:tc>
            </w:tr>
            <w:tr w14:paraId="2D4593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Mar>
                    <w:top w:w="0" w:type="dxa"/>
                    <w:left w:w="108" w:type="dxa"/>
                    <w:bottom w:w="0" w:type="dxa"/>
                    <w:right w:w="108" w:type="dxa"/>
                  </w:tcMar>
                  <w:vAlign w:val="center"/>
                </w:tcPr>
                <w:p w14:paraId="21B3B9B3">
                  <w:pPr>
                    <w:jc w:val="center"/>
                    <w:rPr>
                      <w:rFonts w:hint="default" w:ascii="Times New Roman" w:hAnsi="Times New Roman" w:eastAsia="宋体" w:cs="Times New Roman"/>
                      <w:color w:val="auto"/>
                    </w:rPr>
                  </w:pPr>
                </w:p>
              </w:tc>
              <w:tc>
                <w:tcPr>
                  <w:tcW w:w="2117" w:type="pct"/>
                  <w:vMerge w:val="continue"/>
                  <w:tcBorders>
                    <w:tl2br w:val="nil"/>
                    <w:tr2bl w:val="nil"/>
                  </w:tcBorders>
                  <w:tcMar>
                    <w:top w:w="0" w:type="dxa"/>
                    <w:left w:w="108" w:type="dxa"/>
                    <w:bottom w:w="0" w:type="dxa"/>
                    <w:right w:w="108" w:type="dxa"/>
                  </w:tcMar>
                  <w:vAlign w:val="center"/>
                </w:tcPr>
                <w:p w14:paraId="3ED8273C">
                  <w:pPr>
                    <w:jc w:val="center"/>
                    <w:rPr>
                      <w:rFonts w:hint="default" w:ascii="Times New Roman" w:hAnsi="Times New Roman" w:eastAsia="宋体" w:cs="Times New Roman"/>
                      <w:color w:val="auto"/>
                    </w:rPr>
                  </w:pPr>
                </w:p>
              </w:tc>
              <w:tc>
                <w:tcPr>
                  <w:tcW w:w="603" w:type="pct"/>
                  <w:vMerge w:val="continue"/>
                  <w:tcBorders>
                    <w:tl2br w:val="nil"/>
                    <w:tr2bl w:val="nil"/>
                  </w:tcBorders>
                  <w:tcMar>
                    <w:top w:w="0" w:type="dxa"/>
                    <w:left w:w="108" w:type="dxa"/>
                    <w:bottom w:w="0" w:type="dxa"/>
                    <w:right w:w="108" w:type="dxa"/>
                  </w:tcMar>
                  <w:vAlign w:val="center"/>
                </w:tcPr>
                <w:p w14:paraId="7E6D1C2A">
                  <w:pPr>
                    <w:rPr>
                      <w:rFonts w:hint="default" w:ascii="Times New Roman" w:hAnsi="Times New Roman" w:eastAsia="宋体" w:cs="Times New Roman"/>
                      <w:color w:val="auto"/>
                    </w:rPr>
                  </w:pPr>
                </w:p>
              </w:tc>
              <w:tc>
                <w:tcPr>
                  <w:tcW w:w="772" w:type="pct"/>
                  <w:tcBorders>
                    <w:tl2br w:val="nil"/>
                    <w:tr2bl w:val="nil"/>
                  </w:tcBorders>
                  <w:tcMar>
                    <w:top w:w="0" w:type="dxa"/>
                    <w:left w:w="108" w:type="dxa"/>
                    <w:bottom w:w="0" w:type="dxa"/>
                    <w:right w:w="108" w:type="dxa"/>
                  </w:tcMar>
                  <w:vAlign w:val="center"/>
                </w:tcPr>
                <w:p w14:paraId="0F864FED">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SS</w:t>
                  </w:r>
                </w:p>
              </w:tc>
              <w:tc>
                <w:tcPr>
                  <w:tcW w:w="792" w:type="pct"/>
                  <w:tcBorders>
                    <w:tl2br w:val="nil"/>
                    <w:tr2bl w:val="nil"/>
                  </w:tcBorders>
                  <w:tcMar>
                    <w:top w:w="0" w:type="dxa"/>
                    <w:left w:w="108" w:type="dxa"/>
                    <w:bottom w:w="0" w:type="dxa"/>
                    <w:right w:w="108" w:type="dxa"/>
                  </w:tcMar>
                  <w:vAlign w:val="center"/>
                </w:tcPr>
                <w:p w14:paraId="67E6CB67">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10</w:t>
                  </w:r>
                </w:p>
              </w:tc>
            </w:tr>
            <w:tr w14:paraId="08A9A24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Pr>
                <w:p w14:paraId="5CE9BC1B">
                  <w:pPr>
                    <w:autoSpaceDE w:val="0"/>
                    <w:autoSpaceDN w:val="0"/>
                    <w:jc w:val="center"/>
                    <w:rPr>
                      <w:rFonts w:hint="default" w:ascii="Times New Roman" w:hAnsi="Times New Roman" w:eastAsia="宋体" w:cs="Times New Roman"/>
                      <w:color w:val="auto"/>
                    </w:rPr>
                  </w:pPr>
                </w:p>
              </w:tc>
              <w:tc>
                <w:tcPr>
                  <w:tcW w:w="2117" w:type="pct"/>
                  <w:vMerge w:val="restart"/>
                  <w:tcBorders>
                    <w:tl2br w:val="nil"/>
                    <w:tr2bl w:val="nil"/>
                  </w:tcBorders>
                  <w:vAlign w:val="center"/>
                </w:tcPr>
                <w:p w14:paraId="6191A5C2">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《太湖地区城镇污水处理厂及重点工业行业主要水污染物排放限值》（DB 32/1072-2018）</w:t>
                  </w:r>
                </w:p>
              </w:tc>
              <w:tc>
                <w:tcPr>
                  <w:tcW w:w="603" w:type="pct"/>
                  <w:vMerge w:val="restart"/>
                  <w:tcBorders>
                    <w:tl2br w:val="nil"/>
                    <w:tr2bl w:val="nil"/>
                  </w:tcBorders>
                  <w:vAlign w:val="center"/>
                </w:tcPr>
                <w:p w14:paraId="0114E81B">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表2</w:t>
                  </w:r>
                </w:p>
              </w:tc>
              <w:tc>
                <w:tcPr>
                  <w:tcW w:w="772" w:type="pct"/>
                  <w:tcBorders>
                    <w:tl2br w:val="nil"/>
                    <w:tr2bl w:val="nil"/>
                  </w:tcBorders>
                  <w:vAlign w:val="center"/>
                </w:tcPr>
                <w:p w14:paraId="0C7DA834">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COD</w:t>
                  </w:r>
                </w:p>
              </w:tc>
              <w:tc>
                <w:tcPr>
                  <w:tcW w:w="792" w:type="pct"/>
                  <w:tcBorders>
                    <w:tl2br w:val="nil"/>
                    <w:tr2bl w:val="nil"/>
                  </w:tcBorders>
                  <w:vAlign w:val="center"/>
                </w:tcPr>
                <w:p w14:paraId="6B4CEBD4">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r>
            <w:tr w14:paraId="1A6122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Pr>
                <w:p w14:paraId="5603302C">
                  <w:pPr>
                    <w:autoSpaceDE w:val="0"/>
                    <w:autoSpaceDN w:val="0"/>
                    <w:jc w:val="center"/>
                    <w:rPr>
                      <w:rFonts w:hint="default" w:ascii="Times New Roman" w:hAnsi="Times New Roman" w:eastAsia="宋体" w:cs="Times New Roman"/>
                      <w:color w:val="auto"/>
                    </w:rPr>
                  </w:pPr>
                </w:p>
              </w:tc>
              <w:tc>
                <w:tcPr>
                  <w:tcW w:w="2117" w:type="pct"/>
                  <w:vMerge w:val="continue"/>
                  <w:tcBorders>
                    <w:tl2br w:val="nil"/>
                    <w:tr2bl w:val="nil"/>
                  </w:tcBorders>
                </w:tcPr>
                <w:p w14:paraId="1E73D973">
                  <w:pPr>
                    <w:autoSpaceDE w:val="0"/>
                    <w:autoSpaceDN w:val="0"/>
                    <w:jc w:val="center"/>
                    <w:rPr>
                      <w:rFonts w:hint="default" w:ascii="Times New Roman" w:hAnsi="Times New Roman" w:eastAsia="宋体" w:cs="Times New Roman"/>
                      <w:color w:val="auto"/>
                    </w:rPr>
                  </w:pPr>
                </w:p>
              </w:tc>
              <w:tc>
                <w:tcPr>
                  <w:tcW w:w="603" w:type="pct"/>
                  <w:vMerge w:val="continue"/>
                  <w:tcBorders>
                    <w:tl2br w:val="nil"/>
                    <w:tr2bl w:val="nil"/>
                  </w:tcBorders>
                </w:tcPr>
                <w:p w14:paraId="45E56E2C">
                  <w:pPr>
                    <w:autoSpaceDE w:val="0"/>
                    <w:autoSpaceDN w:val="0"/>
                    <w:jc w:val="center"/>
                    <w:rPr>
                      <w:rFonts w:hint="default" w:ascii="Times New Roman" w:hAnsi="Times New Roman" w:eastAsia="宋体" w:cs="Times New Roman"/>
                      <w:color w:val="auto"/>
                    </w:rPr>
                  </w:pPr>
                </w:p>
              </w:tc>
              <w:tc>
                <w:tcPr>
                  <w:tcW w:w="772" w:type="pct"/>
                  <w:tcBorders>
                    <w:tl2br w:val="nil"/>
                    <w:tr2bl w:val="nil"/>
                  </w:tcBorders>
                  <w:vAlign w:val="center"/>
                </w:tcPr>
                <w:p w14:paraId="2A50E9F6">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氨氮</w:t>
                  </w:r>
                </w:p>
              </w:tc>
              <w:tc>
                <w:tcPr>
                  <w:tcW w:w="792" w:type="pct"/>
                  <w:tcBorders>
                    <w:tl2br w:val="nil"/>
                    <w:tr2bl w:val="nil"/>
                  </w:tcBorders>
                  <w:vAlign w:val="center"/>
                </w:tcPr>
                <w:p w14:paraId="4126BDB2">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4（6）*</w:t>
                  </w:r>
                </w:p>
              </w:tc>
            </w:tr>
            <w:tr w14:paraId="499F586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Pr>
                <w:p w14:paraId="7852B6C7">
                  <w:pPr>
                    <w:autoSpaceDE w:val="0"/>
                    <w:autoSpaceDN w:val="0"/>
                    <w:jc w:val="center"/>
                    <w:rPr>
                      <w:rFonts w:hint="default" w:ascii="Times New Roman" w:hAnsi="Times New Roman" w:eastAsia="宋体" w:cs="Times New Roman"/>
                      <w:color w:val="auto"/>
                    </w:rPr>
                  </w:pPr>
                </w:p>
              </w:tc>
              <w:tc>
                <w:tcPr>
                  <w:tcW w:w="2117" w:type="pct"/>
                  <w:vMerge w:val="continue"/>
                  <w:tcBorders>
                    <w:tl2br w:val="nil"/>
                    <w:tr2bl w:val="nil"/>
                  </w:tcBorders>
                </w:tcPr>
                <w:p w14:paraId="03A4BBFD">
                  <w:pPr>
                    <w:autoSpaceDE w:val="0"/>
                    <w:autoSpaceDN w:val="0"/>
                    <w:jc w:val="center"/>
                    <w:rPr>
                      <w:rFonts w:hint="default" w:ascii="Times New Roman" w:hAnsi="Times New Roman" w:eastAsia="宋体" w:cs="Times New Roman"/>
                      <w:color w:val="auto"/>
                    </w:rPr>
                  </w:pPr>
                </w:p>
              </w:tc>
              <w:tc>
                <w:tcPr>
                  <w:tcW w:w="603" w:type="pct"/>
                  <w:vMerge w:val="continue"/>
                  <w:tcBorders>
                    <w:tl2br w:val="nil"/>
                    <w:tr2bl w:val="nil"/>
                  </w:tcBorders>
                </w:tcPr>
                <w:p w14:paraId="21AA28FA">
                  <w:pPr>
                    <w:autoSpaceDE w:val="0"/>
                    <w:autoSpaceDN w:val="0"/>
                    <w:jc w:val="center"/>
                    <w:rPr>
                      <w:rFonts w:hint="default" w:ascii="Times New Roman" w:hAnsi="Times New Roman" w:eastAsia="宋体" w:cs="Times New Roman"/>
                      <w:color w:val="auto"/>
                    </w:rPr>
                  </w:pPr>
                </w:p>
              </w:tc>
              <w:tc>
                <w:tcPr>
                  <w:tcW w:w="772" w:type="pct"/>
                  <w:tcBorders>
                    <w:tl2br w:val="nil"/>
                    <w:tr2bl w:val="nil"/>
                  </w:tcBorders>
                  <w:vAlign w:val="center"/>
                </w:tcPr>
                <w:p w14:paraId="0D0EA221">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TP</w:t>
                  </w:r>
                </w:p>
              </w:tc>
              <w:tc>
                <w:tcPr>
                  <w:tcW w:w="792" w:type="pct"/>
                  <w:tcBorders>
                    <w:tl2br w:val="nil"/>
                    <w:tr2bl w:val="nil"/>
                  </w:tcBorders>
                  <w:vAlign w:val="center"/>
                </w:tcPr>
                <w:p w14:paraId="1B65EC36">
                  <w:pPr>
                    <w:autoSpaceDE w:val="0"/>
                    <w:autoSpaceDN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0.5</w:t>
                  </w:r>
                </w:p>
              </w:tc>
            </w:tr>
            <w:tr w14:paraId="4FF3BE0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283" w:hRule="atLeast"/>
                <w:jc w:val="center"/>
              </w:trPr>
              <w:tc>
                <w:tcPr>
                  <w:tcW w:w="716" w:type="pct"/>
                  <w:vMerge w:val="continue"/>
                  <w:tcBorders>
                    <w:tl2br w:val="nil"/>
                    <w:tr2bl w:val="nil"/>
                  </w:tcBorders>
                </w:tcPr>
                <w:p w14:paraId="13677EE0">
                  <w:pPr>
                    <w:autoSpaceDE w:val="0"/>
                    <w:autoSpaceDN w:val="0"/>
                    <w:jc w:val="center"/>
                    <w:rPr>
                      <w:rFonts w:hint="default" w:ascii="Times New Roman" w:hAnsi="Times New Roman" w:eastAsia="宋体" w:cs="Times New Roman"/>
                      <w:color w:val="auto"/>
                    </w:rPr>
                  </w:pPr>
                </w:p>
              </w:tc>
              <w:tc>
                <w:tcPr>
                  <w:tcW w:w="2117" w:type="pct"/>
                  <w:vMerge w:val="continue"/>
                  <w:tcBorders>
                    <w:tl2br w:val="nil"/>
                    <w:tr2bl w:val="nil"/>
                  </w:tcBorders>
                </w:tcPr>
                <w:p w14:paraId="59C2ABB5">
                  <w:pPr>
                    <w:autoSpaceDE w:val="0"/>
                    <w:autoSpaceDN w:val="0"/>
                    <w:jc w:val="center"/>
                    <w:rPr>
                      <w:rFonts w:hint="default" w:ascii="Times New Roman" w:hAnsi="Times New Roman" w:eastAsia="宋体" w:cs="Times New Roman"/>
                      <w:color w:val="auto"/>
                    </w:rPr>
                  </w:pPr>
                </w:p>
              </w:tc>
              <w:tc>
                <w:tcPr>
                  <w:tcW w:w="603" w:type="pct"/>
                  <w:vMerge w:val="continue"/>
                  <w:tcBorders>
                    <w:tl2br w:val="nil"/>
                    <w:tr2bl w:val="nil"/>
                  </w:tcBorders>
                </w:tcPr>
                <w:p w14:paraId="5C61B1B0">
                  <w:pPr>
                    <w:autoSpaceDE w:val="0"/>
                    <w:autoSpaceDN w:val="0"/>
                    <w:jc w:val="center"/>
                    <w:rPr>
                      <w:rFonts w:hint="default" w:ascii="Times New Roman" w:hAnsi="Times New Roman" w:eastAsia="宋体" w:cs="Times New Roman"/>
                      <w:color w:val="auto"/>
                    </w:rPr>
                  </w:pPr>
                </w:p>
              </w:tc>
              <w:tc>
                <w:tcPr>
                  <w:tcW w:w="772" w:type="pct"/>
                  <w:tcBorders>
                    <w:tl2br w:val="nil"/>
                    <w:tr2bl w:val="nil"/>
                  </w:tcBorders>
                  <w:vAlign w:val="center"/>
                </w:tcPr>
                <w:p w14:paraId="32018E5C">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TN</w:t>
                  </w:r>
                </w:p>
              </w:tc>
              <w:tc>
                <w:tcPr>
                  <w:tcW w:w="792" w:type="pct"/>
                  <w:tcBorders>
                    <w:tl2br w:val="nil"/>
                    <w:tr2bl w:val="nil"/>
                  </w:tcBorders>
                  <w:vAlign w:val="center"/>
                </w:tcPr>
                <w:p w14:paraId="39006BBB">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12（15）*</w:t>
                  </w:r>
                </w:p>
              </w:tc>
            </w:tr>
          </w:tbl>
          <w:p w14:paraId="46592FA0">
            <w:pP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*注：括号外数值为水温＞12℃时的控制指标，括号内数值为水温≤12℃时的控制指标。</w:t>
            </w:r>
          </w:p>
          <w:p w14:paraId="3EC5AD3F">
            <w:pPr>
              <w:pStyle w:val="74"/>
              <w:spacing w:before="46" w:line="359" w:lineRule="auto"/>
              <w:ind w:left="105" w:right="2" w:firstLine="484"/>
              <w:jc w:val="both"/>
              <w:rPr>
                <w:rFonts w:hint="default" w:ascii="Times New Roman" w:hAnsi="Times New Roman" w:cs="Times New Roman"/>
                <w:color w:val="auto"/>
              </w:rPr>
            </w:pPr>
            <w:r>
              <w:rPr>
                <w:rFonts w:hint="default" w:ascii="Times New Roman" w:hAnsi="Times New Roman" w:cs="Times New Roman"/>
                <w:color w:val="auto"/>
                <w:spacing w:val="-1"/>
              </w:rPr>
              <w:t>项目</w:t>
            </w:r>
            <w:r>
              <w:rPr>
                <w:rFonts w:hint="default" w:ascii="Times New Roman" w:hAnsi="Times New Roman" w:cs="Times New Roman"/>
                <w:color w:val="auto"/>
                <w:spacing w:val="-1"/>
                <w:lang w:val="en-US" w:eastAsia="zh-CN"/>
              </w:rPr>
              <w:t>清洗</w:t>
            </w:r>
            <w:r>
              <w:rPr>
                <w:rFonts w:hint="default" w:ascii="Times New Roman" w:hAnsi="Times New Roman" w:cs="Times New Roman"/>
                <w:color w:val="auto"/>
                <w:spacing w:val="-1"/>
              </w:rPr>
              <w:t>废水</w:t>
            </w:r>
            <w:r>
              <w:rPr>
                <w:rFonts w:hint="eastAsia" w:ascii="Times New Roman" w:hAnsi="Times New Roman" w:cs="Times New Roman"/>
                <w:color w:val="auto"/>
                <w:spacing w:val="-1"/>
                <w:lang w:eastAsia="zh-CN"/>
              </w:rPr>
              <w:t>、</w:t>
            </w:r>
            <w:r>
              <w:rPr>
                <w:rFonts w:hint="eastAsia" w:ascii="Times New Roman" w:hAnsi="Times New Roman" w:cs="Times New Roman"/>
                <w:color w:val="auto"/>
                <w:spacing w:val="-1"/>
                <w:lang w:val="en-US" w:eastAsia="zh-CN"/>
              </w:rPr>
              <w:t>水喷淋塔废水</w:t>
            </w:r>
            <w:r>
              <w:rPr>
                <w:rFonts w:hint="default" w:ascii="Times New Roman" w:hAnsi="Times New Roman" w:cs="Times New Roman"/>
                <w:color w:val="auto"/>
                <w:spacing w:val="-1"/>
              </w:rPr>
              <w:t>经企业的污水处理</w:t>
            </w:r>
            <w:r>
              <w:rPr>
                <w:rFonts w:hint="default" w:ascii="Times New Roman" w:hAnsi="Times New Roman" w:cs="Times New Roman"/>
                <w:color w:val="auto"/>
                <w:spacing w:val="-1"/>
                <w:lang w:val="en-US" w:eastAsia="zh-CN"/>
              </w:rPr>
              <w:t>站</w:t>
            </w:r>
            <w:r>
              <w:rPr>
                <w:rFonts w:hint="default" w:ascii="Times New Roman" w:hAnsi="Times New Roman" w:cs="Times New Roman"/>
                <w:color w:val="auto"/>
                <w:spacing w:val="-1"/>
              </w:rPr>
              <w:t>处理后</w:t>
            </w:r>
            <w:r>
              <w:rPr>
                <w:rFonts w:hint="default" w:ascii="Times New Roman" w:hAnsi="Times New Roman" w:cs="Times New Roman"/>
                <w:color w:val="auto"/>
                <w:spacing w:val="-1"/>
                <w:lang w:val="en-US" w:eastAsia="zh-CN"/>
              </w:rPr>
              <w:t>回</w:t>
            </w:r>
            <w:r>
              <w:rPr>
                <w:rFonts w:hint="default" w:ascii="Times New Roman" w:hAnsi="Times New Roman" w:cs="Times New Roman"/>
                <w:color w:val="auto"/>
                <w:spacing w:val="-1"/>
              </w:rPr>
              <w:t>用到</w:t>
            </w:r>
            <w:r>
              <w:rPr>
                <w:rFonts w:hint="default" w:ascii="Times New Roman" w:hAnsi="Times New Roman" w:cs="Times New Roman"/>
                <w:color w:val="auto"/>
                <w:spacing w:val="-1"/>
                <w:lang w:val="en-US" w:eastAsia="zh-CN"/>
              </w:rPr>
              <w:t>清洗</w:t>
            </w:r>
            <w:r>
              <w:rPr>
                <w:rFonts w:hint="default" w:ascii="Times New Roman" w:hAnsi="Times New Roman" w:cs="Times New Roman"/>
                <w:color w:val="auto"/>
                <w:spacing w:val="-1"/>
              </w:rPr>
              <w:t>工艺</w:t>
            </w:r>
            <w:r>
              <w:rPr>
                <w:rFonts w:hint="eastAsia" w:ascii="Times New Roman" w:hAnsi="Times New Roman" w:cs="Times New Roman"/>
                <w:color w:val="auto"/>
                <w:spacing w:val="-1"/>
                <w:lang w:val="en-US" w:eastAsia="zh-CN"/>
              </w:rPr>
              <w:t>和水喷淋塔</w:t>
            </w:r>
            <w:r>
              <w:rPr>
                <w:rFonts w:hint="default" w:ascii="Times New Roman" w:hAnsi="Times New Roman" w:cs="Times New Roman"/>
                <w:color w:val="auto"/>
                <w:spacing w:val="-1"/>
              </w:rPr>
              <w:t>，</w:t>
            </w:r>
            <w:r>
              <w:rPr>
                <w:rFonts w:hint="default" w:ascii="Times New Roman" w:hAnsi="Times New Roman" w:cs="Times New Roman"/>
                <w:color w:val="auto"/>
                <w:spacing w:val="-2"/>
              </w:rPr>
              <w:t>无行</w:t>
            </w:r>
            <w:r>
              <w:rPr>
                <w:rFonts w:hint="default" w:ascii="Times New Roman" w:hAnsi="Times New Roman" w:cs="Times New Roman"/>
                <w:color w:val="auto"/>
                <w:spacing w:val="-7"/>
              </w:rPr>
              <w:t>业标准，回用水水质执行《城市污水再生利用 工业用水水质》（GB/T 19923-2024代替GB/T 19923-2005</w:t>
            </w:r>
            <w:r>
              <w:rPr>
                <w:rFonts w:hint="default" w:ascii="Times New Roman" w:hAnsi="Times New Roman" w:cs="Times New Roman"/>
                <w:color w:val="auto"/>
                <w:spacing w:val="-8"/>
              </w:rPr>
              <w:t>）</w:t>
            </w:r>
            <w:r>
              <w:rPr>
                <w:rFonts w:hint="default" w:ascii="Times New Roman" w:hAnsi="Times New Roman" w:cs="Times New Roman"/>
                <w:color w:val="auto"/>
                <w:spacing w:val="-7"/>
              </w:rPr>
              <w:t>表</w:t>
            </w:r>
            <w:r>
              <w:rPr>
                <w:rFonts w:hint="default" w:ascii="Times New Roman" w:hAnsi="Times New Roman" w:eastAsia="Times New Roman" w:cs="Times New Roman"/>
                <w:color w:val="auto"/>
                <w:spacing w:val="-7"/>
              </w:rPr>
              <w:t>1</w:t>
            </w:r>
            <w:r>
              <w:rPr>
                <w:rFonts w:hint="default" w:ascii="Times New Roman" w:hAnsi="Times New Roman" w:cs="Times New Roman"/>
                <w:color w:val="auto"/>
                <w:spacing w:val="-7"/>
              </w:rPr>
              <w:t>中直流冷却水、洗涤用水。</w:t>
            </w:r>
          </w:p>
          <w:p w14:paraId="1724E396">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pacing w:val="-4"/>
                <w14:textOutline w14:w="4358" w14:cap="sq" w14:cmpd="sng">
                  <w14:solidFill>
                    <w14:srgbClr w14:val="000000"/>
                  </w14:solidFill>
                  <w14:prstDash w14:val="solid"/>
                  <w14:bevel/>
                </w14:textOutline>
              </w:rPr>
              <w:t>表</w:t>
            </w:r>
            <w:r>
              <w:rPr>
                <w:rFonts w:hint="default" w:ascii="Times New Roman" w:hAnsi="Times New Roman" w:eastAsia="宋体" w:cs="Times New Roman"/>
                <w:color w:val="auto"/>
                <w:spacing w:val="-55"/>
              </w:rPr>
              <w:t xml:space="preserve"> </w:t>
            </w:r>
            <w:r>
              <w:rPr>
                <w:rFonts w:hint="default" w:ascii="Times New Roman" w:hAnsi="Times New Roman" w:eastAsia="宋体" w:cs="Times New Roman"/>
                <w:b/>
                <w:bCs/>
                <w:color w:val="auto"/>
                <w:spacing w:val="-4"/>
              </w:rPr>
              <w:t>3-</w:t>
            </w:r>
            <w:r>
              <w:rPr>
                <w:rFonts w:hint="eastAsia" w:ascii="Times New Roman" w:hAnsi="Times New Roman" w:cs="Times New Roman"/>
                <w:b/>
                <w:bCs/>
                <w:color w:val="auto"/>
                <w:spacing w:val="-4"/>
                <w:lang w:val="en-US" w:eastAsia="zh-CN"/>
              </w:rPr>
              <w:t>10</w:t>
            </w:r>
            <w:r>
              <w:rPr>
                <w:rFonts w:hint="default" w:ascii="Times New Roman" w:hAnsi="Times New Roman" w:eastAsia="宋体" w:cs="Times New Roman"/>
                <w:b/>
                <w:bCs/>
                <w:color w:val="auto"/>
                <w:spacing w:val="8"/>
              </w:rPr>
              <w:t xml:space="preserve">  </w:t>
            </w:r>
            <w:r>
              <w:rPr>
                <w:rFonts w:hint="default" w:ascii="Times New Roman" w:hAnsi="Times New Roman" w:eastAsia="宋体" w:cs="Times New Roman"/>
                <w:color w:val="auto"/>
                <w:spacing w:val="-4"/>
                <w14:textOutline w14:w="4358" w14:cap="sq" w14:cmpd="sng">
                  <w14:solidFill>
                    <w14:srgbClr w14:val="000000"/>
                  </w14:solidFill>
                  <w14:prstDash w14:val="solid"/>
                  <w14:bevel/>
                </w14:textOutline>
              </w:rPr>
              <w:t>回用水水质标准</w:t>
            </w:r>
          </w:p>
          <w:tbl>
            <w:tblPr>
              <w:tblStyle w:val="75"/>
              <w:tblW w:w="499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96"/>
              <w:gridCol w:w="1734"/>
              <w:gridCol w:w="1386"/>
              <w:gridCol w:w="838"/>
              <w:gridCol w:w="1390"/>
              <w:gridCol w:w="1136"/>
            </w:tblGrid>
            <w:tr w14:paraId="18C9B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084" w:type="pct"/>
                  <w:tcBorders>
                    <w:top w:val="single" w:color="000000" w:sz="10" w:space="0"/>
                    <w:left w:val="nil"/>
                  </w:tcBorders>
                  <w:vAlign w:val="center"/>
                </w:tcPr>
                <w:p w14:paraId="072370D7">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项目</w:t>
                  </w:r>
                </w:p>
              </w:tc>
              <w:tc>
                <w:tcPr>
                  <w:tcW w:w="1046" w:type="pct"/>
                  <w:tcBorders>
                    <w:top w:val="single" w:color="000000" w:sz="10" w:space="0"/>
                  </w:tcBorders>
                  <w:vAlign w:val="center"/>
                </w:tcPr>
                <w:p w14:paraId="0B1BEE8E">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r>
                    <w:rPr>
                      <w:rFonts w:hint="default" w:ascii="Times New Roman" w:hAnsi="Times New Roman" w:eastAsia="宋体" w:cs="Times New Roman"/>
                      <w:b/>
                      <w:bCs/>
                      <w:color w:val="auto"/>
                      <w:spacing w:val="9"/>
                      <w:sz w:val="21"/>
                      <w:szCs w:val="21"/>
                    </w:rPr>
                    <w:t>（无量纲）</w:t>
                  </w:r>
                </w:p>
              </w:tc>
              <w:tc>
                <w:tcPr>
                  <w:tcW w:w="836" w:type="pct"/>
                  <w:tcBorders>
                    <w:top w:val="single" w:color="000000" w:sz="10" w:space="0"/>
                  </w:tcBorders>
                  <w:vAlign w:val="center"/>
                </w:tcPr>
                <w:p w14:paraId="6D8307A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COD</w:t>
                  </w:r>
                </w:p>
              </w:tc>
              <w:tc>
                <w:tcPr>
                  <w:tcW w:w="506" w:type="pct"/>
                  <w:tcBorders>
                    <w:top w:val="single" w:color="000000" w:sz="10" w:space="0"/>
                  </w:tcBorders>
                  <w:vAlign w:val="center"/>
                </w:tcPr>
                <w:p w14:paraId="0934AA8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SS</w:t>
                  </w:r>
                </w:p>
              </w:tc>
              <w:tc>
                <w:tcPr>
                  <w:tcW w:w="839" w:type="pct"/>
                  <w:tcBorders>
                    <w:top w:val="single" w:color="000000" w:sz="10" w:space="0"/>
                    <w:right w:val="nil"/>
                  </w:tcBorders>
                  <w:vAlign w:val="center"/>
                </w:tcPr>
                <w:p w14:paraId="3CC52563">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7"/>
                      <w:sz w:val="21"/>
                      <w:szCs w:val="21"/>
                    </w:rPr>
                    <w:t>溶解性总固体</w:t>
                  </w:r>
                </w:p>
              </w:tc>
              <w:tc>
                <w:tcPr>
                  <w:tcW w:w="686" w:type="pct"/>
                  <w:tcBorders>
                    <w:top w:val="single" w:color="000000" w:sz="10" w:space="0"/>
                    <w:right w:val="nil"/>
                  </w:tcBorders>
                  <w:vAlign w:val="center"/>
                </w:tcPr>
                <w:p w14:paraId="489276BE">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7"/>
                      <w:sz w:val="21"/>
                      <w:szCs w:val="21"/>
                      <w:lang w:val="en-US" w:eastAsia="zh-CN"/>
                    </w:rPr>
                  </w:pPr>
                  <w:r>
                    <w:rPr>
                      <w:rFonts w:hint="default" w:ascii="Times New Roman" w:hAnsi="Times New Roman" w:eastAsia="宋体" w:cs="Times New Roman"/>
                      <w:b/>
                      <w:bCs/>
                      <w:color w:val="auto"/>
                      <w:spacing w:val="7"/>
                      <w:sz w:val="21"/>
                      <w:szCs w:val="21"/>
                      <w:lang w:val="en-US" w:eastAsia="zh-CN"/>
                    </w:rPr>
                    <w:t>石油类</w:t>
                  </w:r>
                </w:p>
              </w:tc>
            </w:tr>
            <w:tr w14:paraId="00631F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084" w:type="pct"/>
                  <w:tcBorders>
                    <w:left w:val="nil"/>
                    <w:bottom w:val="single" w:color="000000" w:sz="10" w:space="0"/>
                  </w:tcBorders>
                  <w:vAlign w:val="center"/>
                </w:tcPr>
                <w:p w14:paraId="1E501D9C">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标准值（</w:t>
                  </w: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pacing w:val="7"/>
                      <w:sz w:val="21"/>
                      <w:szCs w:val="21"/>
                    </w:rPr>
                    <w:t>/L）</w:t>
                  </w:r>
                </w:p>
              </w:tc>
              <w:tc>
                <w:tcPr>
                  <w:tcW w:w="1046" w:type="pct"/>
                  <w:tcBorders>
                    <w:bottom w:val="single" w:color="000000" w:sz="10" w:space="0"/>
                  </w:tcBorders>
                  <w:vAlign w:val="center"/>
                </w:tcPr>
                <w:p w14:paraId="0910FBFB">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6.</w:t>
                  </w:r>
                  <w:r>
                    <w:rPr>
                      <w:rFonts w:hint="eastAsia" w:ascii="Times New Roman" w:hAnsi="Times New Roman" w:eastAsia="宋体" w:cs="Times New Roman"/>
                      <w:color w:val="auto"/>
                      <w:spacing w:val="2"/>
                      <w:sz w:val="21"/>
                      <w:szCs w:val="21"/>
                      <w:lang w:val="en-US" w:eastAsia="zh-CN"/>
                    </w:rPr>
                    <w:t>0</w:t>
                  </w:r>
                  <w:r>
                    <w:rPr>
                      <w:rFonts w:hint="default" w:ascii="Times New Roman" w:hAnsi="Times New Roman" w:eastAsia="宋体" w:cs="Times New Roman"/>
                      <w:color w:val="auto"/>
                      <w:spacing w:val="2"/>
                      <w:sz w:val="21"/>
                      <w:szCs w:val="21"/>
                    </w:rPr>
                    <w:t>-</w:t>
                  </w:r>
                  <w:r>
                    <w:rPr>
                      <w:rFonts w:hint="eastAsia" w:ascii="Times New Roman" w:hAnsi="Times New Roman" w:eastAsia="宋体" w:cs="Times New Roman"/>
                      <w:color w:val="auto"/>
                      <w:spacing w:val="2"/>
                      <w:sz w:val="21"/>
                      <w:szCs w:val="21"/>
                      <w:lang w:val="en-US" w:eastAsia="zh-CN"/>
                    </w:rPr>
                    <w:t>9.0</w:t>
                  </w:r>
                </w:p>
              </w:tc>
              <w:tc>
                <w:tcPr>
                  <w:tcW w:w="836" w:type="pct"/>
                  <w:tcBorders>
                    <w:bottom w:val="single" w:color="000000" w:sz="10" w:space="0"/>
                  </w:tcBorders>
                  <w:vAlign w:val="center"/>
                </w:tcPr>
                <w:p w14:paraId="5A7ADF00">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14:textOutline w14:w="3795" w14:cap="sq" w14:cmpd="sng">
                        <w14:solidFill>
                          <w14:srgbClr w14:val="000000"/>
                        </w14:solidFill>
                        <w14:prstDash w14:val="solid"/>
                        <w14:bevel/>
                      </w14:textOutline>
                    </w:rPr>
                    <w:t>≤</w:t>
                  </w:r>
                  <w:r>
                    <w:rPr>
                      <w:rFonts w:hint="eastAsia" w:ascii="Times New Roman" w:hAnsi="Times New Roman" w:eastAsia="宋体" w:cs="Times New Roman"/>
                      <w:color w:val="auto"/>
                      <w:spacing w:val="-2"/>
                      <w:sz w:val="21"/>
                      <w:szCs w:val="21"/>
                      <w:lang w:val="en-US" w:eastAsia="zh-CN"/>
                    </w:rPr>
                    <w:t>5</w:t>
                  </w:r>
                  <w:r>
                    <w:rPr>
                      <w:rFonts w:hint="default" w:ascii="Times New Roman" w:hAnsi="Times New Roman" w:eastAsia="宋体" w:cs="Times New Roman"/>
                      <w:color w:val="auto"/>
                      <w:spacing w:val="-2"/>
                      <w:sz w:val="21"/>
                      <w:szCs w:val="21"/>
                    </w:rPr>
                    <w:t>0</w:t>
                  </w:r>
                </w:p>
              </w:tc>
              <w:tc>
                <w:tcPr>
                  <w:tcW w:w="506" w:type="pct"/>
                  <w:tcBorders>
                    <w:bottom w:val="single" w:color="000000" w:sz="10" w:space="0"/>
                  </w:tcBorders>
                  <w:vAlign w:val="center"/>
                </w:tcPr>
                <w:p w14:paraId="2C5FA2D3">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839" w:type="pct"/>
                  <w:tcBorders>
                    <w:bottom w:val="single" w:color="000000" w:sz="10" w:space="0"/>
                    <w:right w:val="nil"/>
                  </w:tcBorders>
                  <w:vAlign w:val="center"/>
                </w:tcPr>
                <w:p w14:paraId="63C42462">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eastAsia" w:ascii="Times New Roman" w:hAnsi="Times New Roman" w:eastAsia="宋体" w:cs="Times New Roman"/>
                      <w:color w:val="auto"/>
                      <w:spacing w:val="4"/>
                      <w:sz w:val="21"/>
                      <w:szCs w:val="21"/>
                      <w:lang w:val="en-US" w:eastAsia="zh-CN"/>
                    </w:rPr>
                    <w:t>5</w:t>
                  </w:r>
                  <w:r>
                    <w:rPr>
                      <w:rFonts w:hint="default" w:ascii="Times New Roman" w:hAnsi="Times New Roman" w:eastAsia="宋体" w:cs="Times New Roman"/>
                      <w:color w:val="auto"/>
                      <w:spacing w:val="4"/>
                      <w:sz w:val="21"/>
                      <w:szCs w:val="21"/>
                    </w:rPr>
                    <w:t>00</w:t>
                  </w:r>
                </w:p>
              </w:tc>
              <w:tc>
                <w:tcPr>
                  <w:tcW w:w="686" w:type="pct"/>
                  <w:tcBorders>
                    <w:bottom w:val="single" w:color="000000" w:sz="10" w:space="0"/>
                    <w:right w:val="nil"/>
                  </w:tcBorders>
                  <w:vAlign w:val="center"/>
                </w:tcPr>
                <w:p w14:paraId="7284D24C">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1.0</w:t>
                  </w:r>
                </w:p>
              </w:tc>
            </w:tr>
          </w:tbl>
          <w:p w14:paraId="59269864">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3、噪声</w:t>
            </w:r>
          </w:p>
          <w:p w14:paraId="4ADCA39A">
            <w:pPr>
              <w:spacing w:line="360" w:lineRule="auto"/>
              <w:ind w:firstLine="480" w:firstLineChars="200"/>
              <w:rPr>
                <w:rFonts w:hint="default" w:ascii="Times New Roman" w:hAnsi="Times New Roman" w:eastAsia="宋体" w:cs="Times New Roman"/>
                <w:b/>
                <w:color w:val="auto"/>
                <w:sz w:val="24"/>
              </w:rPr>
            </w:pPr>
            <w:r>
              <w:rPr>
                <w:rFonts w:hint="default"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位于</w:t>
            </w:r>
            <w:r>
              <w:rPr>
                <w:rFonts w:hint="default" w:ascii="Times New Roman" w:hAnsi="Times New Roman" w:eastAsia="宋体" w:cs="Times New Roman"/>
                <w:color w:val="auto"/>
                <w:sz w:val="24"/>
                <w:lang w:eastAsia="zh-CN"/>
              </w:rPr>
              <w:t>江苏省常州市金坛区金坛大道75号</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bCs/>
                <w:color w:val="auto"/>
                <w:sz w:val="24"/>
                <w:szCs w:val="24"/>
              </w:rPr>
              <w:t>华星科创产业园区</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北侧40m处为金武快速路，项目</w:t>
            </w:r>
            <w:r>
              <w:rPr>
                <w:rFonts w:hint="default" w:ascii="Times New Roman" w:hAnsi="Times New Roman" w:eastAsia="宋体" w:cs="Times New Roman"/>
                <w:color w:val="auto"/>
                <w:sz w:val="24"/>
              </w:rPr>
              <w:t>所在地</w:t>
            </w:r>
            <w:r>
              <w:rPr>
                <w:rFonts w:hint="eastAsia" w:ascii="Times New Roman" w:hAnsi="Times New Roman" w:eastAsia="宋体" w:cs="Times New Roman"/>
                <w:color w:val="auto"/>
                <w:sz w:val="24"/>
                <w:lang w:val="en-US" w:eastAsia="zh-CN"/>
              </w:rPr>
              <w:t>为工业用地，根据《声环境功能区划分技术规范》（GB/T 15190-2014），北侧厂界</w:t>
            </w:r>
            <w:r>
              <w:rPr>
                <w:rFonts w:hint="default" w:ascii="Times New Roman" w:hAnsi="Times New Roman" w:eastAsia="宋体" w:cs="Times New Roman"/>
                <w:color w:val="auto"/>
                <w:sz w:val="24"/>
              </w:rPr>
              <w:t>《工业企业厂界环境噪声排放标准》（GB12348-2008）中的</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rPr>
              <w:t>类标准，东、南、西各厂界噪声执行《工业企业厂界环境噪声排放标准》（GB12348-2008）中的3类标准，具体标准限值见下表。</w:t>
            </w:r>
          </w:p>
          <w:p w14:paraId="671EE3A7">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w:t>
            </w:r>
            <w:r>
              <w:rPr>
                <w:rFonts w:hint="eastAsia" w:ascii="Times New Roman" w:hAnsi="Times New Roman" w:eastAsia="宋体" w:cs="Times New Roman"/>
                <w:b/>
                <w:color w:val="auto"/>
                <w:sz w:val="24"/>
                <w:lang w:val="en-US" w:eastAsia="zh-CN"/>
              </w:rPr>
              <w:t>11</w:t>
            </w:r>
            <w:r>
              <w:rPr>
                <w:rFonts w:hint="default" w:ascii="Times New Roman" w:hAnsi="Times New Roman" w:eastAsia="宋体" w:cs="Times New Roman"/>
                <w:b/>
                <w:color w:val="auto"/>
                <w:sz w:val="24"/>
              </w:rPr>
              <w:t xml:space="preserve">  噪声排放标准限值</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61"/>
              <w:gridCol w:w="1350"/>
              <w:gridCol w:w="1216"/>
              <w:gridCol w:w="2864"/>
            </w:tblGrid>
            <w:tr w14:paraId="345228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25" w:type="pct"/>
                  <w:tcBorders>
                    <w:tl2br w:val="nil"/>
                    <w:tr2bl w:val="nil"/>
                  </w:tcBorders>
                  <w:vAlign w:val="center"/>
                </w:tcPr>
                <w:p w14:paraId="18C779FF">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噪声功能区</w:t>
                  </w:r>
                </w:p>
              </w:tc>
              <w:tc>
                <w:tcPr>
                  <w:tcW w:w="814" w:type="pct"/>
                  <w:tcBorders>
                    <w:tl2br w:val="nil"/>
                    <w:tr2bl w:val="nil"/>
                  </w:tcBorders>
                  <w:vAlign w:val="center"/>
                </w:tcPr>
                <w:p w14:paraId="379FEE66">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昼间</w:t>
                  </w:r>
                </w:p>
              </w:tc>
              <w:tc>
                <w:tcPr>
                  <w:tcW w:w="733" w:type="pct"/>
                  <w:tcBorders>
                    <w:tl2br w:val="nil"/>
                    <w:tr2bl w:val="nil"/>
                  </w:tcBorders>
                  <w:vAlign w:val="center"/>
                </w:tcPr>
                <w:p w14:paraId="0D8992D4">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夜间</w:t>
                  </w:r>
                </w:p>
              </w:tc>
              <w:tc>
                <w:tcPr>
                  <w:tcW w:w="1726" w:type="pct"/>
                  <w:tcBorders>
                    <w:tl2br w:val="nil"/>
                    <w:tr2bl w:val="nil"/>
                  </w:tcBorders>
                  <w:vAlign w:val="center"/>
                </w:tcPr>
                <w:p w14:paraId="71D28556">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执行区域</w:t>
                  </w:r>
                </w:p>
              </w:tc>
            </w:tr>
            <w:tr w14:paraId="4BF58C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25" w:type="pct"/>
                  <w:tcBorders>
                    <w:tl2br w:val="nil"/>
                    <w:tr2bl w:val="nil"/>
                  </w:tcBorders>
                  <w:vAlign w:val="center"/>
                </w:tcPr>
                <w:p w14:paraId="4EE9BFA6">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3类标准值</w:t>
                  </w:r>
                </w:p>
              </w:tc>
              <w:tc>
                <w:tcPr>
                  <w:tcW w:w="814" w:type="pct"/>
                  <w:tcBorders>
                    <w:tl2br w:val="nil"/>
                    <w:tr2bl w:val="nil"/>
                  </w:tcBorders>
                  <w:vAlign w:val="center"/>
                </w:tcPr>
                <w:p w14:paraId="786A1FC3">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65</w:t>
                  </w:r>
                </w:p>
              </w:tc>
              <w:tc>
                <w:tcPr>
                  <w:tcW w:w="733" w:type="pct"/>
                  <w:tcBorders>
                    <w:tl2br w:val="nil"/>
                    <w:tr2bl w:val="nil"/>
                  </w:tcBorders>
                  <w:vAlign w:val="center"/>
                </w:tcPr>
                <w:p w14:paraId="1A518197">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55</w:t>
                  </w:r>
                </w:p>
              </w:tc>
              <w:tc>
                <w:tcPr>
                  <w:tcW w:w="1726" w:type="pct"/>
                  <w:tcBorders>
                    <w:tl2br w:val="nil"/>
                    <w:tr2bl w:val="nil"/>
                  </w:tcBorders>
                  <w:vAlign w:val="center"/>
                </w:tcPr>
                <w:p w14:paraId="43E53A2C">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东、南、西厂界</w:t>
                  </w:r>
                </w:p>
              </w:tc>
            </w:tr>
            <w:tr w14:paraId="62FB8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25" w:type="pct"/>
                  <w:tcBorders>
                    <w:tl2br w:val="nil"/>
                    <w:tr2bl w:val="nil"/>
                  </w:tcBorders>
                  <w:vAlign w:val="center"/>
                </w:tcPr>
                <w:p w14:paraId="03A87834">
                  <w:pPr>
                    <w:autoSpaceDE w:val="0"/>
                    <w:autoSpaceDN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类标准值</w:t>
                  </w:r>
                </w:p>
              </w:tc>
              <w:tc>
                <w:tcPr>
                  <w:tcW w:w="1350" w:type="dxa"/>
                  <w:tcBorders>
                    <w:tl2br w:val="nil"/>
                    <w:tr2bl w:val="nil"/>
                  </w:tcBorders>
                  <w:vAlign w:val="center"/>
                </w:tcPr>
                <w:p w14:paraId="2C19FEFB">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70</w:t>
                  </w:r>
                </w:p>
              </w:tc>
              <w:tc>
                <w:tcPr>
                  <w:tcW w:w="1216" w:type="dxa"/>
                  <w:tcBorders>
                    <w:tl2br w:val="nil"/>
                    <w:tr2bl w:val="nil"/>
                  </w:tcBorders>
                  <w:vAlign w:val="center"/>
                </w:tcPr>
                <w:p w14:paraId="250E12CD">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55</w:t>
                  </w:r>
                </w:p>
              </w:tc>
              <w:tc>
                <w:tcPr>
                  <w:tcW w:w="1726" w:type="pct"/>
                  <w:tcBorders>
                    <w:tl2br w:val="nil"/>
                    <w:tr2bl w:val="nil"/>
                  </w:tcBorders>
                  <w:vAlign w:val="center"/>
                </w:tcPr>
                <w:p w14:paraId="1CF0E3BC">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北厂界</w:t>
                  </w:r>
                </w:p>
              </w:tc>
            </w:tr>
          </w:tbl>
          <w:p w14:paraId="5A0007DE">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4、固体废物</w:t>
            </w:r>
          </w:p>
          <w:p w14:paraId="29DE182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①一般工业固体废物贮存及处置场所参照执行《一般工业固体废物贮存和填埋污染控制标准》（GB18599-2020）要求。</w:t>
            </w:r>
          </w:p>
          <w:p w14:paraId="749F980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危险废物收集、贮存、管理及转运等环节应执行《危险废物贮存污染控制标准》（GB18597-2023）、《危险废物识别标志设置技术规范》（HJ1276-2022）、《省生态环境厅关于印发江苏省固体废物全过程环境监管工作意见》（苏环办〔2024〕16号）、《省生态环境厅关于进一步加强危险废物环境管理工作的通知》（苏环办〔2021〕207号）等相关要求。</w:t>
            </w:r>
          </w:p>
          <w:p w14:paraId="35992E5C">
            <w:pPr>
              <w:spacing w:line="360" w:lineRule="auto"/>
              <w:ind w:firstLine="480" w:firstLineChars="200"/>
              <w:rPr>
                <w:rFonts w:hint="default" w:ascii="Times New Roman" w:hAnsi="Times New Roman" w:eastAsia="宋体" w:cs="Times New Roman"/>
                <w:color w:val="auto"/>
                <w:sz w:val="24"/>
              </w:rPr>
            </w:pPr>
          </w:p>
          <w:p w14:paraId="18D896B5">
            <w:pPr>
              <w:spacing w:line="360" w:lineRule="auto"/>
              <w:rPr>
                <w:rFonts w:hint="default" w:ascii="Times New Roman" w:hAnsi="Times New Roman" w:eastAsia="宋体" w:cs="Times New Roman"/>
                <w:color w:val="auto"/>
                <w:sz w:val="24"/>
              </w:rPr>
            </w:pPr>
          </w:p>
        </w:tc>
      </w:tr>
      <w:tr w14:paraId="4CD2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8" w:type="pct"/>
            <w:vAlign w:val="center"/>
          </w:tcPr>
          <w:p w14:paraId="4789BCF8">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总量控制指标</w:t>
            </w:r>
          </w:p>
        </w:tc>
        <w:tc>
          <w:tcPr>
            <w:tcW w:w="4581" w:type="pct"/>
          </w:tcPr>
          <w:p w14:paraId="18062DB7">
            <w:pPr>
              <w:keepNext w:val="0"/>
              <w:keepLines w:val="0"/>
              <w:pageBreakBefore w:val="0"/>
              <w:numPr>
                <w:ilvl w:val="0"/>
                <w:numId w:val="0"/>
              </w:numPr>
              <w:kinsoku/>
              <w:wordWrap/>
              <w:topLinePunct w:val="0"/>
              <w:autoSpaceDE/>
              <w:autoSpaceDN/>
              <w:bidi w:val="0"/>
              <w:adjustRightInd w:val="0"/>
              <w:snapToGrid w:val="0"/>
              <w:spacing w:line="500" w:lineRule="exact"/>
              <w:jc w:val="left"/>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1、总量控制指标</w:t>
            </w:r>
          </w:p>
          <w:p w14:paraId="22982FC7">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本项目污染物总量控制指标及来源途径见下表。</w:t>
            </w:r>
          </w:p>
          <w:p w14:paraId="19CF0258">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表3-</w:t>
            </w:r>
            <w:r>
              <w:rPr>
                <w:rFonts w:hint="eastAsia" w:ascii="Times New Roman" w:hAnsi="Times New Roman" w:eastAsia="宋体" w:cs="Times New Roman"/>
                <w:b/>
                <w:color w:val="auto"/>
                <w:sz w:val="24"/>
                <w:lang w:val="en-US" w:eastAsia="zh-CN"/>
              </w:rPr>
              <w:t>12</w:t>
            </w:r>
            <w:r>
              <w:rPr>
                <w:rFonts w:hint="default" w:ascii="Times New Roman" w:hAnsi="Times New Roman" w:eastAsia="宋体" w:cs="Times New Roman"/>
                <w:b/>
                <w:color w:val="auto"/>
                <w:sz w:val="24"/>
              </w:rPr>
              <w:t xml:space="preserve">  建设项目全厂污染物排放总量表（单位：t/a）</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Layout w:type="fixed"/>
              <w:tblCellMar>
                <w:top w:w="0" w:type="dxa"/>
                <w:left w:w="108" w:type="dxa"/>
                <w:bottom w:w="0" w:type="dxa"/>
                <w:right w:w="108" w:type="dxa"/>
              </w:tblCellMar>
            </w:tblPr>
            <w:tblGrid>
              <w:gridCol w:w="562"/>
              <w:gridCol w:w="642"/>
              <w:gridCol w:w="1156"/>
              <w:gridCol w:w="1151"/>
              <w:gridCol w:w="1143"/>
              <w:gridCol w:w="1276"/>
              <w:gridCol w:w="1221"/>
              <w:gridCol w:w="1140"/>
            </w:tblGrid>
            <w:tr w14:paraId="2136F48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23" w:type="pct"/>
                  <w:gridSpan w:val="3"/>
                  <w:vMerge w:val="restart"/>
                  <w:vAlign w:val="center"/>
                </w:tcPr>
                <w:p w14:paraId="035EF23D">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污染物名称</w:t>
                  </w:r>
                </w:p>
              </w:tc>
              <w:tc>
                <w:tcPr>
                  <w:tcW w:w="694" w:type="pct"/>
                  <w:vMerge w:val="restart"/>
                  <w:vAlign w:val="center"/>
                </w:tcPr>
                <w:p w14:paraId="29E16E9F">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本项目产生量</w:t>
                  </w:r>
                </w:p>
              </w:tc>
              <w:tc>
                <w:tcPr>
                  <w:tcW w:w="689" w:type="pct"/>
                  <w:vMerge w:val="restart"/>
                  <w:vAlign w:val="center"/>
                </w:tcPr>
                <w:p w14:paraId="696EBD94">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本项目排放量</w:t>
                  </w:r>
                </w:p>
              </w:tc>
              <w:tc>
                <w:tcPr>
                  <w:tcW w:w="1505" w:type="pct"/>
                  <w:gridSpan w:val="2"/>
                  <w:vAlign w:val="center"/>
                </w:tcPr>
                <w:p w14:paraId="6FA0F172">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申请量</w:t>
                  </w:r>
                </w:p>
              </w:tc>
              <w:tc>
                <w:tcPr>
                  <w:tcW w:w="687" w:type="pct"/>
                  <w:vMerge w:val="restart"/>
                  <w:vAlign w:val="center"/>
                </w:tcPr>
                <w:p w14:paraId="1495B569">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最终排入外环境量</w:t>
                  </w:r>
                </w:p>
              </w:tc>
            </w:tr>
            <w:tr w14:paraId="20432C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23" w:type="pct"/>
                  <w:gridSpan w:val="3"/>
                  <w:vMerge w:val="continue"/>
                  <w:vAlign w:val="center"/>
                </w:tcPr>
                <w:p w14:paraId="76A1E9B7">
                  <w:pPr>
                    <w:jc w:val="center"/>
                    <w:rPr>
                      <w:rFonts w:hint="default" w:ascii="Times New Roman" w:hAnsi="Times New Roman" w:eastAsia="宋体" w:cs="Times New Roman"/>
                      <w:b/>
                      <w:color w:val="auto"/>
                      <w:kern w:val="0"/>
                      <w:sz w:val="21"/>
                      <w:szCs w:val="21"/>
                    </w:rPr>
                  </w:pPr>
                </w:p>
              </w:tc>
              <w:tc>
                <w:tcPr>
                  <w:tcW w:w="694" w:type="pct"/>
                  <w:vMerge w:val="continue"/>
                  <w:vAlign w:val="center"/>
                </w:tcPr>
                <w:p w14:paraId="7C371A28">
                  <w:pPr>
                    <w:jc w:val="center"/>
                    <w:rPr>
                      <w:rFonts w:hint="default" w:ascii="Times New Roman" w:hAnsi="Times New Roman" w:eastAsia="宋体" w:cs="Times New Roman"/>
                      <w:b/>
                      <w:color w:val="auto"/>
                      <w:kern w:val="0"/>
                      <w:sz w:val="21"/>
                      <w:szCs w:val="21"/>
                    </w:rPr>
                  </w:pPr>
                </w:p>
              </w:tc>
              <w:tc>
                <w:tcPr>
                  <w:tcW w:w="689" w:type="pct"/>
                  <w:vMerge w:val="continue"/>
                  <w:vAlign w:val="center"/>
                </w:tcPr>
                <w:p w14:paraId="7A7D10A8">
                  <w:pPr>
                    <w:jc w:val="center"/>
                    <w:rPr>
                      <w:rFonts w:hint="default" w:ascii="Times New Roman" w:hAnsi="Times New Roman" w:eastAsia="宋体" w:cs="Times New Roman"/>
                      <w:b/>
                      <w:color w:val="auto"/>
                      <w:kern w:val="0"/>
                      <w:sz w:val="21"/>
                      <w:szCs w:val="21"/>
                    </w:rPr>
                  </w:pPr>
                </w:p>
              </w:tc>
              <w:tc>
                <w:tcPr>
                  <w:tcW w:w="769" w:type="pct"/>
                  <w:vAlign w:val="center"/>
                </w:tcPr>
                <w:p w14:paraId="72582BB7">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控制因子</w:t>
                  </w:r>
                </w:p>
              </w:tc>
              <w:tc>
                <w:tcPr>
                  <w:tcW w:w="736" w:type="pct"/>
                  <w:vAlign w:val="center"/>
                </w:tcPr>
                <w:p w14:paraId="2C50B216">
                  <w:pPr>
                    <w:jc w:val="center"/>
                    <w:rPr>
                      <w:rFonts w:hint="default" w:ascii="Times New Roman" w:hAnsi="Times New Roman" w:eastAsia="宋体" w:cs="Times New Roman"/>
                      <w:b/>
                      <w:color w:val="auto"/>
                      <w:kern w:val="0"/>
                      <w:sz w:val="21"/>
                      <w:szCs w:val="21"/>
                    </w:rPr>
                  </w:pPr>
                  <w:r>
                    <w:rPr>
                      <w:rFonts w:hint="default" w:ascii="Times New Roman" w:hAnsi="Times New Roman" w:eastAsia="宋体" w:cs="Times New Roman"/>
                      <w:b/>
                      <w:color w:val="auto"/>
                      <w:kern w:val="0"/>
                      <w:sz w:val="21"/>
                      <w:szCs w:val="21"/>
                    </w:rPr>
                    <w:t>考核因子</w:t>
                  </w:r>
                </w:p>
              </w:tc>
              <w:tc>
                <w:tcPr>
                  <w:tcW w:w="687" w:type="pct"/>
                  <w:vMerge w:val="continue"/>
                  <w:vAlign w:val="center"/>
                </w:tcPr>
                <w:p w14:paraId="1BDA936D">
                  <w:pPr>
                    <w:jc w:val="center"/>
                    <w:rPr>
                      <w:rFonts w:hint="default" w:ascii="Times New Roman" w:hAnsi="Times New Roman" w:eastAsia="宋体" w:cs="Times New Roman"/>
                      <w:color w:val="auto"/>
                      <w:kern w:val="0"/>
                      <w:sz w:val="21"/>
                      <w:szCs w:val="21"/>
                    </w:rPr>
                  </w:pPr>
                </w:p>
              </w:tc>
            </w:tr>
            <w:tr w14:paraId="0ECC7BE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restart"/>
                  <w:vAlign w:val="center"/>
                </w:tcPr>
                <w:p w14:paraId="6FF736F9">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生活污水</w:t>
                  </w:r>
                </w:p>
              </w:tc>
              <w:tc>
                <w:tcPr>
                  <w:tcW w:w="697" w:type="pct"/>
                  <w:vAlign w:val="center"/>
                </w:tcPr>
                <w:p w14:paraId="5A8C1425">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水量</w:t>
                  </w:r>
                </w:p>
              </w:tc>
              <w:tc>
                <w:tcPr>
                  <w:tcW w:w="694" w:type="pct"/>
                  <w:vAlign w:val="center"/>
                </w:tcPr>
                <w:p w14:paraId="1B48237C">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384</w:t>
                  </w:r>
                </w:p>
              </w:tc>
              <w:tc>
                <w:tcPr>
                  <w:tcW w:w="689" w:type="pct"/>
                  <w:vAlign w:val="center"/>
                </w:tcPr>
                <w:p w14:paraId="04FFFBD8">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384</w:t>
                  </w:r>
                </w:p>
              </w:tc>
              <w:tc>
                <w:tcPr>
                  <w:tcW w:w="769" w:type="pct"/>
                  <w:vAlign w:val="center"/>
                </w:tcPr>
                <w:p w14:paraId="016E7FD5">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rPr>
                    <w:t>384</w:t>
                  </w:r>
                </w:p>
              </w:tc>
              <w:tc>
                <w:tcPr>
                  <w:tcW w:w="736" w:type="pct"/>
                  <w:vAlign w:val="center"/>
                </w:tcPr>
                <w:p w14:paraId="1C6BB15C">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vAlign w:val="center"/>
                </w:tcPr>
                <w:p w14:paraId="5FB0C20C">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rPr>
                    <w:t>384</w:t>
                  </w:r>
                </w:p>
              </w:tc>
            </w:tr>
            <w:tr w14:paraId="238F730B">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321E19F3">
                  <w:pPr>
                    <w:jc w:val="center"/>
                    <w:rPr>
                      <w:rFonts w:hint="default" w:ascii="Times New Roman" w:hAnsi="Times New Roman" w:eastAsia="宋体" w:cs="Times New Roman"/>
                      <w:color w:val="auto"/>
                      <w:kern w:val="0"/>
                      <w:sz w:val="21"/>
                      <w:szCs w:val="21"/>
                    </w:rPr>
                  </w:pPr>
                </w:p>
              </w:tc>
              <w:tc>
                <w:tcPr>
                  <w:tcW w:w="697" w:type="pct"/>
                  <w:vAlign w:val="center"/>
                </w:tcPr>
                <w:p w14:paraId="7F4DF50C">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694" w:type="pct"/>
                  <w:vAlign w:val="center"/>
                </w:tcPr>
                <w:p w14:paraId="135C339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0.154</w:t>
                  </w:r>
                </w:p>
              </w:tc>
              <w:tc>
                <w:tcPr>
                  <w:tcW w:w="689" w:type="pct"/>
                  <w:vAlign w:val="center"/>
                </w:tcPr>
                <w:p w14:paraId="0C1A049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0.154</w:t>
                  </w:r>
                </w:p>
              </w:tc>
              <w:tc>
                <w:tcPr>
                  <w:tcW w:w="769" w:type="pct"/>
                  <w:vAlign w:val="center"/>
                </w:tcPr>
                <w:p w14:paraId="2D9DA41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0.154</w:t>
                  </w:r>
                </w:p>
              </w:tc>
              <w:tc>
                <w:tcPr>
                  <w:tcW w:w="736" w:type="pct"/>
                  <w:vAlign w:val="center"/>
                </w:tcPr>
                <w:p w14:paraId="21E423F9">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vAlign w:val="center"/>
                </w:tcPr>
                <w:p w14:paraId="13B5BC8C">
                  <w:pPr>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0.0192</w:t>
                  </w:r>
                </w:p>
              </w:tc>
            </w:tr>
            <w:tr w14:paraId="21C69BA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756612D8">
                  <w:pPr>
                    <w:jc w:val="center"/>
                    <w:rPr>
                      <w:rFonts w:hint="default" w:ascii="Times New Roman" w:hAnsi="Times New Roman" w:eastAsia="宋体" w:cs="Times New Roman"/>
                      <w:color w:val="auto"/>
                      <w:kern w:val="0"/>
                      <w:sz w:val="21"/>
                      <w:szCs w:val="21"/>
                    </w:rPr>
                  </w:pPr>
                </w:p>
              </w:tc>
              <w:tc>
                <w:tcPr>
                  <w:tcW w:w="697" w:type="pct"/>
                  <w:vAlign w:val="center"/>
                </w:tcPr>
                <w:p w14:paraId="6CEABD1E">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694" w:type="pct"/>
                  <w:vAlign w:val="center"/>
                </w:tcPr>
                <w:p w14:paraId="0231B27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0.077</w:t>
                  </w:r>
                </w:p>
              </w:tc>
              <w:tc>
                <w:tcPr>
                  <w:tcW w:w="689" w:type="pct"/>
                  <w:vAlign w:val="center"/>
                </w:tcPr>
                <w:p w14:paraId="410AEE9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0.077</w:t>
                  </w:r>
                </w:p>
              </w:tc>
              <w:tc>
                <w:tcPr>
                  <w:tcW w:w="769" w:type="pct"/>
                  <w:vAlign w:val="center"/>
                </w:tcPr>
                <w:p w14:paraId="09A2469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0"/>
                      <w:sz w:val="21"/>
                      <w:szCs w:val="21"/>
                    </w:rPr>
                    <w:t>/</w:t>
                  </w:r>
                </w:p>
              </w:tc>
              <w:tc>
                <w:tcPr>
                  <w:tcW w:w="736" w:type="pct"/>
                  <w:vAlign w:val="center"/>
                </w:tcPr>
                <w:p w14:paraId="770BC03D">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0.077</w:t>
                  </w:r>
                </w:p>
              </w:tc>
              <w:tc>
                <w:tcPr>
                  <w:tcW w:w="687" w:type="pct"/>
                  <w:vAlign w:val="center"/>
                </w:tcPr>
                <w:p w14:paraId="43945436">
                  <w:pPr>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0.00384</w:t>
                  </w:r>
                </w:p>
              </w:tc>
            </w:tr>
            <w:tr w14:paraId="33E68AF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01B99015">
                  <w:pPr>
                    <w:jc w:val="center"/>
                    <w:rPr>
                      <w:rFonts w:hint="default" w:ascii="Times New Roman" w:hAnsi="Times New Roman" w:eastAsia="宋体" w:cs="Times New Roman"/>
                      <w:color w:val="auto"/>
                      <w:kern w:val="0"/>
                      <w:sz w:val="21"/>
                      <w:szCs w:val="21"/>
                    </w:rPr>
                  </w:pPr>
                </w:p>
              </w:tc>
              <w:tc>
                <w:tcPr>
                  <w:tcW w:w="697" w:type="pct"/>
                  <w:vAlign w:val="center"/>
                </w:tcPr>
                <w:p w14:paraId="1DFDDEEF">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p>
              </w:tc>
              <w:tc>
                <w:tcPr>
                  <w:tcW w:w="694" w:type="pct"/>
                  <w:vAlign w:val="center"/>
                </w:tcPr>
                <w:p w14:paraId="6879526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689" w:type="pct"/>
                  <w:vAlign w:val="center"/>
                </w:tcPr>
                <w:p w14:paraId="461531C8">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769" w:type="pct"/>
                  <w:vAlign w:val="center"/>
                </w:tcPr>
                <w:p w14:paraId="4512E2D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736" w:type="pct"/>
                  <w:vAlign w:val="center"/>
                </w:tcPr>
                <w:p w14:paraId="0E02EF7F">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vAlign w:val="center"/>
                </w:tcPr>
                <w:p w14:paraId="6F99853B">
                  <w:pPr>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0.0015</w:t>
                  </w:r>
                </w:p>
              </w:tc>
            </w:tr>
            <w:tr w14:paraId="7E1271AD">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4023D7D0">
                  <w:pPr>
                    <w:jc w:val="center"/>
                    <w:rPr>
                      <w:rFonts w:hint="default" w:ascii="Times New Roman" w:hAnsi="Times New Roman" w:eastAsia="宋体" w:cs="Times New Roman"/>
                      <w:color w:val="auto"/>
                      <w:kern w:val="0"/>
                      <w:sz w:val="21"/>
                      <w:szCs w:val="21"/>
                    </w:rPr>
                  </w:pPr>
                </w:p>
              </w:tc>
              <w:tc>
                <w:tcPr>
                  <w:tcW w:w="697" w:type="pct"/>
                  <w:vAlign w:val="center"/>
                </w:tcPr>
                <w:p w14:paraId="3624670E">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TP</w:t>
                  </w:r>
                </w:p>
              </w:tc>
              <w:tc>
                <w:tcPr>
                  <w:tcW w:w="694" w:type="pct"/>
                  <w:vAlign w:val="center"/>
                </w:tcPr>
                <w:p w14:paraId="160D91F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0.0008</w:t>
                  </w:r>
                </w:p>
              </w:tc>
              <w:tc>
                <w:tcPr>
                  <w:tcW w:w="689" w:type="pct"/>
                  <w:vAlign w:val="center"/>
                </w:tcPr>
                <w:p w14:paraId="2F6D575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0.0008</w:t>
                  </w:r>
                </w:p>
              </w:tc>
              <w:tc>
                <w:tcPr>
                  <w:tcW w:w="769" w:type="pct"/>
                  <w:vAlign w:val="center"/>
                </w:tcPr>
                <w:p w14:paraId="5DC2E1E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0.0008</w:t>
                  </w:r>
                </w:p>
              </w:tc>
              <w:tc>
                <w:tcPr>
                  <w:tcW w:w="736" w:type="pct"/>
                  <w:vAlign w:val="center"/>
                </w:tcPr>
                <w:p w14:paraId="44F43E32">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vAlign w:val="center"/>
                </w:tcPr>
                <w:p w14:paraId="7BD518A4">
                  <w:pPr>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0.00019</w:t>
                  </w:r>
                </w:p>
              </w:tc>
            </w:tr>
            <w:tr w14:paraId="190D7A2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56B277B8">
                  <w:pPr>
                    <w:jc w:val="center"/>
                    <w:rPr>
                      <w:rFonts w:hint="default" w:ascii="Times New Roman" w:hAnsi="Times New Roman" w:eastAsia="宋体" w:cs="Times New Roman"/>
                      <w:color w:val="auto"/>
                      <w:kern w:val="0"/>
                      <w:sz w:val="21"/>
                      <w:szCs w:val="21"/>
                    </w:rPr>
                  </w:pPr>
                </w:p>
              </w:tc>
              <w:tc>
                <w:tcPr>
                  <w:tcW w:w="697" w:type="pct"/>
                  <w:vAlign w:val="center"/>
                </w:tcPr>
                <w:p w14:paraId="1EFE45D8">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TN</w:t>
                  </w:r>
                </w:p>
              </w:tc>
              <w:tc>
                <w:tcPr>
                  <w:tcW w:w="694" w:type="pct"/>
                  <w:vAlign w:val="center"/>
                </w:tcPr>
                <w:p w14:paraId="248EB05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689" w:type="pct"/>
                  <w:vAlign w:val="center"/>
                </w:tcPr>
                <w:p w14:paraId="6E4E5A0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769" w:type="pct"/>
                  <w:vAlign w:val="center"/>
                </w:tcPr>
                <w:p w14:paraId="799CD1E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736" w:type="pct"/>
                  <w:vAlign w:val="center"/>
                </w:tcPr>
                <w:p w14:paraId="59E85001">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vAlign w:val="center"/>
                </w:tcPr>
                <w:p w14:paraId="6FC9782B">
                  <w:pPr>
                    <w:jc w:val="center"/>
                    <w:rPr>
                      <w:rFonts w:hint="default" w:ascii="Times New Roman" w:hAnsi="Times New Roman" w:eastAsia="宋体" w:cs="Times New Roman"/>
                      <w:snapToGrid w:val="0"/>
                      <w:color w:val="auto"/>
                      <w:kern w:val="0"/>
                      <w:sz w:val="21"/>
                      <w:szCs w:val="21"/>
                      <w:lang w:val="en-US" w:eastAsia="zh-CN"/>
                    </w:rPr>
                  </w:pPr>
                  <w:r>
                    <w:rPr>
                      <w:rFonts w:hint="default" w:ascii="Times New Roman" w:hAnsi="Times New Roman" w:eastAsia="宋体" w:cs="Times New Roman"/>
                      <w:snapToGrid w:val="0"/>
                      <w:color w:val="auto"/>
                      <w:kern w:val="0"/>
                      <w:sz w:val="21"/>
                      <w:szCs w:val="21"/>
                      <w:lang w:val="en-US" w:eastAsia="zh-CN"/>
                    </w:rPr>
                    <w:t>0.0046</w:t>
                  </w:r>
                </w:p>
              </w:tc>
            </w:tr>
            <w:tr w14:paraId="70AAB67C">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38" w:type="pct"/>
                  <w:vMerge w:val="restart"/>
                  <w:vAlign w:val="center"/>
                </w:tcPr>
                <w:p w14:paraId="6CA128E0">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大气污染物</w:t>
                  </w:r>
                </w:p>
              </w:tc>
              <w:tc>
                <w:tcPr>
                  <w:tcW w:w="387" w:type="pct"/>
                  <w:vMerge w:val="restart"/>
                  <w:vAlign w:val="center"/>
                </w:tcPr>
                <w:p w14:paraId="431CC278">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有组织</w:t>
                  </w:r>
                </w:p>
              </w:tc>
              <w:tc>
                <w:tcPr>
                  <w:tcW w:w="697" w:type="pct"/>
                  <w:shd w:val="clear" w:color="auto" w:fill="auto"/>
                  <w:vAlign w:val="center"/>
                </w:tcPr>
                <w:p w14:paraId="65EDD1A4">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颗粒物</w:t>
                  </w:r>
                </w:p>
              </w:tc>
              <w:tc>
                <w:tcPr>
                  <w:tcW w:w="694" w:type="pct"/>
                  <w:vAlign w:val="center"/>
                </w:tcPr>
                <w:p w14:paraId="6200CF53">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1.005</w:t>
                  </w:r>
                </w:p>
              </w:tc>
              <w:tc>
                <w:tcPr>
                  <w:tcW w:w="689" w:type="pct"/>
                  <w:shd w:val="clear" w:color="auto" w:fill="auto"/>
                  <w:vAlign w:val="center"/>
                </w:tcPr>
                <w:p w14:paraId="2C9CC7CC">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0.095</w:t>
                  </w:r>
                </w:p>
              </w:tc>
              <w:tc>
                <w:tcPr>
                  <w:tcW w:w="769" w:type="pct"/>
                  <w:shd w:val="clear" w:color="auto" w:fill="auto"/>
                  <w:vAlign w:val="center"/>
                </w:tcPr>
                <w:p w14:paraId="06636126">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0.095</w:t>
                  </w:r>
                </w:p>
              </w:tc>
              <w:tc>
                <w:tcPr>
                  <w:tcW w:w="736" w:type="pct"/>
                  <w:vAlign w:val="center"/>
                </w:tcPr>
                <w:p w14:paraId="364C640A">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24A8394B">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0.095</w:t>
                  </w:r>
                </w:p>
              </w:tc>
            </w:tr>
            <w:tr w14:paraId="21B4E8D7">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38" w:type="pct"/>
                  <w:vMerge w:val="continue"/>
                  <w:vAlign w:val="center"/>
                </w:tcPr>
                <w:p w14:paraId="759F6D36">
                  <w:pPr>
                    <w:jc w:val="center"/>
                    <w:rPr>
                      <w:rFonts w:hint="default" w:ascii="Times New Roman" w:hAnsi="Times New Roman" w:eastAsia="宋体" w:cs="Times New Roman"/>
                      <w:color w:val="auto"/>
                      <w:kern w:val="0"/>
                      <w:sz w:val="21"/>
                      <w:szCs w:val="21"/>
                    </w:rPr>
                  </w:pPr>
                </w:p>
              </w:tc>
              <w:tc>
                <w:tcPr>
                  <w:tcW w:w="387" w:type="pct"/>
                  <w:vMerge w:val="continue"/>
                  <w:vAlign w:val="center"/>
                </w:tcPr>
                <w:p w14:paraId="0BFD394B">
                  <w:pPr>
                    <w:jc w:val="center"/>
                    <w:rPr>
                      <w:rFonts w:hint="default" w:ascii="Times New Roman" w:hAnsi="Times New Roman" w:eastAsia="宋体" w:cs="Times New Roman"/>
                      <w:color w:val="auto"/>
                      <w:kern w:val="0"/>
                      <w:sz w:val="21"/>
                      <w:szCs w:val="21"/>
                    </w:rPr>
                  </w:pPr>
                </w:p>
              </w:tc>
              <w:tc>
                <w:tcPr>
                  <w:tcW w:w="697" w:type="pct"/>
                  <w:shd w:val="clear" w:color="auto" w:fill="auto"/>
                  <w:vAlign w:val="center"/>
                </w:tcPr>
                <w:p w14:paraId="767A3233">
                  <w:pPr>
                    <w:contextualSpacing/>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非甲烷总烃</w:t>
                  </w:r>
                </w:p>
              </w:tc>
              <w:tc>
                <w:tcPr>
                  <w:tcW w:w="694" w:type="pct"/>
                  <w:vAlign w:val="center"/>
                </w:tcPr>
                <w:p w14:paraId="6122EBC7">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0.272</w:t>
                  </w:r>
                </w:p>
              </w:tc>
              <w:tc>
                <w:tcPr>
                  <w:tcW w:w="689" w:type="pct"/>
                  <w:shd w:val="clear" w:color="auto" w:fill="auto"/>
                  <w:vAlign w:val="center"/>
                </w:tcPr>
                <w:p w14:paraId="7566F573">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0.027</w:t>
                  </w:r>
                </w:p>
              </w:tc>
              <w:tc>
                <w:tcPr>
                  <w:tcW w:w="769" w:type="pct"/>
                  <w:shd w:val="clear" w:color="auto" w:fill="auto"/>
                  <w:vAlign w:val="center"/>
                </w:tcPr>
                <w:p w14:paraId="336B4CFD">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0.027</w:t>
                  </w:r>
                </w:p>
              </w:tc>
              <w:tc>
                <w:tcPr>
                  <w:tcW w:w="736" w:type="pct"/>
                  <w:vAlign w:val="center"/>
                </w:tcPr>
                <w:p w14:paraId="6FB53BD6">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064A8A0A">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0.027</w:t>
                  </w:r>
                </w:p>
              </w:tc>
            </w:tr>
            <w:tr w14:paraId="56A6C603">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38" w:type="pct"/>
                  <w:vMerge w:val="continue"/>
                  <w:vAlign w:val="center"/>
                </w:tcPr>
                <w:p w14:paraId="4A8C61C8">
                  <w:pPr>
                    <w:jc w:val="center"/>
                    <w:rPr>
                      <w:rFonts w:hint="default" w:ascii="Times New Roman" w:hAnsi="Times New Roman" w:eastAsia="宋体" w:cs="Times New Roman"/>
                      <w:color w:val="auto"/>
                      <w:kern w:val="0"/>
                      <w:sz w:val="21"/>
                      <w:szCs w:val="21"/>
                    </w:rPr>
                  </w:pPr>
                </w:p>
              </w:tc>
              <w:tc>
                <w:tcPr>
                  <w:tcW w:w="387" w:type="pct"/>
                  <w:vMerge w:val="continue"/>
                  <w:vAlign w:val="center"/>
                </w:tcPr>
                <w:p w14:paraId="43B4E1ED">
                  <w:pPr>
                    <w:jc w:val="center"/>
                    <w:rPr>
                      <w:rFonts w:hint="default" w:ascii="Times New Roman" w:hAnsi="Times New Roman" w:eastAsia="宋体" w:cs="Times New Roman"/>
                      <w:color w:val="auto"/>
                      <w:kern w:val="0"/>
                      <w:sz w:val="21"/>
                      <w:szCs w:val="21"/>
                    </w:rPr>
                  </w:pPr>
                </w:p>
              </w:tc>
              <w:tc>
                <w:tcPr>
                  <w:tcW w:w="697" w:type="pct"/>
                  <w:shd w:val="clear" w:color="auto" w:fill="auto"/>
                  <w:vAlign w:val="center"/>
                </w:tcPr>
                <w:p w14:paraId="7C4224CD">
                  <w:pPr>
                    <w:contextualSpacing/>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氨气</w:t>
                  </w:r>
                </w:p>
              </w:tc>
              <w:tc>
                <w:tcPr>
                  <w:tcW w:w="694" w:type="pct"/>
                  <w:vAlign w:val="center"/>
                </w:tcPr>
                <w:p w14:paraId="7C77B754">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0.087</w:t>
                  </w:r>
                </w:p>
              </w:tc>
              <w:tc>
                <w:tcPr>
                  <w:tcW w:w="689" w:type="pct"/>
                  <w:shd w:val="clear" w:color="auto" w:fill="auto"/>
                  <w:vAlign w:val="center"/>
                </w:tcPr>
                <w:p w14:paraId="755E1744">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0.013</w:t>
                  </w:r>
                </w:p>
              </w:tc>
              <w:tc>
                <w:tcPr>
                  <w:tcW w:w="769" w:type="pct"/>
                  <w:shd w:val="clear" w:color="auto" w:fill="auto"/>
                  <w:vAlign w:val="center"/>
                </w:tcPr>
                <w:p w14:paraId="2165AFB4">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736" w:type="pct"/>
                  <w:vAlign w:val="center"/>
                </w:tcPr>
                <w:p w14:paraId="0ED1AE62">
                  <w:pPr>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bCs/>
                      <w:color w:val="auto"/>
                      <w:kern w:val="2"/>
                      <w:sz w:val="21"/>
                      <w:szCs w:val="21"/>
                      <w:lang w:val="en-US" w:eastAsia="zh-CN" w:bidi="ar-SA"/>
                    </w:rPr>
                    <w:t>0.013</w:t>
                  </w:r>
                </w:p>
              </w:tc>
              <w:tc>
                <w:tcPr>
                  <w:tcW w:w="687" w:type="pct"/>
                  <w:shd w:val="clear" w:color="auto" w:fill="auto"/>
                  <w:vAlign w:val="center"/>
                </w:tcPr>
                <w:p w14:paraId="52D897A0">
                  <w:pPr>
                    <w:contextualSpacing/>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0.013</w:t>
                  </w:r>
                </w:p>
              </w:tc>
            </w:tr>
            <w:tr w14:paraId="7D1810E0">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38" w:type="pct"/>
                  <w:vMerge w:val="continue"/>
                  <w:vAlign w:val="center"/>
                </w:tcPr>
                <w:p w14:paraId="00895251">
                  <w:pPr>
                    <w:jc w:val="center"/>
                    <w:rPr>
                      <w:rFonts w:hint="default" w:ascii="Times New Roman" w:hAnsi="Times New Roman" w:eastAsia="宋体" w:cs="Times New Roman"/>
                      <w:color w:val="auto"/>
                      <w:kern w:val="0"/>
                      <w:sz w:val="21"/>
                      <w:szCs w:val="21"/>
                    </w:rPr>
                  </w:pPr>
                </w:p>
              </w:tc>
              <w:tc>
                <w:tcPr>
                  <w:tcW w:w="387" w:type="pct"/>
                  <w:vMerge w:val="restart"/>
                  <w:vAlign w:val="center"/>
                </w:tcPr>
                <w:p w14:paraId="0EAFF569">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无组织</w:t>
                  </w:r>
                </w:p>
              </w:tc>
              <w:tc>
                <w:tcPr>
                  <w:tcW w:w="697" w:type="pct"/>
                  <w:vAlign w:val="center"/>
                </w:tcPr>
                <w:p w14:paraId="461F8760">
                  <w:pPr>
                    <w:contextualSpacing/>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bCs/>
                      <w:color w:val="auto"/>
                      <w:sz w:val="21"/>
                      <w:szCs w:val="21"/>
                      <w:lang w:val="en-US" w:eastAsia="zh-CN"/>
                    </w:rPr>
                    <w:t>颗粒物</w:t>
                  </w:r>
                </w:p>
              </w:tc>
              <w:tc>
                <w:tcPr>
                  <w:tcW w:w="694" w:type="pct"/>
                  <w:shd w:val="clear" w:color="auto" w:fill="auto"/>
                  <w:vAlign w:val="center"/>
                </w:tcPr>
                <w:p w14:paraId="0FE07919">
                  <w:pPr>
                    <w:spacing w:line="276"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0.105</w:t>
                  </w:r>
                </w:p>
              </w:tc>
              <w:tc>
                <w:tcPr>
                  <w:tcW w:w="689" w:type="pct"/>
                  <w:shd w:val="clear" w:color="auto" w:fill="auto"/>
                  <w:vAlign w:val="center"/>
                </w:tcPr>
                <w:p w14:paraId="300995E1">
                  <w:pPr>
                    <w:spacing w:line="276"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0.105</w:t>
                  </w:r>
                </w:p>
              </w:tc>
              <w:tc>
                <w:tcPr>
                  <w:tcW w:w="769" w:type="pct"/>
                  <w:shd w:val="clear" w:color="auto" w:fill="auto"/>
                  <w:vAlign w:val="center"/>
                </w:tcPr>
                <w:p w14:paraId="7867636E">
                  <w:pPr>
                    <w:spacing w:line="276"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0.105</w:t>
                  </w:r>
                </w:p>
              </w:tc>
              <w:tc>
                <w:tcPr>
                  <w:tcW w:w="736" w:type="pct"/>
                  <w:vAlign w:val="center"/>
                </w:tcPr>
                <w:p w14:paraId="7D5DB84F">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5D50BAF1">
                  <w:pPr>
                    <w:spacing w:line="276"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0.105</w:t>
                  </w:r>
                </w:p>
              </w:tc>
            </w:tr>
            <w:tr w14:paraId="2952FB85">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38" w:type="pct"/>
                  <w:vMerge w:val="continue"/>
                  <w:vAlign w:val="center"/>
                </w:tcPr>
                <w:p w14:paraId="40454983">
                  <w:pPr>
                    <w:jc w:val="center"/>
                    <w:rPr>
                      <w:rFonts w:hint="default" w:ascii="Times New Roman" w:hAnsi="Times New Roman" w:eastAsia="宋体" w:cs="Times New Roman"/>
                      <w:color w:val="auto"/>
                      <w:kern w:val="0"/>
                      <w:sz w:val="21"/>
                      <w:szCs w:val="21"/>
                    </w:rPr>
                  </w:pPr>
                </w:p>
              </w:tc>
              <w:tc>
                <w:tcPr>
                  <w:tcW w:w="387" w:type="pct"/>
                  <w:vMerge w:val="continue"/>
                  <w:vAlign w:val="center"/>
                </w:tcPr>
                <w:p w14:paraId="14B51EEF">
                  <w:pPr>
                    <w:jc w:val="center"/>
                    <w:rPr>
                      <w:rFonts w:hint="default" w:ascii="Times New Roman" w:hAnsi="Times New Roman" w:eastAsia="宋体" w:cs="Times New Roman"/>
                      <w:color w:val="auto"/>
                      <w:kern w:val="0"/>
                      <w:sz w:val="21"/>
                      <w:szCs w:val="21"/>
                    </w:rPr>
                  </w:pPr>
                </w:p>
              </w:tc>
              <w:tc>
                <w:tcPr>
                  <w:tcW w:w="697" w:type="pct"/>
                  <w:vAlign w:val="center"/>
                </w:tcPr>
                <w:p w14:paraId="0D69EE17">
                  <w:pPr>
                    <w:contextualSpacing/>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非甲烷总烃</w:t>
                  </w:r>
                </w:p>
              </w:tc>
              <w:tc>
                <w:tcPr>
                  <w:tcW w:w="694" w:type="pct"/>
                  <w:shd w:val="clear" w:color="auto" w:fill="auto"/>
                  <w:vAlign w:val="center"/>
                </w:tcPr>
                <w:p w14:paraId="2BC3F1CF">
                  <w:pPr>
                    <w:spacing w:line="276"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0.03</w:t>
                  </w:r>
                </w:p>
              </w:tc>
              <w:tc>
                <w:tcPr>
                  <w:tcW w:w="689" w:type="pct"/>
                  <w:shd w:val="clear" w:color="auto" w:fill="auto"/>
                  <w:vAlign w:val="center"/>
                </w:tcPr>
                <w:p w14:paraId="0D1B6487">
                  <w:pPr>
                    <w:spacing w:line="276"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0.03</w:t>
                  </w:r>
                </w:p>
              </w:tc>
              <w:tc>
                <w:tcPr>
                  <w:tcW w:w="769" w:type="pct"/>
                  <w:shd w:val="clear" w:color="auto" w:fill="auto"/>
                  <w:vAlign w:val="center"/>
                </w:tcPr>
                <w:p w14:paraId="7DDAD6EC">
                  <w:pPr>
                    <w:spacing w:line="276"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0.03</w:t>
                  </w:r>
                </w:p>
              </w:tc>
              <w:tc>
                <w:tcPr>
                  <w:tcW w:w="736" w:type="pct"/>
                  <w:vAlign w:val="center"/>
                </w:tcPr>
                <w:p w14:paraId="204E6793">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c>
                <w:tcPr>
                  <w:tcW w:w="687" w:type="pct"/>
                  <w:shd w:val="clear" w:color="auto" w:fill="auto"/>
                  <w:vAlign w:val="center"/>
                </w:tcPr>
                <w:p w14:paraId="281BC0B3">
                  <w:pPr>
                    <w:spacing w:line="276"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0.03</w:t>
                  </w:r>
                </w:p>
              </w:tc>
            </w:tr>
            <w:tr w14:paraId="3EB74E34">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338" w:type="pct"/>
                  <w:vMerge w:val="continue"/>
                  <w:vAlign w:val="center"/>
                </w:tcPr>
                <w:p w14:paraId="1B18E922">
                  <w:pPr>
                    <w:jc w:val="center"/>
                    <w:rPr>
                      <w:rFonts w:hint="default" w:ascii="Times New Roman" w:hAnsi="Times New Roman" w:eastAsia="宋体" w:cs="Times New Roman"/>
                      <w:color w:val="auto"/>
                      <w:kern w:val="0"/>
                      <w:sz w:val="21"/>
                      <w:szCs w:val="21"/>
                    </w:rPr>
                  </w:pPr>
                </w:p>
              </w:tc>
              <w:tc>
                <w:tcPr>
                  <w:tcW w:w="387" w:type="pct"/>
                  <w:vMerge w:val="continue"/>
                  <w:vAlign w:val="center"/>
                </w:tcPr>
                <w:p w14:paraId="4B364D39">
                  <w:pPr>
                    <w:jc w:val="center"/>
                    <w:rPr>
                      <w:rFonts w:hint="default" w:ascii="Times New Roman" w:hAnsi="Times New Roman" w:eastAsia="宋体" w:cs="Times New Roman"/>
                      <w:color w:val="auto"/>
                      <w:kern w:val="0"/>
                      <w:sz w:val="21"/>
                      <w:szCs w:val="21"/>
                    </w:rPr>
                  </w:pPr>
                </w:p>
              </w:tc>
              <w:tc>
                <w:tcPr>
                  <w:tcW w:w="697" w:type="pct"/>
                  <w:vAlign w:val="center"/>
                </w:tcPr>
                <w:p w14:paraId="336214D0">
                  <w:pPr>
                    <w:contextualSpacing/>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氨气</w:t>
                  </w:r>
                </w:p>
              </w:tc>
              <w:tc>
                <w:tcPr>
                  <w:tcW w:w="694" w:type="pct"/>
                  <w:shd w:val="clear" w:color="auto" w:fill="auto"/>
                  <w:vAlign w:val="center"/>
                </w:tcPr>
                <w:p w14:paraId="6AC53DD2">
                  <w:pPr>
                    <w:spacing w:line="276" w:lineRule="auto"/>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0.02</w:t>
                  </w:r>
                </w:p>
              </w:tc>
              <w:tc>
                <w:tcPr>
                  <w:tcW w:w="689" w:type="pct"/>
                  <w:shd w:val="clear" w:color="auto" w:fill="auto"/>
                  <w:vAlign w:val="center"/>
                </w:tcPr>
                <w:p w14:paraId="1529FBD8">
                  <w:pPr>
                    <w:spacing w:line="276" w:lineRule="auto"/>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0.02</w:t>
                  </w:r>
                </w:p>
              </w:tc>
              <w:tc>
                <w:tcPr>
                  <w:tcW w:w="769" w:type="pct"/>
                  <w:shd w:val="clear" w:color="auto" w:fill="auto"/>
                  <w:vAlign w:val="center"/>
                </w:tcPr>
                <w:p w14:paraId="6F411923">
                  <w:pPr>
                    <w:spacing w:line="276"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736" w:type="pct"/>
                  <w:shd w:val="clear" w:color="auto" w:fill="auto"/>
                  <w:vAlign w:val="center"/>
                </w:tcPr>
                <w:p w14:paraId="103F41D6">
                  <w:pPr>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bCs/>
                      <w:color w:val="auto"/>
                      <w:sz w:val="21"/>
                      <w:szCs w:val="21"/>
                      <w:lang w:val="en-US" w:eastAsia="zh-CN"/>
                    </w:rPr>
                    <w:t>0.02</w:t>
                  </w:r>
                </w:p>
              </w:tc>
              <w:tc>
                <w:tcPr>
                  <w:tcW w:w="687" w:type="pct"/>
                  <w:shd w:val="clear" w:color="auto" w:fill="auto"/>
                  <w:vAlign w:val="center"/>
                </w:tcPr>
                <w:p w14:paraId="353018A1">
                  <w:pPr>
                    <w:spacing w:line="276" w:lineRule="auto"/>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0.02</w:t>
                  </w:r>
                </w:p>
              </w:tc>
            </w:tr>
            <w:tr w14:paraId="5D0EB9DA">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restart"/>
                  <w:vAlign w:val="center"/>
                </w:tcPr>
                <w:p w14:paraId="7D16585E">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固废</w:t>
                  </w:r>
                </w:p>
              </w:tc>
              <w:tc>
                <w:tcPr>
                  <w:tcW w:w="697" w:type="pct"/>
                  <w:vAlign w:val="center"/>
                </w:tcPr>
                <w:p w14:paraId="58DB7A32">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危险固废</w:t>
                  </w:r>
                </w:p>
              </w:tc>
              <w:tc>
                <w:tcPr>
                  <w:tcW w:w="694" w:type="pct"/>
                  <w:vAlign w:val="center"/>
                </w:tcPr>
                <w:p w14:paraId="05D22020">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16.091</w:t>
                  </w:r>
                </w:p>
              </w:tc>
              <w:tc>
                <w:tcPr>
                  <w:tcW w:w="689" w:type="pct"/>
                  <w:vAlign w:val="center"/>
                </w:tcPr>
                <w:p w14:paraId="2C319E3E">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69" w:type="pct"/>
                  <w:vAlign w:val="center"/>
                </w:tcPr>
                <w:p w14:paraId="2E3F1D27">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36" w:type="pct"/>
                  <w:vAlign w:val="center"/>
                </w:tcPr>
                <w:p w14:paraId="6F68FDA4">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687" w:type="pct"/>
                  <w:vAlign w:val="center"/>
                </w:tcPr>
                <w:p w14:paraId="57E7BD53">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r>
            <w:tr w14:paraId="374401DE">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0312C443">
                  <w:pPr>
                    <w:jc w:val="center"/>
                    <w:rPr>
                      <w:rFonts w:hint="default" w:ascii="Times New Roman" w:hAnsi="Times New Roman" w:eastAsia="宋体" w:cs="Times New Roman"/>
                      <w:color w:val="auto"/>
                      <w:kern w:val="0"/>
                      <w:sz w:val="21"/>
                      <w:szCs w:val="21"/>
                    </w:rPr>
                  </w:pPr>
                </w:p>
              </w:tc>
              <w:tc>
                <w:tcPr>
                  <w:tcW w:w="697" w:type="pct"/>
                  <w:vAlign w:val="center"/>
                </w:tcPr>
                <w:p w14:paraId="5DED7DF5">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一般固废</w:t>
                  </w:r>
                </w:p>
              </w:tc>
              <w:tc>
                <w:tcPr>
                  <w:tcW w:w="694" w:type="pct"/>
                  <w:vAlign w:val="center"/>
                </w:tcPr>
                <w:p w14:paraId="5380AE29">
                  <w:pPr>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0.45</w:t>
                  </w:r>
                </w:p>
              </w:tc>
              <w:tc>
                <w:tcPr>
                  <w:tcW w:w="689" w:type="pct"/>
                  <w:vAlign w:val="center"/>
                </w:tcPr>
                <w:p w14:paraId="0CDB46BA">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69" w:type="pct"/>
                  <w:vAlign w:val="center"/>
                </w:tcPr>
                <w:p w14:paraId="75C5945E">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36" w:type="pct"/>
                  <w:vAlign w:val="center"/>
                </w:tcPr>
                <w:p w14:paraId="4AAD859C">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687" w:type="pct"/>
                  <w:vAlign w:val="center"/>
                </w:tcPr>
                <w:p w14:paraId="67B1AA30">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r>
            <w:tr w14:paraId="74DD1CD9">
              <w:tblPrEx>
                <w:tblBorders>
                  <w:top w:val="single" w:color="auto" w:sz="12" w:space="0"/>
                  <w:left w:val="none" w:color="auto" w:sz="0" w:space="0"/>
                  <w:bottom w:val="single" w:color="auto" w:sz="12" w:space="0"/>
                  <w:right w:val="none" w:color="auto" w:sz="0"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26" w:type="pct"/>
                  <w:gridSpan w:val="2"/>
                  <w:vMerge w:val="continue"/>
                  <w:vAlign w:val="center"/>
                </w:tcPr>
                <w:p w14:paraId="25188DBA">
                  <w:pPr>
                    <w:jc w:val="center"/>
                    <w:rPr>
                      <w:rFonts w:hint="default" w:ascii="Times New Roman" w:hAnsi="Times New Roman" w:eastAsia="宋体" w:cs="Times New Roman"/>
                      <w:color w:val="auto"/>
                      <w:kern w:val="0"/>
                      <w:sz w:val="21"/>
                      <w:szCs w:val="21"/>
                    </w:rPr>
                  </w:pPr>
                </w:p>
              </w:tc>
              <w:tc>
                <w:tcPr>
                  <w:tcW w:w="697" w:type="pct"/>
                  <w:vAlign w:val="center"/>
                </w:tcPr>
                <w:p w14:paraId="3AD1578A">
                  <w:pPr>
                    <w:ind w:left="-105" w:leftChars="-50" w:right="-105" w:rightChars="-5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生活垃圾</w:t>
                  </w:r>
                </w:p>
              </w:tc>
              <w:tc>
                <w:tcPr>
                  <w:tcW w:w="694" w:type="pct"/>
                  <w:vAlign w:val="center"/>
                </w:tcPr>
                <w:p w14:paraId="055BF703">
                  <w:pPr>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3</w:t>
                  </w:r>
                </w:p>
              </w:tc>
              <w:tc>
                <w:tcPr>
                  <w:tcW w:w="689" w:type="pct"/>
                  <w:vAlign w:val="center"/>
                </w:tcPr>
                <w:p w14:paraId="12D77933">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69" w:type="pct"/>
                  <w:vAlign w:val="center"/>
                </w:tcPr>
                <w:p w14:paraId="087C23D1">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736" w:type="pct"/>
                  <w:vAlign w:val="center"/>
                </w:tcPr>
                <w:p w14:paraId="35D45208">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c>
                <w:tcPr>
                  <w:tcW w:w="687" w:type="pct"/>
                  <w:vAlign w:val="center"/>
                </w:tcPr>
                <w:p w14:paraId="667E6E78">
                  <w:pPr>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w:t>
                  </w:r>
                </w:p>
              </w:tc>
            </w:tr>
          </w:tbl>
          <w:p w14:paraId="54445DF4">
            <w:pPr>
              <w:keepNext w:val="0"/>
              <w:keepLines w:val="0"/>
              <w:pageBreakBefore w:val="0"/>
              <w:widowControl w:val="0"/>
              <w:kinsoku/>
              <w:wordWrap/>
              <w:overflowPunct/>
              <w:topLinePunct w:val="0"/>
              <w:autoSpaceDE/>
              <w:autoSpaceDN/>
              <w:bidi w:val="0"/>
              <w:adjustRightInd w:val="0"/>
              <w:snapToGrid w:val="0"/>
              <w:spacing w:line="500" w:lineRule="exact"/>
              <w:ind w:firstLine="482" w:firstLineChars="200"/>
              <w:jc w:val="left"/>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、总量平衡方案</w:t>
            </w:r>
          </w:p>
          <w:p w14:paraId="2A42EEB8">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（1）大气污染物</w:t>
            </w:r>
          </w:p>
          <w:p w14:paraId="785DB480">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废气：根据《常州市建设项目主要污染物排放总量指标审核及管理实施细则》（常政办发</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2015）104号</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规定：</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新、改、扩建排放烟粉尘、挥发性有机物的项目，实行现役源2倍削减量替代或关闭类项目1.5倍削减量替代</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w:t>
            </w:r>
          </w:p>
          <w:p w14:paraId="5951919D">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大气污染物排放总量控制指标为：VOCs（含非甲烷总烃）：0.</w:t>
            </w:r>
            <w:r>
              <w:rPr>
                <w:rFonts w:hint="eastAsia" w:ascii="Times New Roman" w:hAnsi="Times New Roman" w:eastAsia="宋体" w:cs="Times New Roman"/>
                <w:color w:val="auto"/>
                <w:sz w:val="24"/>
                <w:lang w:val="en-US" w:eastAsia="zh-CN"/>
              </w:rPr>
              <w:t>057</w:t>
            </w:r>
            <w:r>
              <w:rPr>
                <w:rFonts w:hint="default" w:ascii="Times New Roman" w:hAnsi="Times New Roman" w:eastAsia="宋体" w:cs="Times New Roman"/>
                <w:color w:val="auto"/>
                <w:sz w:val="24"/>
                <w:lang w:val="en-US" w:eastAsia="zh-CN"/>
              </w:rPr>
              <w:t>t/a（其中，有组织排放0.</w:t>
            </w:r>
            <w:r>
              <w:rPr>
                <w:rFonts w:hint="eastAsia" w:ascii="Times New Roman" w:hAnsi="Times New Roman" w:eastAsia="宋体" w:cs="Times New Roman"/>
                <w:color w:val="auto"/>
                <w:sz w:val="24"/>
                <w:lang w:val="en-US" w:eastAsia="zh-CN"/>
              </w:rPr>
              <w:t>027</w:t>
            </w:r>
            <w:r>
              <w:rPr>
                <w:rFonts w:hint="default" w:ascii="Times New Roman" w:hAnsi="Times New Roman" w:eastAsia="宋体" w:cs="Times New Roman"/>
                <w:color w:val="auto"/>
                <w:sz w:val="24"/>
                <w:lang w:val="en-US" w:eastAsia="zh-CN"/>
              </w:rPr>
              <w:t>t/a、无组织排放0.</w:t>
            </w:r>
            <w:r>
              <w:rPr>
                <w:rFonts w:hint="eastAsia" w:ascii="Times New Roman" w:hAnsi="Times New Roman" w:eastAsia="宋体" w:cs="Times New Roman"/>
                <w:color w:val="auto"/>
                <w:sz w:val="24"/>
                <w:lang w:val="en-US" w:eastAsia="zh-CN"/>
              </w:rPr>
              <w:t>03</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、颗粒物0.2</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其中，有组织排放0.</w:t>
            </w:r>
            <w:r>
              <w:rPr>
                <w:rFonts w:hint="eastAsia" w:ascii="Times New Roman" w:hAnsi="Times New Roman" w:eastAsia="宋体" w:cs="Times New Roman"/>
                <w:color w:val="auto"/>
                <w:sz w:val="24"/>
                <w:lang w:val="en-US" w:eastAsia="zh-CN"/>
              </w:rPr>
              <w:t>095</w:t>
            </w:r>
            <w:r>
              <w:rPr>
                <w:rFonts w:hint="default" w:ascii="Times New Roman" w:hAnsi="Times New Roman" w:eastAsia="宋体" w:cs="Times New Roman"/>
                <w:color w:val="auto"/>
                <w:sz w:val="24"/>
                <w:lang w:val="en-US" w:eastAsia="zh-CN"/>
              </w:rPr>
              <w:t>t/a、无组织排放0.</w:t>
            </w:r>
            <w:r>
              <w:rPr>
                <w:rFonts w:hint="eastAsia" w:ascii="Times New Roman" w:hAnsi="Times New Roman" w:eastAsia="宋体" w:cs="Times New Roman"/>
                <w:color w:val="auto"/>
                <w:sz w:val="24"/>
                <w:lang w:val="en-US" w:eastAsia="zh-CN"/>
              </w:rPr>
              <w:t>105</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，故本项目需申请总量为：VOCs：0.</w:t>
            </w:r>
            <w:r>
              <w:rPr>
                <w:rFonts w:hint="eastAsia" w:ascii="Times New Roman" w:hAnsi="Times New Roman" w:eastAsia="宋体" w:cs="Times New Roman"/>
                <w:color w:val="auto"/>
                <w:sz w:val="24"/>
                <w:lang w:val="en-US" w:eastAsia="zh-CN"/>
              </w:rPr>
              <w:t>057</w:t>
            </w:r>
            <w:r>
              <w:rPr>
                <w:rFonts w:hint="default" w:ascii="Times New Roman" w:hAnsi="Times New Roman" w:eastAsia="宋体" w:cs="Times New Roman"/>
                <w:color w:val="auto"/>
                <w:sz w:val="24"/>
                <w:lang w:val="en-US" w:eastAsia="zh-CN"/>
              </w:rPr>
              <w:t>t/a</w:t>
            </w:r>
            <w:r>
              <w:rPr>
                <w:rFonts w:hint="eastAsia" w:ascii="Times New Roman" w:hAnsi="Times New Roman" w:eastAsia="宋体" w:cs="Times New Roman"/>
                <w:color w:val="auto"/>
                <w:sz w:val="24"/>
                <w:lang w:val="en-US" w:eastAsia="zh-CN"/>
              </w:rPr>
              <w:t>、颗粒物0.2</w:t>
            </w:r>
            <w:r>
              <w:rPr>
                <w:rFonts w:hint="default" w:ascii="Times New Roman" w:hAnsi="Times New Roman" w:eastAsia="宋体" w:cs="Times New Roman"/>
                <w:color w:val="auto"/>
                <w:sz w:val="24"/>
                <w:lang w:val="en-US" w:eastAsia="zh-CN"/>
              </w:rPr>
              <w:t>t/a，拟在金坛区内进行平衡。</w:t>
            </w:r>
          </w:p>
          <w:p w14:paraId="2F796D72">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（2）水污染物</w:t>
            </w:r>
          </w:p>
          <w:p w14:paraId="6E447311">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本项目生活污水经化粪池预处理后接管至常州市金坛区第二污水厂集中处理。项目建成后全厂废水排放总量为384t/a，水污染物排放总量在常州市金坛区第二污水厂内平衡。</w:t>
            </w:r>
          </w:p>
          <w:p w14:paraId="33B5A2FA">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（3）固体废弃物</w:t>
            </w:r>
          </w:p>
          <w:p w14:paraId="601C8ADF">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本项目固体废弃物全部</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零</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排放，不会产生二次污染，故不申请总量。</w:t>
            </w:r>
          </w:p>
        </w:tc>
      </w:tr>
    </w:tbl>
    <w:p w14:paraId="0AD4AA83">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25D31DA9">
      <w:pPr>
        <w:pStyle w:val="4"/>
        <w:numPr>
          <w:ilvl w:val="0"/>
          <w:numId w:val="2"/>
        </w:numPr>
        <w:ind w:left="420" w:leftChars="0" w:firstLineChars="0"/>
        <w:rPr>
          <w:rFonts w:hint="default" w:ascii="Times New Roman" w:hAnsi="Times New Roman" w:cs="Times New Roman"/>
          <w:color w:val="auto"/>
        </w:rPr>
      </w:pPr>
      <w:r>
        <w:rPr>
          <w:rFonts w:hint="default" w:ascii="Times New Roman" w:hAnsi="Times New Roman" w:cs="Times New Roman"/>
          <w:color w:val="auto"/>
        </w:rPr>
        <w:t>主要环境影响和保护措施</w:t>
      </w:r>
    </w:p>
    <w:tbl>
      <w:tblPr>
        <w:tblStyle w:val="27"/>
        <w:tblW w:w="920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29"/>
        <w:gridCol w:w="8577"/>
      </w:tblGrid>
      <w:tr w14:paraId="1F04F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29" w:type="dxa"/>
            <w:noWrap w:val="0"/>
            <w:tcMar>
              <w:left w:w="28" w:type="dxa"/>
              <w:right w:w="28" w:type="dxa"/>
            </w:tcMar>
            <w:vAlign w:val="center"/>
          </w:tcPr>
          <w:p w14:paraId="32630439">
            <w:pPr>
              <w:pStyle w:val="24"/>
              <w:adjustRightInd w:val="0"/>
              <w:snapToGrid w:val="0"/>
              <w:spacing w:before="0" w:beforeAutospacing="0" w:after="0" w:afterAutospacing="0"/>
              <w:jc w:val="center"/>
              <w:rPr>
                <w:rFonts w:hint="default" w:ascii="Times New Roman" w:hAnsi="Times New Roman" w:cs="Times New Roman"/>
                <w:bCs/>
                <w:color w:val="auto"/>
                <w:kern w:val="2"/>
                <w:szCs w:val="24"/>
              </w:rPr>
            </w:pPr>
            <w:r>
              <w:rPr>
                <w:rFonts w:hint="default" w:ascii="Times New Roman" w:hAnsi="Times New Roman" w:cs="Times New Roman"/>
                <w:color w:val="auto"/>
                <w:kern w:val="2"/>
                <w:szCs w:val="24"/>
              </w:rPr>
              <w:t>施工期环境保护措施</w:t>
            </w:r>
          </w:p>
        </w:tc>
        <w:tc>
          <w:tcPr>
            <w:tcW w:w="8577" w:type="dxa"/>
            <w:noWrap w:val="0"/>
            <w:vAlign w:val="center"/>
          </w:tcPr>
          <w:p w14:paraId="3A2AE5EB">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施工期环境影响简要分析：</w:t>
            </w:r>
          </w:p>
          <w:p w14:paraId="0A217FAA">
            <w:pPr>
              <w:spacing w:line="360" w:lineRule="auto"/>
              <w:ind w:firstLine="480" w:firstLineChars="20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lang w:eastAsia="zh-CN"/>
              </w:rPr>
              <w:t>常州苏创热处理有限公司</w:t>
            </w:r>
            <w:r>
              <w:rPr>
                <w:rFonts w:hint="eastAsia" w:ascii="Times New Roman" w:hAnsi="Times New Roman" w:eastAsia="宋体" w:cs="Times New Roman"/>
                <w:color w:val="auto"/>
                <w:sz w:val="24"/>
                <w:lang w:val="en-US" w:eastAsia="zh-CN"/>
              </w:rPr>
              <w:t>购置、租赁</w:t>
            </w:r>
            <w:r>
              <w:rPr>
                <w:rFonts w:hint="default" w:ascii="Times New Roman" w:hAnsi="Times New Roman" w:eastAsia="宋体" w:cs="Times New Roman"/>
                <w:color w:val="auto"/>
                <w:sz w:val="24"/>
                <w:lang w:val="en-US" w:eastAsia="zh-CN"/>
              </w:rPr>
              <w:t>现有空置厂房</w:t>
            </w:r>
            <w:r>
              <w:rPr>
                <w:rFonts w:hint="default" w:ascii="Times New Roman" w:hAnsi="Times New Roman" w:eastAsia="宋体" w:cs="Times New Roman"/>
                <w:color w:val="auto"/>
                <w:sz w:val="24"/>
              </w:rPr>
              <w:t>进行生产，施工期主要是在现有的生产车间内进行设备的安装和调试，不涉及厂房施工建设，所以无施工粉尘、噪声以及建筑垃圾产生。本项目施工期主要是运输设备的汽车进出产生少量的汽车尾气，不予考虑；管道敷设和设备安装产生的噪声，由于这些施工是在现有的生产车间内进行的，经过厂房的隔声后不会对附近产生噪声影响。</w:t>
            </w:r>
          </w:p>
          <w:p w14:paraId="0117499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所以本项目的施工期过程简单，对周边环境影响较小。</w:t>
            </w:r>
          </w:p>
          <w:p w14:paraId="30193B4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以下就噪声及固废对环境的影响加以分析，并提出相应的防治措施。</w:t>
            </w:r>
          </w:p>
          <w:p w14:paraId="103015E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（1）施工期噪声影响分析及防治</w:t>
            </w:r>
          </w:p>
          <w:p w14:paraId="036AE36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由于安装设备一般于白天作业，应加强对设备安装的管理和操作人员的环境意识教育，严格控制设备运输及安装过程中噪声，降低对周围环境的噪声影响。</w:t>
            </w:r>
          </w:p>
          <w:p w14:paraId="3BCC35F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（2）施工期固废影响分析及防治对策</w:t>
            </w:r>
          </w:p>
          <w:p w14:paraId="12DC0F13">
            <w:pPr>
              <w:spacing w:line="360" w:lineRule="auto"/>
              <w:ind w:firstLine="480" w:firstLineChars="200"/>
              <w:rPr>
                <w:rFonts w:hint="default" w:ascii="Times New Roman" w:hAnsi="Times New Roman" w:cs="Times New Roman"/>
                <w:bCs/>
                <w:color w:val="auto"/>
                <w:spacing w:val="-10"/>
                <w:sz w:val="24"/>
              </w:rPr>
            </w:pPr>
            <w:r>
              <w:rPr>
                <w:rFonts w:hint="default" w:ascii="Times New Roman" w:hAnsi="Times New Roman" w:eastAsia="宋体" w:cs="Times New Roman"/>
                <w:color w:val="auto"/>
                <w:sz w:val="24"/>
              </w:rPr>
              <w:t>设备安装期间产生的固废主要是设备包装材料以及废安装材料。安装设备过程中产生的废包装及废材料应及时集中收集处理，并及时清运，一般外卖至固废回收站，从而维护厂区的环境卫生，保证产品质量。装修期间及时清理现场的废弃物；同时加强对装修人员的教育，不随意乱丢废弃物，倡导文明和绿色施工。</w:t>
            </w:r>
          </w:p>
        </w:tc>
      </w:tr>
      <w:tr w14:paraId="625507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629" w:type="dxa"/>
            <w:noWrap w:val="0"/>
            <w:tcMar>
              <w:left w:w="28" w:type="dxa"/>
              <w:right w:w="28" w:type="dxa"/>
            </w:tcMar>
            <w:vAlign w:val="center"/>
          </w:tcPr>
          <w:p w14:paraId="71AF62B5">
            <w:pPr>
              <w:adjustRightInd w:val="0"/>
              <w:snapToGrid w:val="0"/>
              <w:jc w:val="center"/>
              <w:rPr>
                <w:rFonts w:hint="default" w:ascii="Times New Roman" w:hAnsi="Times New Roman" w:eastAsia="宋体" w:cs="Times New Roman"/>
                <w:bCs/>
                <w:color w:val="auto"/>
                <w:sz w:val="24"/>
              </w:rPr>
            </w:pPr>
            <w:r>
              <w:rPr>
                <w:rFonts w:hint="default" w:ascii="Times New Roman" w:hAnsi="Times New Roman" w:eastAsia="宋体" w:cs="Times New Roman"/>
                <w:b/>
                <w:bCs w:val="0"/>
                <w:color w:val="auto"/>
                <w:sz w:val="24"/>
              </w:rPr>
              <w:t>运营期环境影响和保护措施</w:t>
            </w:r>
          </w:p>
        </w:tc>
        <w:tc>
          <w:tcPr>
            <w:tcW w:w="8577" w:type="dxa"/>
            <w:noWrap w:val="0"/>
            <w:vAlign w:val="center"/>
          </w:tcPr>
          <w:p w14:paraId="2C533006">
            <w:pPr>
              <w:keepNext w:val="0"/>
              <w:keepLines w:val="0"/>
              <w:pageBreakBefore w:val="0"/>
              <w:widowControl w:val="0"/>
              <w:kinsoku/>
              <w:wordWrap/>
              <w:overflowPunct/>
              <w:topLinePunct w:val="0"/>
              <w:autoSpaceDE/>
              <w:autoSpaceDN/>
              <w:bidi w:val="0"/>
              <w:adjustRightInd w:val="0"/>
              <w:snapToGrid w:val="0"/>
              <w:spacing w:before="120" w:line="360" w:lineRule="auto"/>
              <w:textAlignment w:val="auto"/>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一、废气</w:t>
            </w:r>
          </w:p>
          <w:p w14:paraId="4959CE1D">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color w:val="auto"/>
                <w:sz w:val="24"/>
                <w:lang w:val="en-US" w:eastAsia="zh-CN"/>
              </w:rPr>
              <w:t>1.</w:t>
            </w:r>
            <w:r>
              <w:rPr>
                <w:rFonts w:hint="default" w:ascii="Times New Roman" w:hAnsi="Times New Roman" w:eastAsia="宋体" w:cs="Times New Roman"/>
                <w:b/>
                <w:color w:val="auto"/>
                <w:sz w:val="24"/>
              </w:rPr>
              <w:t>大气污染物产生情况</w:t>
            </w:r>
          </w:p>
          <w:p w14:paraId="694F414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本项目废气主要为</w:t>
            </w:r>
            <w:r>
              <w:rPr>
                <w:rFonts w:hint="eastAsia" w:ascii="Times New Roman" w:hAnsi="Times New Roman" w:eastAsia="宋体" w:cs="Times New Roman"/>
                <w:color w:val="auto"/>
                <w:sz w:val="24"/>
                <w:szCs w:val="24"/>
                <w:lang w:val="en-US" w:eastAsia="zh-CN"/>
              </w:rPr>
              <w:t>清洗</w:t>
            </w:r>
            <w:r>
              <w:rPr>
                <w:rFonts w:hint="default" w:ascii="Times New Roman" w:hAnsi="Times New Roman" w:eastAsia="宋体" w:cs="Times New Roman"/>
                <w:color w:val="auto"/>
                <w:sz w:val="24"/>
                <w:szCs w:val="24"/>
                <w:lang w:val="en-US" w:eastAsia="zh-CN"/>
              </w:rPr>
              <w:t>废气</w:t>
            </w:r>
            <w:r>
              <w:rPr>
                <w:rFonts w:hint="eastAsia" w:ascii="Times New Roman" w:hAnsi="Times New Roman" w:eastAsia="宋体" w:cs="Times New Roman"/>
                <w:color w:val="auto"/>
                <w:sz w:val="24"/>
                <w:szCs w:val="24"/>
                <w:lang w:val="en-US" w:eastAsia="zh-CN"/>
              </w:rPr>
              <w:t>、淬火-回火</w:t>
            </w:r>
            <w:r>
              <w:rPr>
                <w:rFonts w:hint="default" w:ascii="Times New Roman" w:hAnsi="Times New Roman" w:eastAsia="宋体" w:cs="Times New Roman"/>
                <w:color w:val="auto"/>
                <w:sz w:val="24"/>
                <w:szCs w:val="24"/>
                <w:lang w:val="en-US" w:eastAsia="zh-CN"/>
              </w:rPr>
              <w:t>废气</w:t>
            </w:r>
            <w:r>
              <w:rPr>
                <w:rFonts w:hint="eastAsia" w:ascii="Times New Roman" w:hAnsi="Times New Roman" w:eastAsia="宋体" w:cs="Times New Roman"/>
                <w:color w:val="auto"/>
                <w:sz w:val="24"/>
                <w:szCs w:val="24"/>
                <w:lang w:val="en-US" w:eastAsia="zh-CN"/>
              </w:rPr>
              <w:t>、氮化废气/喷砂</w:t>
            </w:r>
            <w:r>
              <w:rPr>
                <w:rFonts w:hint="default" w:ascii="Times New Roman" w:hAnsi="Times New Roman" w:eastAsia="宋体" w:cs="Times New Roman"/>
                <w:color w:val="auto"/>
                <w:sz w:val="24"/>
                <w:szCs w:val="24"/>
                <w:lang w:val="en-US" w:eastAsia="zh-CN"/>
              </w:rPr>
              <w:t>废气</w:t>
            </w:r>
            <w:r>
              <w:rPr>
                <w:rFonts w:hint="eastAsia" w:ascii="Times New Roman" w:hAnsi="Times New Roman" w:eastAsia="宋体" w:cs="Times New Roman"/>
                <w:color w:val="auto"/>
                <w:sz w:val="24"/>
                <w:szCs w:val="24"/>
                <w:lang w:val="en-US" w:eastAsia="zh-CN"/>
              </w:rPr>
              <w:t>和危废库废气</w:t>
            </w:r>
            <w:r>
              <w:rPr>
                <w:rFonts w:hint="default" w:ascii="Times New Roman" w:hAnsi="Times New Roman" w:eastAsia="宋体" w:cs="Times New Roman"/>
                <w:color w:val="auto"/>
                <w:sz w:val="24"/>
                <w:szCs w:val="24"/>
              </w:rPr>
              <w:t>。</w:t>
            </w:r>
          </w:p>
          <w:p w14:paraId="4D1F8C4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rPr>
              <w:t>有组织废气</w:t>
            </w:r>
          </w:p>
          <w:p w14:paraId="6E604691">
            <w:pPr>
              <w:pStyle w:val="2"/>
              <w:keepNext w:val="0"/>
              <w:keepLines w:val="0"/>
              <w:pageBreakBefore w:val="0"/>
              <w:widowControl w:val="0"/>
              <w:kinsoku/>
              <w:wordWrap/>
              <w:overflowPunct/>
              <w:topLinePunct w:val="0"/>
              <w:autoSpaceDE/>
              <w:autoSpaceDN/>
              <w:bidi w:val="0"/>
              <w:adjustRightInd/>
              <w:snapToGrid/>
              <w:spacing w:before="0" w:after="0" w:line="360" w:lineRule="auto"/>
              <w:ind w:right="0" w:firstLine="482" w:firstLineChars="200"/>
              <w:textAlignment w:val="auto"/>
              <w:rPr>
                <w:rFonts w:hint="default" w:ascii="Times New Roman" w:hAnsi="Times New Roman" w:eastAsia="宋体" w:cs="Times New Roman"/>
                <w:b/>
                <w:bCs/>
                <w:color w:val="auto"/>
                <w:sz w:val="24"/>
                <w:szCs w:val="24"/>
                <w:lang w:val="en-US" w:bidi="ar"/>
              </w:rPr>
            </w:pPr>
            <w:r>
              <w:rPr>
                <w:rFonts w:hint="default" w:ascii="Times New Roman" w:hAnsi="Times New Roman" w:eastAsia="宋体" w:cs="Times New Roman"/>
                <w:b/>
                <w:bCs/>
                <w:color w:val="auto"/>
                <w:sz w:val="24"/>
                <w:szCs w:val="24"/>
                <w:lang w:val="en-US" w:eastAsia="zh-CN"/>
              </w:rPr>
              <w:t>①清洗废气</w:t>
            </w:r>
          </w:p>
          <w:p w14:paraId="142354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color w:val="auto"/>
                <w:sz w:val="24"/>
                <w:szCs w:val="24"/>
                <w:lang w:val="en-US" w:eastAsia="zh-CN"/>
              </w:rPr>
              <w:t>项目清洗工序需使用</w:t>
            </w:r>
            <w:r>
              <w:rPr>
                <w:rFonts w:hint="eastAsia" w:ascii="Times New Roman" w:hAnsi="Times New Roman" w:eastAsia="宋体" w:cs="Times New Roman"/>
                <w:color w:val="auto"/>
                <w:sz w:val="24"/>
                <w:szCs w:val="24"/>
                <w:lang w:val="en-US" w:eastAsia="zh-CN"/>
              </w:rPr>
              <w:t>碳氢</w:t>
            </w:r>
            <w:r>
              <w:rPr>
                <w:rFonts w:hint="default" w:ascii="Times New Roman" w:hAnsi="Times New Roman" w:eastAsia="宋体" w:cs="Times New Roman"/>
                <w:color w:val="auto"/>
                <w:sz w:val="24"/>
                <w:szCs w:val="24"/>
                <w:lang w:val="en-US" w:eastAsia="zh-CN"/>
              </w:rPr>
              <w:t>清洗剂，使用过程中会产生有机废气；</w:t>
            </w:r>
            <w:r>
              <w:rPr>
                <w:rFonts w:hint="default" w:ascii="Times New Roman" w:hAnsi="Times New Roman" w:eastAsia="宋体" w:cs="Times New Roman"/>
                <w:b w:val="0"/>
                <w:bCs w:val="0"/>
                <w:color w:val="auto"/>
                <w:sz w:val="24"/>
                <w:szCs w:val="24"/>
                <w:lang w:val="en-US" w:eastAsia="zh-CN"/>
              </w:rPr>
              <w:t>根据VOCs平衡（图2-1），</w:t>
            </w:r>
            <w:r>
              <w:rPr>
                <w:rFonts w:hint="default" w:ascii="Times New Roman" w:hAnsi="Times New Roman" w:eastAsia="宋体" w:cs="Times New Roman"/>
                <w:color w:val="auto"/>
                <w:sz w:val="24"/>
                <w:szCs w:val="24"/>
                <w:lang w:val="en-US" w:eastAsia="zh-CN"/>
              </w:rPr>
              <w:t>清洗工序</w:t>
            </w:r>
            <w:r>
              <w:rPr>
                <w:rFonts w:hint="default" w:ascii="Times New Roman" w:hAnsi="Times New Roman" w:eastAsia="宋体" w:cs="Times New Roman"/>
                <w:b w:val="0"/>
                <w:bCs w:val="0"/>
                <w:color w:val="auto"/>
                <w:sz w:val="24"/>
                <w:szCs w:val="24"/>
                <w:lang w:val="en-US" w:eastAsia="zh-CN"/>
              </w:rPr>
              <w:t>有机废气</w:t>
            </w:r>
            <w:r>
              <w:rPr>
                <w:rFonts w:hint="eastAsia" w:ascii="Times New Roman" w:hAnsi="Times New Roman" w:eastAsia="宋体" w:cs="Times New Roman"/>
                <w:b w:val="0"/>
                <w:bCs w:val="0"/>
                <w:color w:val="auto"/>
                <w:sz w:val="24"/>
                <w:szCs w:val="24"/>
                <w:lang w:val="en-US" w:eastAsia="zh-CN"/>
              </w:rPr>
              <w:t>（以非甲烷总烃计）</w:t>
            </w:r>
            <w:r>
              <w:rPr>
                <w:rFonts w:hint="default" w:ascii="Times New Roman" w:hAnsi="Times New Roman" w:eastAsia="宋体" w:cs="Times New Roman"/>
                <w:b w:val="0"/>
                <w:bCs w:val="0"/>
                <w:color w:val="auto"/>
                <w:sz w:val="24"/>
                <w:szCs w:val="24"/>
                <w:lang w:val="en-US" w:eastAsia="zh-CN"/>
              </w:rPr>
              <w:t>产生量为</w:t>
            </w:r>
            <w:r>
              <w:rPr>
                <w:rFonts w:hint="eastAsia" w:ascii="Times New Roman" w:hAnsi="Times New Roman" w:eastAsia="宋体" w:cs="Times New Roman"/>
                <w:b w:val="0"/>
                <w:bCs w:val="0"/>
                <w:color w:val="auto"/>
                <w:sz w:val="24"/>
                <w:szCs w:val="24"/>
                <w:lang w:val="en-US" w:eastAsia="zh-CN"/>
              </w:rPr>
              <w:t>0.302</w:t>
            </w:r>
            <w:r>
              <w:rPr>
                <w:rFonts w:hint="default" w:ascii="Times New Roman" w:hAnsi="Times New Roman" w:eastAsia="宋体" w:cs="Times New Roman"/>
                <w:b w:val="0"/>
                <w:bCs w:val="0"/>
                <w:color w:val="auto"/>
                <w:sz w:val="24"/>
                <w:szCs w:val="24"/>
                <w:lang w:val="en-US" w:eastAsia="zh-CN"/>
              </w:rPr>
              <w:t>t/a</w:t>
            </w:r>
            <w:r>
              <w:rPr>
                <w:rFonts w:hint="eastAsia" w:ascii="Times New Roman" w:hAnsi="Times New Roman" w:eastAsia="宋体" w:cs="Times New Roman"/>
                <w:b w:val="0"/>
                <w:bCs w:val="0"/>
                <w:color w:val="auto"/>
                <w:sz w:val="24"/>
                <w:szCs w:val="24"/>
                <w:lang w:val="en-US" w:eastAsia="zh-CN"/>
              </w:rPr>
              <w:t>，经集气罩收集，废气捕集率以90%计，则有组织非甲烷总烃产生量为0.272t/a。</w:t>
            </w:r>
          </w:p>
          <w:p w14:paraId="128073D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②</w:t>
            </w:r>
            <w:r>
              <w:rPr>
                <w:rFonts w:hint="eastAsia" w:ascii="Times New Roman" w:hAnsi="Times New Roman" w:eastAsia="宋体" w:cs="Times New Roman"/>
                <w:b/>
                <w:bCs/>
                <w:color w:val="auto"/>
                <w:sz w:val="24"/>
                <w:szCs w:val="24"/>
                <w:lang w:val="en-US" w:eastAsia="zh-CN"/>
              </w:rPr>
              <w:t>油淬、回火</w:t>
            </w:r>
            <w:r>
              <w:rPr>
                <w:rFonts w:hint="default" w:ascii="Times New Roman" w:hAnsi="Times New Roman" w:eastAsia="宋体" w:cs="Times New Roman"/>
                <w:b/>
                <w:bCs/>
                <w:color w:val="auto"/>
                <w:sz w:val="24"/>
                <w:szCs w:val="24"/>
                <w:lang w:val="en-US" w:eastAsia="zh-CN"/>
              </w:rPr>
              <w:t>废气</w:t>
            </w:r>
          </w:p>
          <w:p w14:paraId="14D1F20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本项目油淬、回火工序会产生油雾（颗粒物）与有机废气（以非甲烷总烃计）。污染物产生源强参考《排放源统计调查产排污核算方法和系数手册》“机械行业系数手册-12 热处理”淬火</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回火工段-原料为</w:t>
            </w:r>
            <w:r>
              <w:rPr>
                <w:rFonts w:hint="eastAsia" w:ascii="Times New Roman" w:hAnsi="Times New Roman" w:eastAsia="宋体" w:cs="Times New Roman"/>
                <w:color w:val="auto"/>
                <w:sz w:val="24"/>
                <w:szCs w:val="24"/>
                <w:lang w:val="en-US" w:eastAsia="zh-CN"/>
              </w:rPr>
              <w:t>淬火油</w:t>
            </w:r>
            <w:r>
              <w:rPr>
                <w:rFonts w:hint="default" w:ascii="Times New Roman" w:hAnsi="Times New Roman" w:eastAsia="宋体" w:cs="Times New Roman"/>
                <w:color w:val="auto"/>
                <w:sz w:val="24"/>
                <w:szCs w:val="24"/>
                <w:lang w:val="en-US" w:eastAsia="zh-CN"/>
              </w:rPr>
              <w:t>，挥发性有机物产污系数为0.01kg/t，颗粒物产污系数为200kg/t。根据企业提供资料，本项目</w:t>
            </w:r>
            <w:r>
              <w:rPr>
                <w:rFonts w:hint="eastAsia" w:ascii="Times New Roman" w:hAnsi="Times New Roman" w:eastAsia="宋体" w:cs="Times New Roman"/>
                <w:color w:val="auto"/>
                <w:sz w:val="24"/>
                <w:szCs w:val="24"/>
                <w:lang w:val="en-US" w:eastAsia="zh-CN"/>
              </w:rPr>
              <w:t>淬火油</w:t>
            </w:r>
            <w:r>
              <w:rPr>
                <w:rFonts w:hint="default" w:ascii="Times New Roman" w:hAnsi="Times New Roman" w:eastAsia="宋体" w:cs="Times New Roman"/>
                <w:color w:val="auto"/>
                <w:sz w:val="24"/>
                <w:szCs w:val="24"/>
                <w:lang w:val="en-US" w:eastAsia="zh-CN"/>
              </w:rPr>
              <w:t>的用量为</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lang w:val="en-US" w:eastAsia="zh-CN"/>
              </w:rPr>
              <w:t>t/a，则本项目油淬、回火工序非甲烷总烃的产生量为</w:t>
            </w:r>
            <w:r>
              <w:rPr>
                <w:rFonts w:hint="eastAsia" w:ascii="Times New Roman" w:hAnsi="Times New Roman" w:eastAsia="宋体" w:cs="Times New Roman"/>
                <w:color w:val="auto"/>
                <w:sz w:val="24"/>
                <w:szCs w:val="24"/>
                <w:lang w:val="en-US" w:eastAsia="zh-CN"/>
              </w:rPr>
              <w:t>0.05kg</w:t>
            </w:r>
            <w:r>
              <w:rPr>
                <w:rFonts w:hint="default" w:ascii="Times New Roman" w:hAnsi="Times New Roman" w:eastAsia="宋体" w:cs="Times New Roman"/>
                <w:color w:val="auto"/>
                <w:sz w:val="24"/>
                <w:szCs w:val="24"/>
                <w:lang w:val="en-US" w:eastAsia="zh-CN"/>
              </w:rPr>
              <w:t>/a</w:t>
            </w:r>
            <w:r>
              <w:rPr>
                <w:rFonts w:hint="eastAsia" w:ascii="Times New Roman" w:hAnsi="Times New Roman" w:eastAsia="宋体" w:cs="Times New Roman"/>
                <w:color w:val="auto"/>
                <w:sz w:val="24"/>
                <w:szCs w:val="24"/>
                <w:lang w:val="en-US" w:eastAsia="zh-CN"/>
              </w:rPr>
              <w:t>（由于非甲烷总烃排放量较少，产生浓度约为0.002mg/m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，低于《固定污染源废气 总烃、甲烷和非甲烷总烃的测定 气相色谱法》（HJ38-2017）检测方法给出的检出限（0.07mg/m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z w:val="24"/>
                <w:szCs w:val="24"/>
                <w:lang w:val="en-US" w:eastAsia="zh-CN"/>
              </w:rPr>
              <w:t>），因此，本环评油淬、回火工序非甲烷总烃排放仅定性分析，不做定量评价。）</w:t>
            </w:r>
            <w:r>
              <w:rPr>
                <w:rFonts w:hint="default" w:ascii="Times New Roman" w:hAnsi="Times New Roman" w:eastAsia="宋体" w:cs="Times New Roman"/>
                <w:color w:val="auto"/>
                <w:sz w:val="24"/>
                <w:szCs w:val="24"/>
                <w:lang w:val="en-US" w:eastAsia="zh-CN"/>
              </w:rPr>
              <w:t>，颗粒物的产生量为</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b w:val="0"/>
                <w:bCs w:val="0"/>
                <w:color w:val="auto"/>
                <w:sz w:val="24"/>
                <w:szCs w:val="24"/>
                <w:lang w:val="en-US" w:eastAsia="zh-CN"/>
              </w:rPr>
              <w:t>经集气罩收集，废气捕集率以90%计，则有组织颗粒物产生量为0.9t/a。</w:t>
            </w:r>
          </w:p>
          <w:p w14:paraId="3F4D0E1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③氮化废气</w:t>
            </w:r>
          </w:p>
          <w:p w14:paraId="514572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本项目氮化过程使用的基盐/氧化盐含有尿素，在加热过程中尿素与碳酸盐反应产生氨气。根据业主提供资料，基盐/氧化盐中尿素含量为4.5%（基盐/氧化盐用量8t），其中尿素中的N原子50%（约0.097t）形成氨气挥发，氨气产生量为0.107ta，经集气罩收集，废气捕集率以90%计，则有组织氨气产生量为0.087t/a。</w:t>
            </w:r>
          </w:p>
          <w:p w14:paraId="270B341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lang w:val="en-US" w:eastAsia="zh-CN"/>
              </w:rPr>
              <w:t>④</w:t>
            </w:r>
            <w:r>
              <w:rPr>
                <w:rFonts w:hint="eastAsia" w:ascii="Times New Roman" w:hAnsi="Times New Roman" w:eastAsia="宋体" w:cs="Times New Roman"/>
                <w:b/>
                <w:bCs/>
                <w:color w:val="auto"/>
                <w:sz w:val="24"/>
                <w:szCs w:val="24"/>
                <w:lang w:val="en-US" w:eastAsia="zh-CN"/>
              </w:rPr>
              <w:t>喷砂废气</w:t>
            </w:r>
          </w:p>
          <w:p w14:paraId="2E06642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ascii="Times New Roman" w:hAnsi="Times New Roman" w:eastAsia="宋体" w:cs="Times New Roman"/>
                <w:color w:val="auto"/>
                <w:sz w:val="24"/>
                <w:szCs w:val="24"/>
                <w:lang w:val="en-US" w:eastAsia="zh-CN"/>
              </w:rPr>
              <w:t>喷砂</w:t>
            </w:r>
            <w:r>
              <w:rPr>
                <w:rFonts w:hint="default" w:ascii="Times New Roman" w:hAnsi="Times New Roman" w:eastAsia="宋体" w:cs="Times New Roman"/>
                <w:color w:val="auto"/>
                <w:sz w:val="24"/>
                <w:szCs w:val="24"/>
                <w:lang w:val="en-US" w:eastAsia="zh-CN"/>
              </w:rPr>
              <w:t>工序会产生颗粒物</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污染物产生源强参考《排放源统计调查产排污核算方法和系数手册》“机械行业系数手册-</w:t>
            </w:r>
            <w:r>
              <w:rPr>
                <w:rFonts w:hint="eastAsia" w:ascii="Times New Roman" w:hAnsi="Times New Roman" w:eastAsia="宋体" w:cs="Times New Roman"/>
                <w:color w:val="auto"/>
                <w:sz w:val="24"/>
                <w:szCs w:val="24"/>
                <w:lang w:val="en-US" w:eastAsia="zh-CN"/>
              </w:rPr>
              <w:t>06</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lang w:val="en-US" w:eastAsia="zh-CN"/>
              </w:rPr>
              <w:t>预</w:t>
            </w:r>
            <w:r>
              <w:rPr>
                <w:rFonts w:hint="default" w:ascii="Times New Roman" w:hAnsi="Times New Roman" w:eastAsia="宋体" w:cs="Times New Roman"/>
                <w:color w:val="auto"/>
                <w:sz w:val="24"/>
                <w:szCs w:val="24"/>
                <w:lang w:val="en-US" w:eastAsia="zh-CN"/>
              </w:rPr>
              <w:t>处理”</w:t>
            </w:r>
            <w:r>
              <w:rPr>
                <w:rFonts w:hint="eastAsia" w:ascii="Times New Roman" w:hAnsi="Times New Roman" w:eastAsia="宋体" w:cs="Times New Roman"/>
                <w:color w:val="auto"/>
                <w:sz w:val="24"/>
                <w:szCs w:val="24"/>
                <w:lang w:val="en-US" w:eastAsia="zh-CN"/>
              </w:rPr>
              <w:t>喷砂</w:t>
            </w:r>
            <w:r>
              <w:rPr>
                <w:rFonts w:hint="default" w:ascii="Times New Roman" w:hAnsi="Times New Roman" w:eastAsia="宋体" w:cs="Times New Roman"/>
                <w:color w:val="auto"/>
                <w:sz w:val="24"/>
                <w:szCs w:val="24"/>
                <w:lang w:val="en-US" w:eastAsia="zh-CN"/>
              </w:rPr>
              <w:t>工段，颗粒物产污系数为</w:t>
            </w:r>
            <w:r>
              <w:rPr>
                <w:rFonts w:hint="eastAsia" w:ascii="Times New Roman" w:hAnsi="Times New Roman" w:eastAsia="宋体" w:cs="Times New Roman"/>
                <w:color w:val="auto"/>
                <w:sz w:val="24"/>
                <w:szCs w:val="24"/>
                <w:lang w:val="en-US" w:eastAsia="zh-CN"/>
              </w:rPr>
              <w:t>2.19</w:t>
            </w:r>
            <w:r>
              <w:rPr>
                <w:rFonts w:hint="default" w:ascii="Times New Roman" w:hAnsi="Times New Roman" w:eastAsia="宋体" w:cs="Times New Roman"/>
                <w:color w:val="auto"/>
                <w:sz w:val="24"/>
                <w:szCs w:val="24"/>
                <w:lang w:val="en-US" w:eastAsia="zh-CN"/>
              </w:rPr>
              <w:t>kg/t</w:t>
            </w:r>
            <w:r>
              <w:rPr>
                <w:rFonts w:hint="eastAsia" w:ascii="Times New Roman" w:hAnsi="Times New Roman" w:eastAsia="宋体" w:cs="Times New Roman"/>
                <w:color w:val="auto"/>
                <w:sz w:val="24"/>
                <w:szCs w:val="24"/>
                <w:lang w:val="en-US" w:eastAsia="zh-CN"/>
              </w:rPr>
              <w:t>-原料</w:t>
            </w:r>
            <w:r>
              <w:rPr>
                <w:rFonts w:hint="default" w:ascii="Times New Roman" w:hAnsi="Times New Roman" w:eastAsia="宋体" w:cs="Times New Roman"/>
                <w:color w:val="auto"/>
                <w:sz w:val="24"/>
                <w:szCs w:val="24"/>
                <w:lang w:val="en-US" w:eastAsia="zh-CN"/>
              </w:rPr>
              <w:t>。根据企业提供资料，本项目</w:t>
            </w:r>
            <w:r>
              <w:rPr>
                <w:rFonts w:hint="eastAsia" w:ascii="Times New Roman" w:hAnsi="Times New Roman" w:eastAsia="宋体" w:cs="Times New Roman"/>
                <w:color w:val="auto"/>
                <w:sz w:val="24"/>
                <w:szCs w:val="24"/>
                <w:lang w:val="en-US" w:eastAsia="zh-CN"/>
              </w:rPr>
              <w:t>喷砂工序原料（金属零部件）</w:t>
            </w:r>
            <w:r>
              <w:rPr>
                <w:rFonts w:hint="default" w:ascii="Times New Roman" w:hAnsi="Times New Roman" w:eastAsia="宋体" w:cs="Times New Roman"/>
                <w:color w:val="auto"/>
                <w:sz w:val="24"/>
                <w:szCs w:val="24"/>
                <w:lang w:val="en-US" w:eastAsia="zh-CN"/>
              </w:rPr>
              <w:t>用量</w:t>
            </w:r>
            <w:r>
              <w:rPr>
                <w:rFonts w:hint="eastAsia" w:ascii="Times New Roman" w:hAnsi="Times New Roman" w:eastAsia="宋体" w:cs="Times New Roman"/>
                <w:color w:val="auto"/>
                <w:sz w:val="24"/>
                <w:szCs w:val="24"/>
                <w:lang w:val="en-US" w:eastAsia="zh-CN"/>
              </w:rPr>
              <w:t>约</w:t>
            </w:r>
            <w:r>
              <w:rPr>
                <w:rFonts w:hint="default" w:ascii="Times New Roman" w:hAnsi="Times New Roman" w:eastAsia="宋体" w:cs="Times New Roman"/>
                <w:color w:val="auto"/>
                <w:sz w:val="24"/>
                <w:szCs w:val="24"/>
                <w:lang w:val="en-US" w:eastAsia="zh-CN"/>
              </w:rPr>
              <w:t>为</w:t>
            </w:r>
            <w:r>
              <w:rPr>
                <w:rFonts w:hint="eastAsia" w:ascii="Times New Roman" w:hAnsi="Times New Roman" w:eastAsia="宋体" w:cs="Times New Roman"/>
                <w:color w:val="auto"/>
                <w:sz w:val="24"/>
                <w:szCs w:val="24"/>
                <w:lang w:val="en-US" w:eastAsia="zh-CN"/>
              </w:rPr>
              <w:t>50</w:t>
            </w:r>
            <w:r>
              <w:rPr>
                <w:rFonts w:hint="default" w:ascii="Times New Roman" w:hAnsi="Times New Roman" w:eastAsia="宋体" w:cs="Times New Roman"/>
                <w:color w:val="auto"/>
                <w:sz w:val="24"/>
                <w:szCs w:val="24"/>
                <w:lang w:val="en-US" w:eastAsia="zh-CN"/>
              </w:rPr>
              <w:t>t/a，则本项目</w:t>
            </w:r>
            <w:r>
              <w:rPr>
                <w:rFonts w:hint="eastAsia" w:ascii="Times New Roman" w:hAnsi="Times New Roman" w:eastAsia="宋体" w:cs="Times New Roman"/>
                <w:color w:val="auto"/>
                <w:sz w:val="24"/>
                <w:szCs w:val="24"/>
                <w:lang w:val="en-US" w:eastAsia="zh-CN"/>
              </w:rPr>
              <w:t>喷砂</w:t>
            </w:r>
            <w:r>
              <w:rPr>
                <w:rFonts w:hint="default" w:ascii="Times New Roman" w:hAnsi="Times New Roman" w:eastAsia="宋体" w:cs="Times New Roman"/>
                <w:color w:val="auto"/>
                <w:sz w:val="24"/>
                <w:szCs w:val="24"/>
                <w:lang w:val="en-US" w:eastAsia="zh-CN"/>
              </w:rPr>
              <w:t>工序颗粒物的产生量</w:t>
            </w:r>
            <w:r>
              <w:rPr>
                <w:rFonts w:hint="eastAsia" w:ascii="Times New Roman" w:hAnsi="Times New Roman" w:eastAsia="宋体" w:cs="Times New Roman"/>
                <w:color w:val="auto"/>
                <w:sz w:val="24"/>
                <w:szCs w:val="24"/>
                <w:lang w:val="en-US" w:eastAsia="zh-CN"/>
              </w:rPr>
              <w:t>约</w:t>
            </w:r>
            <w:r>
              <w:rPr>
                <w:rFonts w:hint="default" w:ascii="Times New Roman" w:hAnsi="Times New Roman" w:eastAsia="宋体" w:cs="Times New Roman"/>
                <w:color w:val="auto"/>
                <w:sz w:val="24"/>
                <w:szCs w:val="24"/>
                <w:lang w:val="en-US" w:eastAsia="zh-CN"/>
              </w:rPr>
              <w:t>为</w:t>
            </w:r>
            <w:r>
              <w:rPr>
                <w:rFonts w:hint="eastAsia" w:ascii="Times New Roman" w:hAnsi="Times New Roman" w:eastAsia="宋体" w:cs="Times New Roman"/>
                <w:color w:val="auto"/>
                <w:sz w:val="24"/>
                <w:szCs w:val="24"/>
                <w:lang w:val="en-US" w:eastAsia="zh-CN"/>
              </w:rPr>
              <w:t>0.11</w:t>
            </w:r>
            <w:r>
              <w:rPr>
                <w:rFonts w:hint="default" w:ascii="Times New Roman" w:hAnsi="Times New Roman" w:eastAsia="宋体" w:cs="Times New Roman"/>
                <w:color w:val="auto"/>
                <w:sz w:val="24"/>
                <w:szCs w:val="24"/>
                <w:lang w:val="en-US" w:eastAsia="zh-CN"/>
              </w:rPr>
              <w:t>t/a，</w:t>
            </w:r>
            <w:r>
              <w:rPr>
                <w:rFonts w:hint="eastAsia" w:ascii="Times New Roman" w:hAnsi="Times New Roman" w:eastAsia="宋体" w:cs="Times New Roman"/>
                <w:b w:val="0"/>
                <w:bCs w:val="0"/>
                <w:color w:val="auto"/>
                <w:sz w:val="24"/>
                <w:szCs w:val="24"/>
                <w:lang w:val="en-US" w:eastAsia="zh-CN"/>
              </w:rPr>
              <w:t>经设备自带收集设施收集，废气捕集率以95%计，则有组织颗粒物产生量为0.105t/a。</w:t>
            </w:r>
          </w:p>
          <w:p w14:paraId="72FAE3C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⑤</w:t>
            </w:r>
            <w:r>
              <w:rPr>
                <w:rFonts w:hint="default" w:ascii="Times New Roman" w:hAnsi="Times New Roman" w:eastAsia="宋体" w:cs="Times New Roman"/>
                <w:b/>
                <w:bCs/>
                <w:color w:val="auto"/>
                <w:sz w:val="24"/>
                <w:lang w:val="en-US" w:eastAsia="zh-CN"/>
              </w:rPr>
              <w:t>危废库废气</w:t>
            </w:r>
          </w:p>
          <w:p w14:paraId="77A96A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bCs w:val="0"/>
                <w:color w:val="FF0000"/>
                <w:sz w:val="24"/>
                <w:lang w:val="en-US" w:eastAsia="zh-CN"/>
              </w:rPr>
            </w:pPr>
            <w:r>
              <w:rPr>
                <w:rFonts w:hint="default" w:ascii="Times New Roman" w:hAnsi="Times New Roman" w:eastAsia="宋体" w:cs="Times New Roman"/>
                <w:b w:val="0"/>
                <w:bCs w:val="0"/>
                <w:color w:val="FF0000"/>
                <w:sz w:val="24"/>
                <w:lang w:val="en-US" w:eastAsia="zh-CN"/>
              </w:rPr>
              <w:t>本项目危废主要包括废活性炭、废</w:t>
            </w:r>
            <w:r>
              <w:rPr>
                <w:rFonts w:hint="eastAsia" w:ascii="Times New Roman" w:hAnsi="Times New Roman" w:eastAsia="宋体" w:cs="Times New Roman"/>
                <w:b w:val="0"/>
                <w:bCs w:val="0"/>
                <w:color w:val="FF0000"/>
                <w:sz w:val="24"/>
                <w:lang w:val="en-US" w:eastAsia="zh-CN"/>
              </w:rPr>
              <w:t>防锈油、废包装桶</w:t>
            </w:r>
            <w:r>
              <w:rPr>
                <w:rFonts w:hint="default" w:ascii="Times New Roman" w:hAnsi="Times New Roman" w:eastAsia="宋体" w:cs="Times New Roman"/>
                <w:b w:val="0"/>
                <w:bCs w:val="0"/>
                <w:color w:val="FF0000"/>
                <w:sz w:val="24"/>
                <w:lang w:val="en-US" w:eastAsia="zh-CN"/>
              </w:rPr>
              <w:t>等，贮存过程中会产生少量的有机废气，本项目拟采用密闭桶或吨袋收集存放危废，因此贮存过程中有机废气产生量极少，</w:t>
            </w:r>
            <w:r>
              <w:rPr>
                <w:rFonts w:hint="eastAsia" w:ascii="Times New Roman" w:hAnsi="Times New Roman" w:eastAsia="宋体" w:cs="Times New Roman"/>
                <w:b w:val="0"/>
                <w:bCs w:val="0"/>
                <w:color w:val="FF0000"/>
                <w:sz w:val="24"/>
                <w:lang w:val="en-US" w:eastAsia="zh-CN"/>
              </w:rPr>
              <w:t>因此本项目</w:t>
            </w:r>
            <w:r>
              <w:rPr>
                <w:rFonts w:hint="default" w:ascii="Times New Roman" w:hAnsi="Times New Roman" w:eastAsia="宋体" w:cs="Times New Roman"/>
                <w:b w:val="0"/>
                <w:bCs w:val="0"/>
                <w:color w:val="FF0000"/>
                <w:sz w:val="24"/>
                <w:lang w:val="en-US" w:eastAsia="zh-CN"/>
              </w:rPr>
              <w:t>不定量分析。</w:t>
            </w:r>
          </w:p>
          <w:p w14:paraId="160F5E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无组织废气</w:t>
            </w:r>
          </w:p>
          <w:p w14:paraId="2851225F">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%未捕集的</w:t>
            </w:r>
            <w:r>
              <w:rPr>
                <w:rFonts w:hint="default" w:ascii="Times New Roman" w:hAnsi="Times New Roman" w:eastAsia="宋体" w:cs="Times New Roman"/>
                <w:color w:val="auto"/>
                <w:sz w:val="24"/>
                <w:szCs w:val="24"/>
                <w:lang w:val="en-US" w:eastAsia="zh-CN"/>
              </w:rPr>
              <w:t>清洗工序</w:t>
            </w:r>
            <w:r>
              <w:rPr>
                <w:rFonts w:hint="default" w:ascii="Times New Roman" w:hAnsi="Times New Roman" w:eastAsia="宋体" w:cs="Times New Roman"/>
                <w:color w:val="auto"/>
                <w:sz w:val="24"/>
                <w:lang w:val="en-US" w:eastAsia="zh-CN"/>
              </w:rPr>
              <w:t>废气（非甲烷总烃</w:t>
            </w:r>
            <w:r>
              <w:rPr>
                <w:rFonts w:hint="eastAsia" w:ascii="Times New Roman" w:hAnsi="Times New Roman" w:eastAsia="宋体" w:cs="Times New Roman"/>
                <w:color w:val="auto"/>
                <w:sz w:val="24"/>
                <w:lang w:val="en-US" w:eastAsia="zh-CN"/>
              </w:rPr>
              <w:t>0.03</w:t>
            </w:r>
            <w:r>
              <w:rPr>
                <w:rFonts w:hint="default" w:ascii="Times New Roman" w:hAnsi="Times New Roman" w:eastAsia="宋体" w:cs="Times New Roman"/>
                <w:color w:val="auto"/>
                <w:sz w:val="24"/>
                <w:lang w:val="en-US" w:eastAsia="zh-CN"/>
              </w:rPr>
              <w:t>t/a）</w:t>
            </w:r>
            <w:r>
              <w:rPr>
                <w:rFonts w:hint="default" w:ascii="Times New Roman" w:hAnsi="Times New Roman" w:eastAsia="宋体" w:cs="Times New Roman"/>
                <w:color w:val="auto"/>
                <w:sz w:val="24"/>
                <w:szCs w:val="24"/>
              </w:rPr>
              <w:t>在车间以无组织形式排放。</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%未捕集的</w:t>
            </w:r>
            <w:r>
              <w:rPr>
                <w:rFonts w:hint="default" w:ascii="Times New Roman" w:hAnsi="Times New Roman" w:eastAsia="宋体" w:cs="Times New Roman"/>
                <w:color w:val="auto"/>
                <w:sz w:val="24"/>
                <w:szCs w:val="24"/>
                <w:lang w:val="en-US" w:eastAsia="zh-CN"/>
              </w:rPr>
              <w:t>油淬、回火工</w:t>
            </w:r>
            <w:r>
              <w:rPr>
                <w:rFonts w:hint="default" w:ascii="Times New Roman" w:hAnsi="Times New Roman" w:eastAsia="宋体" w:cs="Times New Roman"/>
                <w:color w:val="auto"/>
                <w:sz w:val="24"/>
                <w:lang w:val="en-US" w:eastAsia="zh-CN"/>
              </w:rPr>
              <w:t>序废气（</w:t>
            </w:r>
            <w:r>
              <w:rPr>
                <w:rFonts w:hint="eastAsia" w:ascii="Times New Roman" w:hAnsi="Times New Roman" w:eastAsia="宋体" w:cs="Times New Roman"/>
                <w:color w:val="auto"/>
                <w:sz w:val="24"/>
                <w:lang w:val="en-US" w:eastAsia="zh-CN"/>
              </w:rPr>
              <w:t>颗粒物0.1</w:t>
            </w:r>
            <w:r>
              <w:rPr>
                <w:rFonts w:hint="default" w:ascii="Times New Roman" w:hAnsi="Times New Roman" w:eastAsia="宋体" w:cs="Times New Roman"/>
                <w:color w:val="auto"/>
                <w:sz w:val="24"/>
                <w:lang w:val="en-US" w:eastAsia="zh-CN"/>
              </w:rPr>
              <w:t>t/a）</w:t>
            </w:r>
            <w:r>
              <w:rPr>
                <w:rFonts w:hint="default" w:ascii="Times New Roman" w:hAnsi="Times New Roman" w:eastAsia="宋体" w:cs="Times New Roman"/>
                <w:color w:val="auto"/>
                <w:sz w:val="24"/>
                <w:szCs w:val="24"/>
              </w:rPr>
              <w:t>在车间以无组织形式排放。</w:t>
            </w:r>
            <w:r>
              <w:rPr>
                <w:rFonts w:hint="eastAsia"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%未捕集的</w:t>
            </w:r>
            <w:r>
              <w:rPr>
                <w:rFonts w:hint="eastAsia" w:ascii="Times New Roman" w:hAnsi="Times New Roman" w:eastAsia="宋体" w:cs="Times New Roman"/>
                <w:color w:val="auto"/>
                <w:sz w:val="24"/>
                <w:szCs w:val="24"/>
                <w:lang w:val="en-US" w:eastAsia="zh-CN"/>
              </w:rPr>
              <w:t>氮化</w:t>
            </w:r>
            <w:r>
              <w:rPr>
                <w:rFonts w:hint="default" w:ascii="Times New Roman" w:hAnsi="Times New Roman" w:eastAsia="宋体" w:cs="Times New Roman"/>
                <w:color w:val="auto"/>
                <w:sz w:val="24"/>
                <w:szCs w:val="24"/>
                <w:lang w:val="en-US" w:eastAsia="zh-CN"/>
              </w:rPr>
              <w:t>工</w:t>
            </w:r>
            <w:r>
              <w:rPr>
                <w:rFonts w:hint="default" w:ascii="Times New Roman" w:hAnsi="Times New Roman" w:eastAsia="宋体" w:cs="Times New Roman"/>
                <w:color w:val="auto"/>
                <w:sz w:val="24"/>
                <w:lang w:val="en-US" w:eastAsia="zh-CN"/>
              </w:rPr>
              <w:t>序废气（</w:t>
            </w:r>
            <w:r>
              <w:rPr>
                <w:rFonts w:hint="eastAsia" w:ascii="Times New Roman" w:hAnsi="Times New Roman" w:eastAsia="宋体" w:cs="Times New Roman"/>
                <w:color w:val="auto"/>
                <w:sz w:val="24"/>
                <w:lang w:val="en-US" w:eastAsia="zh-CN"/>
              </w:rPr>
              <w:t>氨气0.02</w:t>
            </w:r>
            <w:r>
              <w:rPr>
                <w:rFonts w:hint="default" w:ascii="Times New Roman" w:hAnsi="Times New Roman" w:eastAsia="宋体" w:cs="Times New Roman"/>
                <w:color w:val="auto"/>
                <w:sz w:val="24"/>
                <w:lang w:val="en-US" w:eastAsia="zh-CN"/>
              </w:rPr>
              <w:t>t/a）</w:t>
            </w:r>
            <w:r>
              <w:rPr>
                <w:rFonts w:hint="default" w:ascii="Times New Roman" w:hAnsi="Times New Roman" w:eastAsia="宋体" w:cs="Times New Roman"/>
                <w:color w:val="auto"/>
                <w:sz w:val="24"/>
                <w:szCs w:val="24"/>
              </w:rPr>
              <w:t>在车间以无组织形式排放。</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%未捕集的</w:t>
            </w:r>
            <w:r>
              <w:rPr>
                <w:rFonts w:hint="eastAsia" w:ascii="Times New Roman" w:hAnsi="Times New Roman" w:eastAsia="宋体" w:cs="Times New Roman"/>
                <w:color w:val="auto"/>
                <w:sz w:val="24"/>
                <w:szCs w:val="24"/>
                <w:lang w:val="en-US" w:eastAsia="zh-CN"/>
              </w:rPr>
              <w:t>喷砂</w:t>
            </w:r>
            <w:r>
              <w:rPr>
                <w:rFonts w:hint="default" w:ascii="Times New Roman" w:hAnsi="Times New Roman" w:eastAsia="宋体" w:cs="Times New Roman"/>
                <w:color w:val="auto"/>
                <w:sz w:val="24"/>
                <w:szCs w:val="24"/>
                <w:lang w:val="en-US" w:eastAsia="zh-CN"/>
              </w:rPr>
              <w:t>工</w:t>
            </w:r>
            <w:r>
              <w:rPr>
                <w:rFonts w:hint="default" w:ascii="Times New Roman" w:hAnsi="Times New Roman" w:eastAsia="宋体" w:cs="Times New Roman"/>
                <w:color w:val="auto"/>
                <w:sz w:val="24"/>
                <w:lang w:val="en-US" w:eastAsia="zh-CN"/>
              </w:rPr>
              <w:t>序废气（</w:t>
            </w:r>
            <w:r>
              <w:rPr>
                <w:rFonts w:hint="eastAsia" w:ascii="Times New Roman" w:hAnsi="Times New Roman" w:eastAsia="宋体" w:cs="Times New Roman"/>
                <w:color w:val="auto"/>
                <w:sz w:val="24"/>
                <w:lang w:val="en-US" w:eastAsia="zh-CN"/>
              </w:rPr>
              <w:t>颗粒物0.005</w:t>
            </w:r>
            <w:r>
              <w:rPr>
                <w:rFonts w:hint="default" w:ascii="Times New Roman" w:hAnsi="Times New Roman" w:eastAsia="宋体" w:cs="Times New Roman"/>
                <w:color w:val="auto"/>
                <w:sz w:val="24"/>
                <w:lang w:val="en-US" w:eastAsia="zh-CN"/>
              </w:rPr>
              <w:t>t/a）</w:t>
            </w:r>
            <w:r>
              <w:rPr>
                <w:rFonts w:hint="default" w:ascii="Times New Roman" w:hAnsi="Times New Roman" w:eastAsia="宋体" w:cs="Times New Roman"/>
                <w:color w:val="auto"/>
                <w:sz w:val="24"/>
                <w:szCs w:val="24"/>
              </w:rPr>
              <w:t>在车间以无组织形式排放。</w:t>
            </w:r>
          </w:p>
          <w:p w14:paraId="5050D535">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废气治理措施</w:t>
            </w:r>
          </w:p>
          <w:p w14:paraId="1A121DE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z w:val="24"/>
                <w:szCs w:val="24"/>
                <w:lang w:bidi="ar"/>
              </w:rPr>
              <w:t>（1）有组织废气</w:t>
            </w:r>
          </w:p>
          <w:p w14:paraId="3E3B6F9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bidi="ar"/>
              </w:rPr>
            </w:pPr>
            <w:r>
              <w:rPr>
                <w:rFonts w:hint="default" w:ascii="Times New Roman" w:hAnsi="Times New Roman" w:eastAsia="宋体" w:cs="Times New Roman"/>
                <w:b/>
                <w:bCs/>
                <w:color w:val="auto"/>
                <w:sz w:val="24"/>
                <w:szCs w:val="24"/>
                <w:lang w:bidi="ar"/>
              </w:rPr>
              <w:t>①废气收集及治理方案</w:t>
            </w:r>
          </w:p>
          <w:p w14:paraId="3C1CF3B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lang w:val="en-US" w:eastAsia="zh-CN" w:bidi="ar"/>
              </w:rPr>
            </w:pPr>
            <w:r>
              <w:rPr>
                <w:rFonts w:hint="eastAsia" w:ascii="Times New Roman" w:hAnsi="Times New Roman" w:eastAsia="宋体" w:cs="Times New Roman"/>
                <w:b/>
                <w:bCs/>
                <w:color w:val="auto"/>
                <w:sz w:val="24"/>
                <w:szCs w:val="24"/>
                <w:lang w:val="en-US" w:eastAsia="zh-CN" w:bidi="ar"/>
              </w:rPr>
              <w:t>清洗</w:t>
            </w:r>
            <w:r>
              <w:rPr>
                <w:rFonts w:hint="default" w:ascii="Times New Roman" w:hAnsi="Times New Roman" w:eastAsia="宋体" w:cs="Times New Roman"/>
                <w:b/>
                <w:bCs/>
                <w:color w:val="auto"/>
                <w:sz w:val="24"/>
                <w:szCs w:val="24"/>
                <w:lang w:val="en-US" w:eastAsia="zh-CN" w:bidi="ar"/>
              </w:rPr>
              <w:t>工序：</w:t>
            </w:r>
            <w:r>
              <w:rPr>
                <w:rFonts w:hint="default" w:ascii="Times New Roman" w:hAnsi="Times New Roman" w:eastAsia="宋体" w:cs="Times New Roman"/>
                <w:color w:val="auto"/>
                <w:sz w:val="24"/>
                <w:szCs w:val="24"/>
                <w:lang w:bidi="ar"/>
              </w:rPr>
              <w:t>本项目</w:t>
            </w:r>
            <w:r>
              <w:rPr>
                <w:rFonts w:hint="default" w:ascii="Times New Roman" w:hAnsi="Times New Roman" w:eastAsia="宋体" w:cs="Times New Roman"/>
                <w:color w:val="auto"/>
                <w:sz w:val="24"/>
                <w:szCs w:val="24"/>
                <w:lang w:val="en-US" w:eastAsia="zh-CN" w:bidi="ar"/>
              </w:rPr>
              <w:t>在</w:t>
            </w:r>
            <w:r>
              <w:rPr>
                <w:rFonts w:hint="eastAsia" w:ascii="Times New Roman" w:hAnsi="Times New Roman" w:eastAsia="宋体" w:cs="Times New Roman"/>
                <w:color w:val="auto"/>
                <w:sz w:val="24"/>
                <w:szCs w:val="24"/>
                <w:lang w:val="en-US" w:eastAsia="zh-CN" w:bidi="ar"/>
              </w:rPr>
              <w:t>真空碳氢清洗机排气点</w:t>
            </w:r>
            <w:r>
              <w:rPr>
                <w:rFonts w:hint="default" w:ascii="Times New Roman" w:hAnsi="Times New Roman" w:eastAsia="宋体" w:cs="Times New Roman"/>
                <w:color w:val="auto"/>
                <w:sz w:val="24"/>
                <w:szCs w:val="24"/>
                <w:lang w:val="en-US" w:eastAsia="zh-CN" w:bidi="ar"/>
              </w:rPr>
              <w:t>上方设置集气罩，将</w:t>
            </w:r>
            <w:r>
              <w:rPr>
                <w:rFonts w:hint="eastAsia" w:ascii="Times New Roman" w:hAnsi="Times New Roman" w:eastAsia="宋体" w:cs="Times New Roman"/>
                <w:color w:val="auto"/>
                <w:sz w:val="24"/>
                <w:szCs w:val="24"/>
                <w:lang w:val="en-US" w:eastAsia="zh-CN" w:bidi="ar"/>
              </w:rPr>
              <w:t>清洗</w:t>
            </w:r>
            <w:r>
              <w:rPr>
                <w:rFonts w:hint="default" w:ascii="Times New Roman" w:hAnsi="Times New Roman" w:eastAsia="宋体" w:cs="Times New Roman"/>
                <w:color w:val="auto"/>
                <w:sz w:val="24"/>
                <w:szCs w:val="24"/>
                <w:lang w:val="en-US" w:eastAsia="zh-CN" w:bidi="ar"/>
              </w:rPr>
              <w:t>工序产生的废气收集至二级活性炭吸附装置处理后通过20</w:t>
            </w:r>
            <w:r>
              <w:rPr>
                <w:rFonts w:hint="default" w:ascii="Times New Roman" w:hAnsi="Times New Roman" w:eastAsia="宋体" w:cs="Times New Roman"/>
                <w:color w:val="auto"/>
                <w:sz w:val="24"/>
                <w:szCs w:val="24"/>
                <w:lang w:bidi="ar"/>
              </w:rPr>
              <w:t>m高</w:t>
            </w:r>
            <w:r>
              <w:rPr>
                <w:rFonts w:hint="default" w:ascii="Times New Roman" w:hAnsi="Times New Roman" w:eastAsia="宋体" w:cs="Times New Roman"/>
                <w:color w:val="auto"/>
                <w:sz w:val="24"/>
                <w:szCs w:val="24"/>
                <w:lang w:val="en-US" w:eastAsia="zh-CN" w:bidi="ar"/>
              </w:rPr>
              <w:t>DA001</w:t>
            </w:r>
            <w:r>
              <w:rPr>
                <w:rFonts w:hint="default" w:ascii="Times New Roman" w:hAnsi="Times New Roman" w:eastAsia="宋体" w:cs="Times New Roman"/>
                <w:color w:val="auto"/>
                <w:sz w:val="24"/>
                <w:szCs w:val="24"/>
                <w:lang w:bidi="ar"/>
              </w:rPr>
              <w:t>排气筒排放</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集气罩</w:t>
            </w:r>
            <w:r>
              <w:rPr>
                <w:rFonts w:hint="default" w:ascii="Times New Roman" w:hAnsi="Times New Roman" w:eastAsia="宋体" w:cs="Times New Roman"/>
                <w:color w:val="auto"/>
                <w:sz w:val="24"/>
                <w:szCs w:val="24"/>
                <w:lang w:bidi="ar"/>
              </w:rPr>
              <w:t>收集率9</w:t>
            </w:r>
            <w:r>
              <w:rPr>
                <w:rFonts w:hint="default" w:ascii="Times New Roman" w:hAnsi="Times New Roman" w:eastAsia="宋体" w:cs="Times New Roman"/>
                <w:color w:val="auto"/>
                <w:sz w:val="24"/>
                <w:szCs w:val="24"/>
                <w:lang w:val="en-US" w:eastAsia="zh-CN" w:bidi="ar"/>
              </w:rPr>
              <w:t>0</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去除效率为90</w:t>
            </w:r>
            <w:r>
              <w:rPr>
                <w:rFonts w:hint="default" w:ascii="Times New Roman" w:hAnsi="Times New Roman" w:eastAsia="宋体" w:cs="Times New Roman"/>
                <w:color w:val="auto"/>
                <w:kern w:val="0"/>
                <w:sz w:val="24"/>
                <w:lang w:bidi="ar"/>
              </w:rPr>
              <w:t>%</w:t>
            </w:r>
            <w:r>
              <w:rPr>
                <w:rFonts w:hint="eastAsia" w:ascii="Times New Roman" w:hAnsi="Times New Roman" w:eastAsia="宋体" w:cs="Times New Roman"/>
                <w:color w:val="auto"/>
                <w:kern w:val="0"/>
                <w:sz w:val="24"/>
                <w:lang w:eastAsia="zh-CN" w:bidi="ar"/>
              </w:rPr>
              <w:t>，</w:t>
            </w:r>
            <w:r>
              <w:rPr>
                <w:rFonts w:hint="eastAsia" w:ascii="Times New Roman" w:hAnsi="Times New Roman" w:eastAsia="宋体" w:cs="Times New Roman"/>
                <w:color w:val="auto"/>
                <w:kern w:val="0"/>
                <w:sz w:val="24"/>
                <w:lang w:val="en-US" w:eastAsia="zh-CN" w:bidi="ar"/>
              </w:rPr>
              <w:t>工作时4800h</w:t>
            </w:r>
            <w:r>
              <w:rPr>
                <w:rFonts w:hint="default" w:ascii="Times New Roman" w:hAnsi="Times New Roman" w:eastAsia="宋体" w:cs="Times New Roman"/>
                <w:color w:val="auto"/>
                <w:sz w:val="24"/>
                <w:szCs w:val="24"/>
                <w:lang w:bidi="ar"/>
              </w:rPr>
              <w:t>。</w:t>
            </w:r>
          </w:p>
          <w:p w14:paraId="711D206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lang w:val="en-US" w:eastAsia="zh-CN" w:bidi="ar"/>
              </w:rPr>
              <w:t>油淬、回火工序：</w:t>
            </w:r>
            <w:r>
              <w:rPr>
                <w:rFonts w:hint="default" w:ascii="Times New Roman" w:hAnsi="Times New Roman" w:eastAsia="宋体" w:cs="Times New Roman"/>
                <w:color w:val="auto"/>
                <w:sz w:val="24"/>
                <w:szCs w:val="24"/>
                <w:lang w:bidi="ar"/>
              </w:rPr>
              <w:t>本项目</w:t>
            </w:r>
            <w:r>
              <w:rPr>
                <w:rFonts w:hint="default" w:ascii="Times New Roman" w:hAnsi="Times New Roman" w:eastAsia="宋体" w:cs="Times New Roman"/>
                <w:color w:val="auto"/>
                <w:sz w:val="24"/>
                <w:szCs w:val="24"/>
                <w:lang w:val="en-US" w:eastAsia="zh-CN" w:bidi="ar"/>
              </w:rPr>
              <w:t>在真空油淬炉</w:t>
            </w:r>
            <w:r>
              <w:rPr>
                <w:rFonts w:hint="eastAsia" w:ascii="Times New Roman" w:hAnsi="Times New Roman" w:eastAsia="宋体" w:cs="Times New Roman"/>
                <w:color w:val="auto"/>
                <w:sz w:val="24"/>
                <w:szCs w:val="24"/>
                <w:lang w:val="en-US" w:eastAsia="zh-CN" w:bidi="ar"/>
              </w:rPr>
              <w:t>、油淬后回火炉排气点</w:t>
            </w:r>
            <w:r>
              <w:rPr>
                <w:rFonts w:hint="default" w:ascii="Times New Roman" w:hAnsi="Times New Roman" w:eastAsia="宋体" w:cs="Times New Roman"/>
                <w:color w:val="auto"/>
                <w:sz w:val="24"/>
                <w:szCs w:val="24"/>
                <w:lang w:val="en-US" w:eastAsia="zh-CN" w:bidi="ar"/>
              </w:rPr>
              <w:t>上方设置集气罩，将油淬、回火工序产生的废气收集至三级静电油雾净化装置处理后通过20</w:t>
            </w:r>
            <w:r>
              <w:rPr>
                <w:rFonts w:hint="default" w:ascii="Times New Roman" w:hAnsi="Times New Roman" w:eastAsia="宋体" w:cs="Times New Roman"/>
                <w:color w:val="auto"/>
                <w:sz w:val="24"/>
                <w:szCs w:val="24"/>
                <w:lang w:bidi="ar"/>
              </w:rPr>
              <w:t>m高</w:t>
            </w:r>
            <w:r>
              <w:rPr>
                <w:rFonts w:hint="default" w:ascii="Times New Roman" w:hAnsi="Times New Roman" w:eastAsia="宋体" w:cs="Times New Roman"/>
                <w:color w:val="auto"/>
                <w:sz w:val="24"/>
                <w:szCs w:val="24"/>
                <w:lang w:val="en-US" w:eastAsia="zh-CN" w:bidi="ar"/>
              </w:rPr>
              <w:t>DA00</w:t>
            </w:r>
            <w:r>
              <w:rPr>
                <w:rFonts w:hint="eastAsia" w:ascii="Times New Roman" w:hAnsi="Times New Roman" w:eastAsia="宋体" w:cs="Times New Roman"/>
                <w:color w:val="auto"/>
                <w:sz w:val="24"/>
                <w:szCs w:val="24"/>
                <w:lang w:val="en-US" w:eastAsia="zh-CN" w:bidi="ar"/>
              </w:rPr>
              <w:t>2</w:t>
            </w:r>
            <w:r>
              <w:rPr>
                <w:rFonts w:hint="default" w:ascii="Times New Roman" w:hAnsi="Times New Roman" w:eastAsia="宋体" w:cs="Times New Roman"/>
                <w:color w:val="auto"/>
                <w:sz w:val="24"/>
                <w:szCs w:val="24"/>
                <w:lang w:bidi="ar"/>
              </w:rPr>
              <w:t>排气筒排放</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集气罩</w:t>
            </w:r>
            <w:r>
              <w:rPr>
                <w:rFonts w:hint="default" w:ascii="Times New Roman" w:hAnsi="Times New Roman" w:eastAsia="宋体" w:cs="Times New Roman"/>
                <w:color w:val="auto"/>
                <w:sz w:val="24"/>
                <w:szCs w:val="24"/>
                <w:lang w:bidi="ar"/>
              </w:rPr>
              <w:t>收集率9</w:t>
            </w:r>
            <w:r>
              <w:rPr>
                <w:rFonts w:hint="default" w:ascii="Times New Roman" w:hAnsi="Times New Roman" w:eastAsia="宋体" w:cs="Times New Roman"/>
                <w:color w:val="auto"/>
                <w:sz w:val="24"/>
                <w:szCs w:val="24"/>
                <w:lang w:val="en-US" w:eastAsia="zh-CN" w:bidi="ar"/>
              </w:rPr>
              <w:t>0</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去除效率为90</w:t>
            </w:r>
            <w:r>
              <w:rPr>
                <w:rFonts w:hint="default" w:ascii="Times New Roman" w:hAnsi="Times New Roman" w:eastAsia="宋体" w:cs="Times New Roman"/>
                <w:color w:val="auto"/>
                <w:kern w:val="0"/>
                <w:sz w:val="24"/>
                <w:lang w:bidi="ar"/>
              </w:rPr>
              <w:t>%</w:t>
            </w:r>
            <w:r>
              <w:rPr>
                <w:rFonts w:hint="eastAsia" w:ascii="Times New Roman" w:hAnsi="Times New Roman" w:eastAsia="宋体" w:cs="Times New Roman"/>
                <w:color w:val="auto"/>
                <w:kern w:val="0"/>
                <w:sz w:val="24"/>
                <w:lang w:eastAsia="zh-CN" w:bidi="ar"/>
              </w:rPr>
              <w:t>，</w:t>
            </w:r>
            <w:r>
              <w:rPr>
                <w:rFonts w:hint="eastAsia" w:ascii="Times New Roman" w:hAnsi="Times New Roman" w:eastAsia="宋体" w:cs="Times New Roman"/>
                <w:color w:val="auto"/>
                <w:kern w:val="0"/>
                <w:sz w:val="24"/>
                <w:lang w:val="en-US" w:eastAsia="zh-CN" w:bidi="ar"/>
              </w:rPr>
              <w:t>工作时4800h</w:t>
            </w:r>
            <w:r>
              <w:rPr>
                <w:rFonts w:hint="default" w:ascii="Times New Roman" w:hAnsi="Times New Roman" w:eastAsia="宋体" w:cs="Times New Roman"/>
                <w:color w:val="auto"/>
                <w:sz w:val="24"/>
                <w:szCs w:val="24"/>
                <w:lang w:bidi="ar"/>
              </w:rPr>
              <w:t>。</w:t>
            </w:r>
          </w:p>
          <w:p w14:paraId="3314416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b/>
                <w:bCs/>
                <w:color w:val="auto"/>
                <w:sz w:val="24"/>
                <w:szCs w:val="24"/>
                <w:lang w:val="en-US" w:eastAsia="zh-CN" w:bidi="ar"/>
              </w:rPr>
              <w:t>氮化</w:t>
            </w:r>
            <w:r>
              <w:rPr>
                <w:rFonts w:hint="default" w:ascii="Times New Roman" w:hAnsi="Times New Roman" w:eastAsia="宋体" w:cs="Times New Roman"/>
                <w:b/>
                <w:bCs/>
                <w:color w:val="auto"/>
                <w:sz w:val="24"/>
                <w:szCs w:val="24"/>
                <w:lang w:val="en-US" w:eastAsia="zh-CN" w:bidi="ar"/>
              </w:rPr>
              <w:t>工序：</w:t>
            </w:r>
            <w:r>
              <w:rPr>
                <w:rFonts w:hint="default" w:ascii="Times New Roman" w:hAnsi="Times New Roman" w:eastAsia="宋体" w:cs="Times New Roman"/>
                <w:color w:val="auto"/>
                <w:sz w:val="24"/>
                <w:szCs w:val="24"/>
                <w:lang w:bidi="ar"/>
              </w:rPr>
              <w:t>本项目</w:t>
            </w:r>
            <w:r>
              <w:rPr>
                <w:rFonts w:hint="default" w:ascii="Times New Roman" w:hAnsi="Times New Roman" w:eastAsia="宋体" w:cs="Times New Roman"/>
                <w:color w:val="auto"/>
                <w:sz w:val="24"/>
                <w:szCs w:val="24"/>
                <w:lang w:val="en-US" w:eastAsia="zh-CN" w:bidi="ar"/>
              </w:rPr>
              <w:t>在井式盐浴氮化炉（空冷）</w:t>
            </w:r>
            <w:r>
              <w:rPr>
                <w:rFonts w:hint="eastAsia" w:ascii="Times New Roman" w:hAnsi="Times New Roman" w:eastAsia="宋体" w:cs="Times New Roman"/>
                <w:color w:val="auto"/>
                <w:sz w:val="24"/>
                <w:szCs w:val="24"/>
                <w:lang w:val="en-US" w:eastAsia="zh-CN" w:bidi="ar"/>
              </w:rPr>
              <w:t>、井式盐浴氧化炉排气点</w:t>
            </w:r>
            <w:r>
              <w:rPr>
                <w:rFonts w:hint="default" w:ascii="Times New Roman" w:hAnsi="Times New Roman" w:eastAsia="宋体" w:cs="Times New Roman"/>
                <w:color w:val="auto"/>
                <w:sz w:val="24"/>
                <w:szCs w:val="24"/>
                <w:lang w:val="en-US" w:eastAsia="zh-CN" w:bidi="ar"/>
              </w:rPr>
              <w:t>上方设置集气罩，将</w:t>
            </w:r>
            <w:r>
              <w:rPr>
                <w:rFonts w:hint="eastAsia" w:ascii="Times New Roman" w:hAnsi="Times New Roman" w:eastAsia="宋体" w:cs="Times New Roman"/>
                <w:color w:val="auto"/>
                <w:sz w:val="24"/>
                <w:szCs w:val="24"/>
                <w:lang w:val="en-US" w:eastAsia="zh-CN" w:bidi="ar"/>
              </w:rPr>
              <w:t>氮化</w:t>
            </w:r>
            <w:r>
              <w:rPr>
                <w:rFonts w:hint="default" w:ascii="Times New Roman" w:hAnsi="Times New Roman" w:eastAsia="宋体" w:cs="Times New Roman"/>
                <w:color w:val="auto"/>
                <w:sz w:val="24"/>
                <w:szCs w:val="24"/>
                <w:lang w:val="en-US" w:eastAsia="zh-CN" w:bidi="ar"/>
              </w:rPr>
              <w:t>工序产生的废气收集至</w:t>
            </w:r>
            <w:r>
              <w:rPr>
                <w:rFonts w:hint="eastAsia" w:ascii="Times New Roman" w:hAnsi="Times New Roman" w:eastAsia="宋体" w:cs="Times New Roman"/>
                <w:color w:val="auto"/>
                <w:sz w:val="24"/>
                <w:szCs w:val="24"/>
                <w:lang w:val="en-US" w:eastAsia="zh-CN" w:bidi="ar"/>
              </w:rPr>
              <w:t>水喷淋塔</w:t>
            </w:r>
            <w:r>
              <w:rPr>
                <w:rFonts w:hint="default" w:ascii="Times New Roman" w:hAnsi="Times New Roman" w:eastAsia="宋体" w:cs="Times New Roman"/>
                <w:color w:val="auto"/>
                <w:sz w:val="24"/>
                <w:szCs w:val="24"/>
                <w:lang w:val="en-US" w:eastAsia="zh-CN" w:bidi="ar"/>
              </w:rPr>
              <w:t>处理后通过20</w:t>
            </w:r>
            <w:r>
              <w:rPr>
                <w:rFonts w:hint="default" w:ascii="Times New Roman" w:hAnsi="Times New Roman" w:eastAsia="宋体" w:cs="Times New Roman"/>
                <w:color w:val="auto"/>
                <w:sz w:val="24"/>
                <w:szCs w:val="24"/>
                <w:lang w:bidi="ar"/>
              </w:rPr>
              <w:t>m高</w:t>
            </w:r>
            <w:r>
              <w:rPr>
                <w:rFonts w:hint="default" w:ascii="Times New Roman" w:hAnsi="Times New Roman" w:eastAsia="宋体" w:cs="Times New Roman"/>
                <w:color w:val="auto"/>
                <w:sz w:val="24"/>
                <w:szCs w:val="24"/>
                <w:lang w:val="en-US" w:eastAsia="zh-CN" w:bidi="ar"/>
              </w:rPr>
              <w:t>DA00</w:t>
            </w:r>
            <w:r>
              <w:rPr>
                <w:rFonts w:hint="eastAsia" w:ascii="Times New Roman" w:hAnsi="Times New Roman" w:eastAsia="宋体" w:cs="Times New Roman"/>
                <w:color w:val="auto"/>
                <w:sz w:val="24"/>
                <w:szCs w:val="24"/>
                <w:lang w:val="en-US" w:eastAsia="zh-CN" w:bidi="ar"/>
              </w:rPr>
              <w:t>3</w:t>
            </w:r>
            <w:r>
              <w:rPr>
                <w:rFonts w:hint="default" w:ascii="Times New Roman" w:hAnsi="Times New Roman" w:eastAsia="宋体" w:cs="Times New Roman"/>
                <w:color w:val="auto"/>
                <w:sz w:val="24"/>
                <w:szCs w:val="24"/>
                <w:lang w:bidi="ar"/>
              </w:rPr>
              <w:t>排气筒排放</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集气罩</w:t>
            </w:r>
            <w:r>
              <w:rPr>
                <w:rFonts w:hint="default" w:ascii="Times New Roman" w:hAnsi="Times New Roman" w:eastAsia="宋体" w:cs="Times New Roman"/>
                <w:color w:val="auto"/>
                <w:sz w:val="24"/>
                <w:szCs w:val="24"/>
                <w:lang w:bidi="ar"/>
              </w:rPr>
              <w:t>收集率9</w:t>
            </w:r>
            <w:r>
              <w:rPr>
                <w:rFonts w:hint="default" w:ascii="Times New Roman" w:hAnsi="Times New Roman" w:eastAsia="宋体" w:cs="Times New Roman"/>
                <w:color w:val="auto"/>
                <w:sz w:val="24"/>
                <w:szCs w:val="24"/>
                <w:lang w:val="en-US" w:eastAsia="zh-CN" w:bidi="ar"/>
              </w:rPr>
              <w:t>0</w:t>
            </w:r>
            <w:r>
              <w:rPr>
                <w:rFonts w:hint="default" w:ascii="Times New Roman" w:hAnsi="Times New Roman" w:eastAsia="宋体" w:cs="Times New Roman"/>
                <w:color w:val="auto"/>
                <w:sz w:val="24"/>
                <w:szCs w:val="24"/>
                <w:lang w:bidi="ar"/>
              </w:rPr>
              <w:t>%</w:t>
            </w:r>
            <w:r>
              <w:rPr>
                <w:rFonts w:hint="default" w:ascii="Times New Roman" w:hAnsi="Times New Roman" w:eastAsia="宋体" w:cs="Times New Roman"/>
                <w:color w:val="auto"/>
                <w:sz w:val="24"/>
                <w:szCs w:val="24"/>
                <w:lang w:eastAsia="zh-CN" w:bidi="ar"/>
              </w:rPr>
              <w:t>，</w:t>
            </w:r>
            <w:r>
              <w:rPr>
                <w:rFonts w:hint="default" w:ascii="Times New Roman" w:hAnsi="Times New Roman" w:eastAsia="宋体" w:cs="Times New Roman"/>
                <w:color w:val="auto"/>
                <w:sz w:val="24"/>
                <w:szCs w:val="24"/>
                <w:lang w:val="en-US" w:eastAsia="zh-CN" w:bidi="ar"/>
              </w:rPr>
              <w:t>去除效率为</w:t>
            </w:r>
            <w:r>
              <w:rPr>
                <w:rFonts w:hint="eastAsia" w:ascii="Times New Roman" w:hAnsi="Times New Roman" w:eastAsia="宋体" w:cs="Times New Roman"/>
                <w:color w:val="auto"/>
                <w:sz w:val="24"/>
                <w:szCs w:val="24"/>
                <w:lang w:val="en-US" w:eastAsia="zh-CN" w:bidi="ar"/>
              </w:rPr>
              <w:t>85</w:t>
            </w:r>
            <w:r>
              <w:rPr>
                <w:rFonts w:hint="default" w:ascii="Times New Roman" w:hAnsi="Times New Roman" w:eastAsia="宋体" w:cs="Times New Roman"/>
                <w:color w:val="auto"/>
                <w:kern w:val="0"/>
                <w:sz w:val="24"/>
                <w:lang w:bidi="ar"/>
              </w:rPr>
              <w:t>%</w:t>
            </w:r>
            <w:r>
              <w:rPr>
                <w:rFonts w:hint="eastAsia" w:ascii="Times New Roman" w:hAnsi="Times New Roman" w:eastAsia="宋体" w:cs="Times New Roman"/>
                <w:color w:val="auto"/>
                <w:kern w:val="0"/>
                <w:sz w:val="24"/>
                <w:lang w:eastAsia="zh-CN" w:bidi="ar"/>
              </w:rPr>
              <w:t>，</w:t>
            </w:r>
            <w:r>
              <w:rPr>
                <w:rFonts w:hint="eastAsia" w:ascii="Times New Roman" w:hAnsi="Times New Roman" w:eastAsia="宋体" w:cs="Times New Roman"/>
                <w:color w:val="auto"/>
                <w:kern w:val="0"/>
                <w:sz w:val="24"/>
                <w:lang w:val="en-US" w:eastAsia="zh-CN" w:bidi="ar"/>
              </w:rPr>
              <w:t>工作时4800h</w:t>
            </w:r>
            <w:r>
              <w:rPr>
                <w:rFonts w:hint="default" w:ascii="Times New Roman" w:hAnsi="Times New Roman" w:eastAsia="宋体" w:cs="Times New Roman"/>
                <w:color w:val="auto"/>
                <w:sz w:val="24"/>
                <w:szCs w:val="24"/>
                <w:lang w:bidi="ar"/>
              </w:rPr>
              <w:t>。</w:t>
            </w:r>
          </w:p>
          <w:p w14:paraId="3B9A427C">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kern w:val="0"/>
                <w:sz w:val="24"/>
                <w:lang w:val="en-US" w:eastAsia="zh-CN"/>
              </w:rPr>
            </w:pPr>
            <w:r>
              <w:rPr>
                <w:rFonts w:hint="eastAsia" w:ascii="Times New Roman" w:hAnsi="Times New Roman" w:eastAsia="宋体" w:cs="Times New Roman"/>
                <w:b/>
                <w:bCs/>
                <w:color w:val="auto"/>
                <w:kern w:val="0"/>
                <w:sz w:val="24"/>
                <w:lang w:val="en-US" w:eastAsia="zh-CN"/>
              </w:rPr>
              <w:t>喷砂工序：</w:t>
            </w:r>
            <w:r>
              <w:rPr>
                <w:rFonts w:hint="eastAsia" w:ascii="Times New Roman" w:hAnsi="Times New Roman" w:eastAsia="宋体" w:cs="Times New Roman"/>
                <w:b w:val="0"/>
                <w:bCs w:val="0"/>
                <w:color w:val="auto"/>
                <w:kern w:val="0"/>
                <w:sz w:val="24"/>
                <w:lang w:val="en-US" w:eastAsia="zh-CN"/>
              </w:rPr>
              <w:t>本项目喷砂过程产生的废气经设备内部集气装置+除尘设施（布袋除尘器）</w:t>
            </w:r>
            <w:r>
              <w:rPr>
                <w:rFonts w:hint="default" w:ascii="Times New Roman" w:hAnsi="Times New Roman" w:eastAsia="宋体" w:cs="Times New Roman"/>
                <w:b w:val="0"/>
                <w:bCs w:val="0"/>
                <w:color w:val="auto"/>
                <w:sz w:val="24"/>
                <w:szCs w:val="24"/>
                <w:lang w:val="en-US" w:eastAsia="zh-CN" w:bidi="ar"/>
              </w:rPr>
              <w:t>处理后通过20</w:t>
            </w:r>
            <w:r>
              <w:rPr>
                <w:rFonts w:hint="default" w:ascii="Times New Roman" w:hAnsi="Times New Roman" w:eastAsia="宋体" w:cs="Times New Roman"/>
                <w:b w:val="0"/>
                <w:bCs w:val="0"/>
                <w:color w:val="auto"/>
                <w:sz w:val="24"/>
                <w:szCs w:val="24"/>
                <w:lang w:bidi="ar"/>
              </w:rPr>
              <w:t>m高</w:t>
            </w:r>
            <w:r>
              <w:rPr>
                <w:rFonts w:hint="default" w:ascii="Times New Roman" w:hAnsi="Times New Roman" w:eastAsia="宋体" w:cs="Times New Roman"/>
                <w:b w:val="0"/>
                <w:bCs w:val="0"/>
                <w:color w:val="auto"/>
                <w:sz w:val="24"/>
                <w:szCs w:val="24"/>
                <w:lang w:val="en-US" w:eastAsia="zh-CN" w:bidi="ar"/>
              </w:rPr>
              <w:t>DA00</w:t>
            </w:r>
            <w:r>
              <w:rPr>
                <w:rFonts w:hint="eastAsia" w:ascii="Times New Roman" w:hAnsi="Times New Roman" w:eastAsia="宋体" w:cs="Times New Roman"/>
                <w:b w:val="0"/>
                <w:bCs w:val="0"/>
                <w:color w:val="auto"/>
                <w:sz w:val="24"/>
                <w:szCs w:val="24"/>
                <w:lang w:val="en-US" w:eastAsia="zh-CN" w:bidi="ar"/>
              </w:rPr>
              <w:t>4</w:t>
            </w:r>
            <w:r>
              <w:rPr>
                <w:rFonts w:hint="default" w:ascii="Times New Roman" w:hAnsi="Times New Roman" w:eastAsia="宋体" w:cs="Times New Roman"/>
                <w:b w:val="0"/>
                <w:bCs w:val="0"/>
                <w:color w:val="auto"/>
                <w:sz w:val="24"/>
                <w:szCs w:val="24"/>
                <w:lang w:bidi="ar"/>
              </w:rPr>
              <w:t>排气筒排放</w:t>
            </w:r>
            <w:r>
              <w:rPr>
                <w:rFonts w:hint="default" w:ascii="Times New Roman" w:hAnsi="Times New Roman" w:eastAsia="宋体" w:cs="Times New Roman"/>
                <w:b w:val="0"/>
                <w:bCs w:val="0"/>
                <w:color w:val="auto"/>
                <w:sz w:val="24"/>
                <w:szCs w:val="24"/>
                <w:lang w:eastAsia="zh-CN" w:bidi="ar"/>
              </w:rPr>
              <w:t>，</w:t>
            </w:r>
            <w:r>
              <w:rPr>
                <w:rFonts w:hint="default" w:ascii="Times New Roman" w:hAnsi="Times New Roman" w:eastAsia="宋体" w:cs="Times New Roman"/>
                <w:b w:val="0"/>
                <w:bCs w:val="0"/>
                <w:color w:val="auto"/>
                <w:sz w:val="24"/>
                <w:szCs w:val="24"/>
                <w:lang w:val="en-US" w:eastAsia="zh-CN" w:bidi="ar"/>
              </w:rPr>
              <w:t>集气罩</w:t>
            </w:r>
            <w:r>
              <w:rPr>
                <w:rFonts w:hint="default" w:ascii="Times New Roman" w:hAnsi="Times New Roman" w:eastAsia="宋体" w:cs="Times New Roman"/>
                <w:b w:val="0"/>
                <w:bCs w:val="0"/>
                <w:color w:val="auto"/>
                <w:sz w:val="24"/>
                <w:szCs w:val="24"/>
                <w:lang w:bidi="ar"/>
              </w:rPr>
              <w:t>收集率9</w:t>
            </w:r>
            <w:r>
              <w:rPr>
                <w:rFonts w:hint="eastAsia" w:ascii="Times New Roman" w:hAnsi="Times New Roman" w:eastAsia="宋体" w:cs="Times New Roman"/>
                <w:b w:val="0"/>
                <w:bCs w:val="0"/>
                <w:color w:val="auto"/>
                <w:sz w:val="24"/>
                <w:szCs w:val="24"/>
                <w:lang w:val="en-US" w:eastAsia="zh-CN" w:bidi="ar"/>
              </w:rPr>
              <w:t>5</w:t>
            </w:r>
            <w:r>
              <w:rPr>
                <w:rFonts w:hint="default" w:ascii="Times New Roman" w:hAnsi="Times New Roman" w:eastAsia="宋体" w:cs="Times New Roman"/>
                <w:b w:val="0"/>
                <w:bCs w:val="0"/>
                <w:color w:val="auto"/>
                <w:sz w:val="24"/>
                <w:szCs w:val="24"/>
                <w:lang w:bidi="ar"/>
              </w:rPr>
              <w:t>%</w:t>
            </w:r>
            <w:r>
              <w:rPr>
                <w:rFonts w:hint="default" w:ascii="Times New Roman" w:hAnsi="Times New Roman" w:eastAsia="宋体" w:cs="Times New Roman"/>
                <w:b w:val="0"/>
                <w:bCs w:val="0"/>
                <w:color w:val="auto"/>
                <w:sz w:val="24"/>
                <w:szCs w:val="24"/>
                <w:lang w:eastAsia="zh-CN" w:bidi="ar"/>
              </w:rPr>
              <w:t>，</w:t>
            </w:r>
            <w:r>
              <w:rPr>
                <w:rFonts w:hint="default" w:ascii="Times New Roman" w:hAnsi="Times New Roman" w:eastAsia="宋体" w:cs="Times New Roman"/>
                <w:b w:val="0"/>
                <w:bCs w:val="0"/>
                <w:color w:val="auto"/>
                <w:sz w:val="24"/>
                <w:szCs w:val="24"/>
                <w:lang w:val="en-US" w:eastAsia="zh-CN" w:bidi="ar"/>
              </w:rPr>
              <w:t>去除效率为9</w:t>
            </w:r>
            <w:r>
              <w:rPr>
                <w:rFonts w:hint="eastAsia" w:ascii="Times New Roman" w:hAnsi="Times New Roman" w:eastAsia="宋体" w:cs="Times New Roman"/>
                <w:b w:val="0"/>
                <w:bCs w:val="0"/>
                <w:color w:val="auto"/>
                <w:sz w:val="24"/>
                <w:szCs w:val="24"/>
                <w:lang w:val="en-US" w:eastAsia="zh-CN" w:bidi="ar"/>
              </w:rPr>
              <w:t>5</w:t>
            </w:r>
            <w:r>
              <w:rPr>
                <w:rFonts w:hint="default" w:ascii="Times New Roman" w:hAnsi="Times New Roman" w:eastAsia="宋体" w:cs="Times New Roman"/>
                <w:b w:val="0"/>
                <w:bCs w:val="0"/>
                <w:color w:val="auto"/>
                <w:kern w:val="0"/>
                <w:sz w:val="24"/>
                <w:lang w:bidi="ar"/>
              </w:rPr>
              <w:t>%</w:t>
            </w:r>
            <w:r>
              <w:rPr>
                <w:rFonts w:hint="eastAsia" w:ascii="Times New Roman" w:hAnsi="Times New Roman" w:eastAsia="宋体" w:cs="Times New Roman"/>
                <w:color w:val="auto"/>
                <w:kern w:val="0"/>
                <w:sz w:val="24"/>
                <w:lang w:eastAsia="zh-CN" w:bidi="ar"/>
              </w:rPr>
              <w:t>，</w:t>
            </w:r>
            <w:r>
              <w:rPr>
                <w:rFonts w:hint="eastAsia" w:ascii="Times New Roman" w:hAnsi="Times New Roman" w:eastAsia="宋体" w:cs="Times New Roman"/>
                <w:color w:val="auto"/>
                <w:kern w:val="0"/>
                <w:sz w:val="24"/>
                <w:lang w:val="en-US" w:eastAsia="zh-CN" w:bidi="ar"/>
              </w:rPr>
              <w:t>工作时2400h</w:t>
            </w:r>
            <w:r>
              <w:rPr>
                <w:rFonts w:hint="default" w:ascii="Times New Roman" w:hAnsi="Times New Roman" w:eastAsia="宋体" w:cs="Times New Roman"/>
                <w:b w:val="0"/>
                <w:bCs w:val="0"/>
                <w:color w:val="auto"/>
                <w:sz w:val="24"/>
                <w:szCs w:val="24"/>
                <w:lang w:bidi="ar"/>
              </w:rPr>
              <w:t>。</w:t>
            </w:r>
          </w:p>
          <w:p w14:paraId="5608666B">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FF0000"/>
                <w:sz w:val="24"/>
              </w:rPr>
            </w:pPr>
            <w:r>
              <w:rPr>
                <w:rFonts w:hint="default" w:ascii="Times New Roman" w:hAnsi="Times New Roman" w:eastAsia="宋体" w:cs="Times New Roman"/>
                <w:color w:val="FF0000"/>
                <w:kern w:val="0"/>
                <w:sz w:val="24"/>
              </w:rPr>
              <w:t>本项目</w:t>
            </w:r>
            <w:r>
              <w:rPr>
                <w:rFonts w:hint="default" w:ascii="Times New Roman" w:hAnsi="Times New Roman" w:eastAsia="宋体" w:cs="Times New Roman"/>
                <w:color w:val="FF0000"/>
                <w:sz w:val="24"/>
              </w:rPr>
              <w:t>废气处理措施示意图见图4-</w:t>
            </w:r>
            <w:r>
              <w:rPr>
                <w:rFonts w:hint="default" w:ascii="Times New Roman" w:hAnsi="Times New Roman" w:eastAsia="宋体" w:cs="Times New Roman"/>
                <w:color w:val="FF0000"/>
                <w:sz w:val="24"/>
                <w:lang w:val="en-US" w:eastAsia="zh-CN"/>
              </w:rPr>
              <w:t>1</w:t>
            </w:r>
            <w:r>
              <w:rPr>
                <w:rFonts w:hint="default" w:ascii="Times New Roman" w:hAnsi="Times New Roman" w:eastAsia="宋体" w:cs="Times New Roman"/>
                <w:color w:val="FF0000"/>
                <w:sz w:val="24"/>
              </w:rPr>
              <w:t>。</w:t>
            </w:r>
          </w:p>
          <w:p w14:paraId="6605A604">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FF0000"/>
                <w:kern w:val="0"/>
                <w:sz w:val="24"/>
                <w:lang w:eastAsia="zh-CN"/>
              </w:rPr>
            </w:pPr>
            <w:r>
              <w:rPr>
                <w:rFonts w:hint="default" w:ascii="Times New Roman" w:hAnsi="Times New Roman" w:eastAsia="宋体" w:cs="Times New Roman"/>
                <w:b/>
                <w:bCs/>
                <w:color w:val="FF0000"/>
                <w:kern w:val="0"/>
                <w:sz w:val="24"/>
                <w:lang w:eastAsia="zh-CN"/>
              </w:rPr>
              <w:drawing>
                <wp:inline distT="0" distB="0" distL="114300" distR="114300">
                  <wp:extent cx="4945380" cy="3077210"/>
                  <wp:effectExtent l="0" t="0" r="0" b="0"/>
                  <wp:docPr id="9" name="图片 9" descr="废气处理设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废气处理设施"/>
                          <pic:cNvPicPr>
                            <a:picLocks noChangeAspect="1"/>
                          </pic:cNvPicPr>
                        </pic:nvPicPr>
                        <pic:blipFill>
                          <a:blip r:embed="rId22"/>
                          <a:stretch>
                            <a:fillRect/>
                          </a:stretch>
                        </pic:blipFill>
                        <pic:spPr>
                          <a:xfrm>
                            <a:off x="0" y="0"/>
                            <a:ext cx="4945380" cy="3077210"/>
                          </a:xfrm>
                          <a:prstGeom prst="rect">
                            <a:avLst/>
                          </a:prstGeom>
                        </pic:spPr>
                      </pic:pic>
                    </a:graphicData>
                  </a:graphic>
                </wp:inline>
              </w:drawing>
            </w:r>
          </w:p>
          <w:p w14:paraId="77BA4CED">
            <w:pPr>
              <w:pStyle w:val="3"/>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FF0000"/>
                <w:kern w:val="0"/>
                <w:sz w:val="24"/>
              </w:rPr>
            </w:pPr>
            <w:r>
              <w:rPr>
                <w:rFonts w:hint="default" w:ascii="Times New Roman" w:hAnsi="Times New Roman" w:eastAsia="宋体" w:cs="Times New Roman"/>
                <w:b/>
                <w:bCs/>
                <w:color w:val="FF0000"/>
                <w:kern w:val="0"/>
                <w:sz w:val="24"/>
              </w:rPr>
              <w:t>图4-</w:t>
            </w:r>
            <w:r>
              <w:rPr>
                <w:rFonts w:hint="default" w:ascii="Times New Roman" w:hAnsi="Times New Roman" w:eastAsia="宋体" w:cs="Times New Roman"/>
                <w:b/>
                <w:bCs/>
                <w:color w:val="FF0000"/>
                <w:kern w:val="0"/>
                <w:sz w:val="24"/>
                <w:lang w:val="en-US" w:eastAsia="zh-CN"/>
              </w:rPr>
              <w:t>1</w:t>
            </w:r>
            <w:r>
              <w:rPr>
                <w:rFonts w:hint="default" w:ascii="Times New Roman" w:hAnsi="Times New Roman" w:eastAsia="宋体" w:cs="Times New Roman"/>
                <w:b/>
                <w:bCs/>
                <w:color w:val="FF0000"/>
                <w:kern w:val="0"/>
                <w:sz w:val="24"/>
              </w:rPr>
              <w:t xml:space="preserve"> </w:t>
            </w:r>
            <w:r>
              <w:rPr>
                <w:rFonts w:hint="default" w:ascii="Times New Roman" w:hAnsi="Times New Roman" w:eastAsia="宋体" w:cs="Times New Roman"/>
                <w:b/>
                <w:bCs/>
                <w:color w:val="FF0000"/>
                <w:kern w:val="0"/>
                <w:sz w:val="24"/>
                <w:lang w:val="en-US" w:eastAsia="zh-CN"/>
              </w:rPr>
              <w:t xml:space="preserve"> </w:t>
            </w:r>
            <w:r>
              <w:rPr>
                <w:rFonts w:hint="default" w:ascii="Times New Roman" w:hAnsi="Times New Roman" w:eastAsia="宋体" w:cs="Times New Roman"/>
                <w:b/>
                <w:bCs/>
                <w:color w:val="FF0000"/>
                <w:kern w:val="0"/>
                <w:sz w:val="24"/>
              </w:rPr>
              <w:t>废气处理工艺流程</w:t>
            </w:r>
          </w:p>
          <w:p w14:paraId="203C1981">
            <w:pPr>
              <w:keepNext w:val="0"/>
              <w:keepLines w:val="0"/>
              <w:pageBreakBefore w:val="0"/>
              <w:kinsoku/>
              <w:wordWrap/>
              <w:overflowPunct/>
              <w:topLinePunct w:val="0"/>
              <w:autoSpaceDE/>
              <w:autoSpaceDN/>
              <w:bidi w:val="0"/>
              <w:adjustRightInd w:val="0"/>
              <w:snapToGrid w:val="0"/>
              <w:spacing w:line="500" w:lineRule="exact"/>
              <w:ind w:firstLine="482" w:firstLineChars="200"/>
              <w:textAlignment w:val="auto"/>
              <w:rPr>
                <w:rFonts w:hint="default" w:ascii="Times New Roman" w:hAnsi="Times New Roman" w:eastAsia="宋体" w:cs="Times New Roman"/>
                <w:b/>
                <w:bCs/>
                <w:color w:val="auto"/>
                <w:sz w:val="24"/>
                <w:highlight w:val="none"/>
                <w:lang w:val="en-US" w:eastAsia="zh-CN"/>
              </w:rPr>
            </w:pPr>
            <w:r>
              <w:rPr>
                <w:rFonts w:hint="default" w:ascii="Times New Roman" w:hAnsi="Times New Roman" w:eastAsia="宋体" w:cs="Times New Roman"/>
                <w:b/>
                <w:bCs/>
                <w:color w:val="auto"/>
                <w:sz w:val="24"/>
                <w:lang w:val="en-US" w:eastAsia="zh-CN"/>
              </w:rPr>
              <w:t>②</w:t>
            </w:r>
            <w:r>
              <w:rPr>
                <w:rFonts w:hint="default" w:ascii="Times New Roman" w:hAnsi="Times New Roman" w:eastAsia="宋体" w:cs="Times New Roman"/>
                <w:b/>
                <w:bCs/>
                <w:color w:val="auto"/>
                <w:sz w:val="24"/>
                <w:lang w:eastAsia="zh-CN"/>
              </w:rPr>
              <w:t>废气</w:t>
            </w:r>
            <w:r>
              <w:rPr>
                <w:rFonts w:hint="default" w:ascii="Times New Roman" w:hAnsi="Times New Roman" w:eastAsia="宋体" w:cs="Times New Roman"/>
                <w:b/>
                <w:bCs/>
                <w:color w:val="auto"/>
                <w:sz w:val="24"/>
                <w:lang w:val="en-US" w:eastAsia="zh-CN"/>
              </w:rPr>
              <w:t>收集系统风量核算</w:t>
            </w:r>
          </w:p>
          <w:p w14:paraId="20029AEF">
            <w:pPr>
              <w:spacing w:line="500" w:lineRule="exact"/>
              <w:jc w:val="center"/>
              <w:rPr>
                <w:rFonts w:hint="default" w:ascii="Times New Roman" w:hAnsi="Times New Roman" w:eastAsia="宋体" w:cs="Times New Roman"/>
                <w:b/>
                <w:color w:val="auto"/>
                <w:sz w:val="24"/>
                <w:szCs w:val="24"/>
                <w:lang w:bidi="en-US"/>
              </w:rPr>
            </w:pPr>
            <w:r>
              <w:rPr>
                <w:rFonts w:hint="default" w:ascii="Times New Roman" w:hAnsi="Times New Roman" w:eastAsia="宋体" w:cs="Times New Roman"/>
                <w:b/>
                <w:color w:val="auto"/>
                <w:sz w:val="24"/>
                <w:szCs w:val="24"/>
                <w:lang w:val="en-US" w:eastAsia="zh-CN" w:bidi="en-US"/>
              </w:rPr>
              <w:t>表4-</w:t>
            </w:r>
            <w:r>
              <w:rPr>
                <w:rFonts w:hint="eastAsia" w:ascii="Times New Roman" w:hAnsi="Times New Roman" w:eastAsia="宋体" w:cs="Times New Roman"/>
                <w:b/>
                <w:color w:val="auto"/>
                <w:sz w:val="24"/>
                <w:szCs w:val="24"/>
                <w:lang w:val="en-US" w:eastAsia="zh-CN" w:bidi="en-US"/>
              </w:rPr>
              <w:t>1</w:t>
            </w:r>
            <w:r>
              <w:rPr>
                <w:rFonts w:hint="default" w:ascii="Times New Roman" w:hAnsi="Times New Roman" w:eastAsia="宋体" w:cs="Times New Roman"/>
                <w:b/>
                <w:color w:val="auto"/>
                <w:sz w:val="24"/>
                <w:szCs w:val="24"/>
                <w:lang w:val="en-US" w:eastAsia="zh-CN" w:bidi="en-US"/>
              </w:rPr>
              <w:t xml:space="preserve">  </w:t>
            </w:r>
            <w:r>
              <w:rPr>
                <w:rFonts w:hint="default" w:ascii="Times New Roman" w:hAnsi="Times New Roman" w:eastAsia="宋体" w:cs="Times New Roman"/>
                <w:b/>
                <w:color w:val="auto"/>
                <w:sz w:val="24"/>
                <w:szCs w:val="24"/>
                <w:lang w:bidi="en-US"/>
              </w:rPr>
              <w:t>本项目废气风量合理性核算表    单位：m</w:t>
            </w:r>
            <w:r>
              <w:rPr>
                <w:rFonts w:hint="default" w:ascii="Times New Roman" w:hAnsi="Times New Roman" w:eastAsia="宋体" w:cs="Times New Roman"/>
                <w:b/>
                <w:color w:val="auto"/>
                <w:sz w:val="24"/>
                <w:szCs w:val="24"/>
                <w:vertAlign w:val="superscript"/>
                <w:lang w:bidi="en-US"/>
              </w:rPr>
              <w:t>3</w:t>
            </w:r>
            <w:r>
              <w:rPr>
                <w:rFonts w:hint="default" w:ascii="Times New Roman" w:hAnsi="Times New Roman" w:eastAsia="宋体" w:cs="Times New Roman"/>
                <w:b/>
                <w:color w:val="auto"/>
                <w:sz w:val="24"/>
                <w:szCs w:val="24"/>
                <w:lang w:bidi="en-US"/>
              </w:rPr>
              <w:t>/h</w:t>
            </w:r>
          </w:p>
          <w:tbl>
            <w:tblPr>
              <w:tblStyle w:val="27"/>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477"/>
              <w:gridCol w:w="1069"/>
              <w:gridCol w:w="1129"/>
              <w:gridCol w:w="1594"/>
              <w:gridCol w:w="1249"/>
              <w:gridCol w:w="977"/>
              <w:gridCol w:w="860"/>
            </w:tblGrid>
            <w:tr w14:paraId="5CF88A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PrEx>
              <w:trPr>
                <w:trHeight w:val="540" w:hRule="atLeast"/>
              </w:trPr>
              <w:tc>
                <w:tcPr>
                  <w:tcW w:w="883" w:type="pct"/>
                  <w:tcBorders>
                    <w:tl2br w:val="nil"/>
                    <w:tr2bl w:val="nil"/>
                  </w:tcBorders>
                  <w:shd w:val="clear" w:color="auto" w:fill="auto"/>
                  <w:vAlign w:val="center"/>
                </w:tcPr>
                <w:p w14:paraId="0CC90596">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废气来源</w:t>
                  </w:r>
                </w:p>
              </w:tc>
              <w:tc>
                <w:tcPr>
                  <w:tcW w:w="639" w:type="pct"/>
                  <w:tcBorders>
                    <w:tl2br w:val="nil"/>
                    <w:tr2bl w:val="nil"/>
                  </w:tcBorders>
                  <w:shd w:val="clear" w:color="auto" w:fill="auto"/>
                  <w:vAlign w:val="center"/>
                </w:tcPr>
                <w:p w14:paraId="1280E10E">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产污节点</w:t>
                  </w:r>
                </w:p>
              </w:tc>
              <w:tc>
                <w:tcPr>
                  <w:tcW w:w="675" w:type="pct"/>
                  <w:tcBorders>
                    <w:tl2br w:val="nil"/>
                    <w:tr2bl w:val="nil"/>
                  </w:tcBorders>
                  <w:shd w:val="clear" w:color="auto" w:fill="auto"/>
                  <w:vAlign w:val="center"/>
                </w:tcPr>
                <w:p w14:paraId="790FF52B">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收集方式</w:t>
                  </w:r>
                </w:p>
              </w:tc>
              <w:tc>
                <w:tcPr>
                  <w:tcW w:w="953" w:type="pct"/>
                  <w:tcBorders>
                    <w:tl2br w:val="nil"/>
                    <w:tr2bl w:val="nil"/>
                  </w:tcBorders>
                  <w:shd w:val="clear" w:color="auto" w:fill="auto"/>
                  <w:vAlign w:val="center"/>
                </w:tcPr>
                <w:p w14:paraId="7814A122">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收集参数</w:t>
                  </w:r>
                </w:p>
              </w:tc>
              <w:tc>
                <w:tcPr>
                  <w:tcW w:w="747" w:type="pct"/>
                  <w:tcBorders>
                    <w:tl2br w:val="nil"/>
                    <w:tr2bl w:val="nil"/>
                  </w:tcBorders>
                  <w:shd w:val="clear" w:color="auto" w:fill="auto"/>
                  <w:vAlign w:val="center"/>
                </w:tcPr>
                <w:p w14:paraId="4E9E0390">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核算风量（各工段）*</w:t>
                  </w:r>
                </w:p>
              </w:tc>
              <w:tc>
                <w:tcPr>
                  <w:tcW w:w="584" w:type="pct"/>
                  <w:tcBorders>
                    <w:tl2br w:val="nil"/>
                    <w:tr2bl w:val="nil"/>
                  </w:tcBorders>
                  <w:shd w:val="clear" w:color="auto" w:fill="auto"/>
                  <w:vAlign w:val="center"/>
                </w:tcPr>
                <w:p w14:paraId="45D21234">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核算风量（总）</w:t>
                  </w:r>
                </w:p>
              </w:tc>
              <w:tc>
                <w:tcPr>
                  <w:tcW w:w="514" w:type="pct"/>
                  <w:tcBorders>
                    <w:tl2br w:val="nil"/>
                    <w:tr2bl w:val="nil"/>
                  </w:tcBorders>
                  <w:shd w:val="clear" w:color="auto" w:fill="auto"/>
                  <w:vAlign w:val="center"/>
                </w:tcPr>
                <w:p w14:paraId="114E29E3">
                  <w:pPr>
                    <w:widowControl/>
                    <w:jc w:val="center"/>
                    <w:textAlignment w:val="center"/>
                    <w:rPr>
                      <w:rFonts w:hint="default" w:ascii="Times New Roman" w:hAnsi="Times New Roman" w:eastAsia="宋体" w:cs="Times New Roman"/>
                      <w:b/>
                      <w:bCs/>
                      <w:color w:val="auto"/>
                      <w:kern w:val="0"/>
                      <w:sz w:val="21"/>
                      <w:szCs w:val="21"/>
                      <w:lang w:bidi="ar"/>
                    </w:rPr>
                  </w:pPr>
                  <w:r>
                    <w:rPr>
                      <w:rFonts w:hint="default" w:ascii="Times New Roman" w:hAnsi="Times New Roman" w:eastAsia="宋体" w:cs="Times New Roman"/>
                      <w:b/>
                      <w:bCs/>
                      <w:color w:val="auto"/>
                      <w:kern w:val="0"/>
                      <w:sz w:val="21"/>
                      <w:szCs w:val="21"/>
                      <w:lang w:val="en-US" w:eastAsia="zh-CN" w:bidi="ar"/>
                    </w:rPr>
                    <w:t>设计风量</w:t>
                  </w:r>
                </w:p>
              </w:tc>
            </w:tr>
            <w:tr w14:paraId="6E6DA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7" w:hRule="atLeast"/>
              </w:trPr>
              <w:tc>
                <w:tcPr>
                  <w:tcW w:w="883" w:type="pct"/>
                  <w:tcBorders>
                    <w:tl2br w:val="nil"/>
                    <w:tr2bl w:val="nil"/>
                  </w:tcBorders>
                  <w:shd w:val="clear" w:color="auto" w:fill="auto"/>
                  <w:vAlign w:val="center"/>
                </w:tcPr>
                <w:p w14:paraId="390CDA11">
                  <w:pPr>
                    <w:widowControl/>
                    <w:jc w:val="center"/>
                    <w:textAlignment w:val="center"/>
                    <w:rPr>
                      <w:rFonts w:hint="default" w:ascii="Times New Roman" w:hAnsi="Times New Roman" w:eastAsia="宋体" w:cs="Times New Roman"/>
                      <w:color w:val="FF0000"/>
                      <w:kern w:val="0"/>
                      <w:sz w:val="21"/>
                      <w:szCs w:val="21"/>
                      <w:lang w:bidi="ar"/>
                    </w:rPr>
                  </w:pPr>
                  <w:r>
                    <w:rPr>
                      <w:rFonts w:hint="eastAsia" w:ascii="Times New Roman" w:hAnsi="Times New Roman" w:eastAsia="宋体" w:cs="Times New Roman"/>
                      <w:color w:val="FF0000"/>
                      <w:kern w:val="0"/>
                      <w:sz w:val="21"/>
                      <w:szCs w:val="21"/>
                      <w:lang w:val="en-US" w:eastAsia="zh-CN" w:bidi="ar"/>
                    </w:rPr>
                    <w:t>清洗</w:t>
                  </w:r>
                  <w:r>
                    <w:rPr>
                      <w:rFonts w:hint="default" w:ascii="Times New Roman" w:hAnsi="Times New Roman" w:eastAsia="宋体" w:cs="Times New Roman"/>
                      <w:color w:val="FF0000"/>
                      <w:kern w:val="0"/>
                      <w:sz w:val="21"/>
                      <w:szCs w:val="21"/>
                      <w:lang w:val="en-US" w:eastAsia="zh-CN" w:bidi="ar"/>
                    </w:rPr>
                    <w:t>工序</w:t>
                  </w:r>
                </w:p>
              </w:tc>
              <w:tc>
                <w:tcPr>
                  <w:tcW w:w="639" w:type="pct"/>
                  <w:tcBorders>
                    <w:tl2br w:val="nil"/>
                    <w:tr2bl w:val="nil"/>
                  </w:tcBorders>
                  <w:shd w:val="clear" w:color="auto" w:fill="auto"/>
                  <w:vAlign w:val="center"/>
                </w:tcPr>
                <w:p w14:paraId="149D9A6B">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eastAsia" w:ascii="Times New Roman" w:hAnsi="Times New Roman" w:eastAsia="宋体" w:cs="Times New Roman"/>
                      <w:color w:val="FF0000"/>
                      <w:kern w:val="0"/>
                      <w:sz w:val="21"/>
                      <w:szCs w:val="21"/>
                      <w:lang w:val="en-US" w:eastAsia="zh-CN" w:bidi="ar"/>
                    </w:rPr>
                    <w:t>真空碳氢清洗</w:t>
                  </w:r>
                </w:p>
              </w:tc>
              <w:tc>
                <w:tcPr>
                  <w:tcW w:w="675" w:type="pct"/>
                  <w:tcBorders>
                    <w:tl2br w:val="nil"/>
                    <w:tr2bl w:val="nil"/>
                  </w:tcBorders>
                  <w:shd w:val="clear" w:color="auto" w:fill="auto"/>
                  <w:vAlign w:val="center"/>
                </w:tcPr>
                <w:p w14:paraId="6190B614">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真空碳氢清洗机</w:t>
                  </w:r>
                  <w:r>
                    <w:rPr>
                      <w:rFonts w:hint="eastAsia" w:ascii="Times New Roman" w:hAnsi="Times New Roman" w:eastAsia="宋体" w:cs="Times New Roman"/>
                      <w:color w:val="FF0000"/>
                      <w:kern w:val="0"/>
                      <w:sz w:val="21"/>
                      <w:szCs w:val="21"/>
                      <w:lang w:val="en-US" w:eastAsia="zh-CN" w:bidi="ar"/>
                    </w:rPr>
                    <w:t>排气点</w:t>
                  </w:r>
                  <w:r>
                    <w:rPr>
                      <w:rFonts w:hint="default" w:ascii="Times New Roman" w:hAnsi="Times New Roman" w:eastAsia="宋体" w:cs="Times New Roman"/>
                      <w:color w:val="FF0000"/>
                      <w:kern w:val="0"/>
                      <w:sz w:val="21"/>
                      <w:szCs w:val="21"/>
                      <w:lang w:val="en-US" w:eastAsia="zh-CN" w:bidi="ar"/>
                    </w:rPr>
                    <w:t>上方设置吸风罩</w:t>
                  </w:r>
                </w:p>
              </w:tc>
              <w:tc>
                <w:tcPr>
                  <w:tcW w:w="953" w:type="pct"/>
                  <w:tcBorders>
                    <w:tl2br w:val="nil"/>
                    <w:tr2bl w:val="nil"/>
                  </w:tcBorders>
                  <w:shd w:val="clear" w:color="auto" w:fill="auto"/>
                  <w:vAlign w:val="center"/>
                </w:tcPr>
                <w:p w14:paraId="2C7F6599">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default" w:ascii="Times New Roman" w:hAnsi="Times New Roman" w:eastAsia="宋体" w:cs="Times New Roman"/>
                      <w:color w:val="FF0000"/>
                      <w:kern w:val="0"/>
                      <w:sz w:val="21"/>
                      <w:szCs w:val="21"/>
                      <w:lang w:val="en-US" w:eastAsia="zh-CN" w:bidi="ar"/>
                    </w:rPr>
                    <w:t>1.4*</w:t>
                  </w:r>
                  <w:r>
                    <w:rPr>
                      <w:rFonts w:hint="eastAsia" w:ascii="Times New Roman" w:hAnsi="Times New Roman" w:eastAsia="宋体" w:cs="Times New Roman"/>
                      <w:color w:val="FF0000"/>
                      <w:kern w:val="0"/>
                      <w:sz w:val="21"/>
                      <w:szCs w:val="21"/>
                      <w:lang w:val="en-US" w:eastAsia="zh-CN" w:bidi="ar"/>
                    </w:rPr>
                    <w:t>1.5</w:t>
                  </w:r>
                  <w:r>
                    <w:rPr>
                      <w:rFonts w:hint="default" w:ascii="Times New Roman" w:hAnsi="Times New Roman" w:eastAsia="宋体" w:cs="Times New Roman"/>
                      <w:color w:val="FF0000"/>
                      <w:kern w:val="0"/>
                      <w:sz w:val="21"/>
                      <w:szCs w:val="21"/>
                      <w:lang w:val="en-US" w:eastAsia="zh-CN" w:bidi="ar"/>
                    </w:rPr>
                    <w:t>*0.</w:t>
                  </w:r>
                  <w:r>
                    <w:rPr>
                      <w:rFonts w:hint="eastAsia" w:ascii="Times New Roman" w:hAnsi="Times New Roman" w:eastAsia="宋体" w:cs="Times New Roman"/>
                      <w:color w:val="FF0000"/>
                      <w:kern w:val="0"/>
                      <w:sz w:val="21"/>
                      <w:szCs w:val="21"/>
                      <w:lang w:val="en-US" w:eastAsia="zh-CN" w:bidi="ar"/>
                    </w:rPr>
                    <w:t>5</w:t>
                  </w:r>
                  <w:r>
                    <w:rPr>
                      <w:rFonts w:hint="default" w:ascii="Times New Roman" w:hAnsi="Times New Roman" w:eastAsia="宋体" w:cs="Times New Roman"/>
                      <w:color w:val="FF0000"/>
                      <w:kern w:val="0"/>
                      <w:sz w:val="21"/>
                      <w:szCs w:val="21"/>
                      <w:lang w:val="en-US" w:eastAsia="zh-CN" w:bidi="ar"/>
                    </w:rPr>
                    <w:t>*0.3</w:t>
                  </w:r>
                </w:p>
              </w:tc>
              <w:tc>
                <w:tcPr>
                  <w:tcW w:w="747" w:type="pct"/>
                  <w:tcBorders>
                    <w:tl2br w:val="nil"/>
                    <w:tr2bl w:val="nil"/>
                  </w:tcBorders>
                  <w:shd w:val="clear" w:color="auto" w:fill="auto"/>
                  <w:vAlign w:val="center"/>
                </w:tcPr>
                <w:p w14:paraId="6040901B">
                  <w:pPr>
                    <w:widowControl/>
                    <w:jc w:val="center"/>
                    <w:textAlignment w:val="center"/>
                    <w:rPr>
                      <w:rFonts w:hint="default" w:ascii="Times New Roman" w:hAnsi="Times New Roman" w:eastAsia="宋体" w:cs="Times New Roman"/>
                      <w:color w:val="FF0000"/>
                      <w:kern w:val="0"/>
                      <w:sz w:val="21"/>
                      <w:szCs w:val="21"/>
                      <w:lang w:val="en-US" w:bidi="ar"/>
                    </w:rPr>
                  </w:pPr>
                  <w:r>
                    <w:rPr>
                      <w:rFonts w:hint="eastAsia" w:ascii="Times New Roman" w:hAnsi="Times New Roman" w:eastAsia="宋体" w:cs="Times New Roman"/>
                      <w:color w:val="FF0000"/>
                      <w:kern w:val="0"/>
                      <w:sz w:val="21"/>
                      <w:szCs w:val="21"/>
                      <w:lang w:val="en-US" w:eastAsia="zh-CN" w:bidi="ar"/>
                    </w:rPr>
                    <w:t>1134</w:t>
                  </w:r>
                </w:p>
              </w:tc>
              <w:tc>
                <w:tcPr>
                  <w:tcW w:w="584" w:type="pct"/>
                  <w:tcBorders>
                    <w:tl2br w:val="nil"/>
                    <w:tr2bl w:val="nil"/>
                  </w:tcBorders>
                  <w:shd w:val="clear" w:color="auto" w:fill="auto"/>
                  <w:vAlign w:val="center"/>
                </w:tcPr>
                <w:p w14:paraId="06DAA773">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eastAsia" w:ascii="Times New Roman" w:hAnsi="Times New Roman" w:eastAsia="宋体" w:cs="Times New Roman"/>
                      <w:color w:val="FF0000"/>
                      <w:kern w:val="0"/>
                      <w:sz w:val="21"/>
                      <w:szCs w:val="21"/>
                      <w:lang w:val="en-US" w:eastAsia="zh-CN" w:bidi="ar"/>
                    </w:rPr>
                    <w:t>1134</w:t>
                  </w:r>
                </w:p>
              </w:tc>
              <w:tc>
                <w:tcPr>
                  <w:tcW w:w="514" w:type="pct"/>
                  <w:tcBorders>
                    <w:tl2br w:val="nil"/>
                    <w:tr2bl w:val="nil"/>
                  </w:tcBorders>
                  <w:shd w:val="clear" w:color="auto" w:fill="auto"/>
                  <w:vAlign w:val="center"/>
                </w:tcPr>
                <w:p w14:paraId="1873463B">
                  <w:pPr>
                    <w:widowControl/>
                    <w:jc w:val="center"/>
                    <w:textAlignment w:val="center"/>
                    <w:rPr>
                      <w:rFonts w:hint="default" w:ascii="Times New Roman" w:hAnsi="Times New Roman" w:eastAsia="宋体" w:cs="Times New Roman"/>
                      <w:color w:val="FF0000"/>
                      <w:kern w:val="0"/>
                      <w:sz w:val="21"/>
                      <w:szCs w:val="21"/>
                      <w:lang w:val="en-US" w:eastAsia="zh-CN" w:bidi="ar"/>
                    </w:rPr>
                  </w:pPr>
                  <w:r>
                    <w:rPr>
                      <w:rFonts w:hint="eastAsia" w:ascii="Times New Roman" w:hAnsi="Times New Roman" w:eastAsia="宋体" w:cs="Times New Roman"/>
                      <w:color w:val="FF0000"/>
                      <w:kern w:val="0"/>
                      <w:sz w:val="21"/>
                      <w:szCs w:val="21"/>
                      <w:lang w:val="en-US" w:eastAsia="zh-CN" w:bidi="ar"/>
                    </w:rPr>
                    <w:t>2</w:t>
                  </w:r>
                  <w:r>
                    <w:rPr>
                      <w:rFonts w:hint="default" w:ascii="Times New Roman" w:hAnsi="Times New Roman" w:eastAsia="宋体" w:cs="Times New Roman"/>
                      <w:color w:val="FF0000"/>
                      <w:kern w:val="0"/>
                      <w:sz w:val="21"/>
                      <w:szCs w:val="21"/>
                      <w:lang w:val="en-US" w:eastAsia="zh-CN" w:bidi="ar"/>
                    </w:rPr>
                    <w:t>000</w:t>
                  </w:r>
                </w:p>
              </w:tc>
            </w:tr>
            <w:tr w14:paraId="3A557A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883" w:type="pct"/>
                  <w:tcBorders>
                    <w:tl2br w:val="nil"/>
                    <w:tr2bl w:val="nil"/>
                  </w:tcBorders>
                  <w:shd w:val="clear" w:color="auto" w:fill="auto"/>
                  <w:vAlign w:val="center"/>
                </w:tcPr>
                <w:p w14:paraId="3336662F">
                  <w:pPr>
                    <w:widowControl/>
                    <w:jc w:val="center"/>
                    <w:textAlignment w:val="center"/>
                    <w:rPr>
                      <w:rFonts w:hint="default" w:ascii="Times New Roman" w:hAnsi="Times New Roman" w:eastAsia="宋体" w:cs="Times New Roman"/>
                      <w:color w:val="auto"/>
                      <w:kern w:val="0"/>
                      <w:sz w:val="21"/>
                      <w:szCs w:val="21"/>
                      <w:lang w:val="en-US" w:bidi="ar"/>
                    </w:rPr>
                  </w:pPr>
                  <w:r>
                    <w:rPr>
                      <w:rFonts w:hint="eastAsia" w:ascii="Times New Roman" w:hAnsi="Times New Roman" w:eastAsia="宋体" w:cs="Times New Roman"/>
                      <w:color w:val="auto"/>
                      <w:kern w:val="0"/>
                      <w:sz w:val="21"/>
                      <w:szCs w:val="21"/>
                      <w:lang w:val="en-US" w:eastAsia="zh-CN" w:bidi="ar"/>
                    </w:rPr>
                    <w:t>油淬、回火工序</w:t>
                  </w:r>
                </w:p>
              </w:tc>
              <w:tc>
                <w:tcPr>
                  <w:tcW w:w="639" w:type="pct"/>
                  <w:tcBorders>
                    <w:tl2br w:val="nil"/>
                    <w:tr2bl w:val="nil"/>
                  </w:tcBorders>
                  <w:shd w:val="clear" w:color="auto" w:fill="auto"/>
                  <w:vAlign w:val="center"/>
                </w:tcPr>
                <w:p w14:paraId="17D1035D">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油淬、回火</w:t>
                  </w:r>
                </w:p>
              </w:tc>
              <w:tc>
                <w:tcPr>
                  <w:tcW w:w="675" w:type="pct"/>
                  <w:tcBorders>
                    <w:tl2br w:val="nil"/>
                    <w:tr2bl w:val="nil"/>
                  </w:tcBorders>
                  <w:shd w:val="clear" w:color="auto" w:fill="auto"/>
                  <w:vAlign w:val="center"/>
                </w:tcPr>
                <w:p w14:paraId="406C1D38">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真空油淬炉（2台）及后续回火炉（1台）排气点</w:t>
                  </w:r>
                  <w:r>
                    <w:rPr>
                      <w:rFonts w:hint="default" w:ascii="Times New Roman" w:hAnsi="Times New Roman" w:eastAsia="宋体" w:cs="Times New Roman"/>
                      <w:color w:val="auto"/>
                      <w:kern w:val="0"/>
                      <w:sz w:val="21"/>
                      <w:szCs w:val="21"/>
                      <w:lang w:val="en-US" w:eastAsia="zh-CN" w:bidi="ar"/>
                    </w:rPr>
                    <w:t>上方设置吸风罩</w:t>
                  </w:r>
                </w:p>
              </w:tc>
              <w:tc>
                <w:tcPr>
                  <w:tcW w:w="953" w:type="pct"/>
                  <w:tcBorders>
                    <w:tl2br w:val="nil"/>
                    <w:tr2bl w:val="nil"/>
                  </w:tcBorders>
                  <w:shd w:val="clear" w:color="auto" w:fill="auto"/>
                  <w:vAlign w:val="center"/>
                </w:tcPr>
                <w:p w14:paraId="6D96680A">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r>
                    <w:rPr>
                      <w:rFonts w:hint="eastAsia" w:ascii="Times New Roman" w:hAnsi="Times New Roman" w:eastAsia="宋体" w:cs="Times New Roman"/>
                      <w:color w:val="auto"/>
                      <w:kern w:val="0"/>
                      <w:sz w:val="21"/>
                      <w:szCs w:val="21"/>
                      <w:lang w:val="en-US" w:eastAsia="zh-CN" w:bidi="ar"/>
                    </w:rPr>
                    <w:t>2</w:t>
                  </w:r>
                  <w:r>
                    <w:rPr>
                      <w:rFonts w:hint="default" w:ascii="Times New Roman" w:hAnsi="Times New Roman" w:eastAsia="宋体" w:cs="Times New Roman"/>
                      <w:color w:val="auto"/>
                      <w:kern w:val="0"/>
                      <w:sz w:val="21"/>
                      <w:szCs w:val="21"/>
                      <w:lang w:val="en-US" w:eastAsia="zh-CN" w:bidi="ar"/>
                    </w:rPr>
                    <w:t>*0.</w:t>
                  </w:r>
                  <w:r>
                    <w:rPr>
                      <w:rFonts w:hint="eastAsia"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*0.3</w:t>
                  </w:r>
                  <w:r>
                    <w:rPr>
                      <w:rFonts w:hint="eastAsia" w:ascii="Times New Roman" w:hAnsi="Times New Roman" w:eastAsia="宋体" w:cs="Times New Roman"/>
                      <w:color w:val="auto"/>
                      <w:kern w:val="0"/>
                      <w:sz w:val="21"/>
                      <w:szCs w:val="21"/>
                      <w:lang w:val="en-US" w:eastAsia="zh-CN" w:bidi="ar"/>
                    </w:rPr>
                    <w:t>*3</w:t>
                  </w:r>
                </w:p>
              </w:tc>
              <w:tc>
                <w:tcPr>
                  <w:tcW w:w="747" w:type="pct"/>
                  <w:tcBorders>
                    <w:tl2br w:val="nil"/>
                    <w:tr2bl w:val="nil"/>
                  </w:tcBorders>
                  <w:shd w:val="clear" w:color="auto" w:fill="auto"/>
                  <w:vAlign w:val="center"/>
                </w:tcPr>
                <w:p w14:paraId="5B435A1C">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2721.6</w:t>
                  </w:r>
                </w:p>
              </w:tc>
              <w:tc>
                <w:tcPr>
                  <w:tcW w:w="584" w:type="pct"/>
                  <w:tcBorders>
                    <w:tl2br w:val="nil"/>
                    <w:tr2bl w:val="nil"/>
                  </w:tcBorders>
                  <w:shd w:val="clear" w:color="auto" w:fill="auto"/>
                  <w:vAlign w:val="center"/>
                </w:tcPr>
                <w:p w14:paraId="1322A879">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2721.6</w:t>
                  </w:r>
                </w:p>
              </w:tc>
              <w:tc>
                <w:tcPr>
                  <w:tcW w:w="514" w:type="pct"/>
                  <w:tcBorders>
                    <w:tl2br w:val="nil"/>
                    <w:tr2bl w:val="nil"/>
                  </w:tcBorders>
                  <w:shd w:val="clear" w:color="auto" w:fill="auto"/>
                  <w:vAlign w:val="center"/>
                </w:tcPr>
                <w:p w14:paraId="7BA8BA18">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000</w:t>
                  </w:r>
                </w:p>
              </w:tc>
            </w:tr>
            <w:tr w14:paraId="08F021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883" w:type="pct"/>
                  <w:tcBorders>
                    <w:tl2br w:val="nil"/>
                    <w:tr2bl w:val="nil"/>
                  </w:tcBorders>
                  <w:shd w:val="clear" w:color="auto" w:fill="auto"/>
                  <w:vAlign w:val="center"/>
                </w:tcPr>
                <w:p w14:paraId="05D1CED5">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氮化</w:t>
                  </w:r>
                  <w:r>
                    <w:rPr>
                      <w:rFonts w:hint="default" w:ascii="Times New Roman" w:hAnsi="Times New Roman" w:eastAsia="宋体" w:cs="Times New Roman"/>
                      <w:color w:val="auto"/>
                      <w:kern w:val="0"/>
                      <w:sz w:val="21"/>
                      <w:szCs w:val="21"/>
                      <w:lang w:val="en-US" w:eastAsia="zh-CN" w:bidi="ar"/>
                    </w:rPr>
                    <w:t>工序</w:t>
                  </w:r>
                </w:p>
              </w:tc>
              <w:tc>
                <w:tcPr>
                  <w:tcW w:w="639" w:type="pct"/>
                  <w:tcBorders>
                    <w:tl2br w:val="nil"/>
                    <w:tr2bl w:val="nil"/>
                  </w:tcBorders>
                  <w:shd w:val="clear" w:color="auto" w:fill="auto"/>
                  <w:vAlign w:val="center"/>
                </w:tcPr>
                <w:p w14:paraId="0AAE8CCE">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氮化</w:t>
                  </w:r>
                </w:p>
              </w:tc>
              <w:tc>
                <w:tcPr>
                  <w:tcW w:w="675" w:type="pct"/>
                  <w:tcBorders>
                    <w:tl2br w:val="nil"/>
                    <w:tr2bl w:val="nil"/>
                  </w:tcBorders>
                  <w:shd w:val="clear" w:color="auto" w:fill="auto"/>
                  <w:vAlign w:val="center"/>
                </w:tcPr>
                <w:p w14:paraId="0FD47E81">
                  <w:pPr>
                    <w:widowControl/>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井式盐浴氮化炉（空冷）、井式盐浴氧化炉排气点</w:t>
                  </w:r>
                  <w:r>
                    <w:rPr>
                      <w:rFonts w:hint="default" w:ascii="Times New Roman" w:hAnsi="Times New Roman" w:eastAsia="宋体" w:cs="Times New Roman"/>
                      <w:color w:val="auto"/>
                      <w:kern w:val="0"/>
                      <w:sz w:val="21"/>
                      <w:szCs w:val="21"/>
                      <w:lang w:val="en-US" w:eastAsia="zh-CN" w:bidi="ar"/>
                    </w:rPr>
                    <w:t>上方设置吸风罩</w:t>
                  </w:r>
                </w:p>
              </w:tc>
              <w:tc>
                <w:tcPr>
                  <w:tcW w:w="953" w:type="pct"/>
                  <w:tcBorders>
                    <w:tl2br w:val="nil"/>
                    <w:tr2bl w:val="nil"/>
                  </w:tcBorders>
                  <w:shd w:val="clear" w:color="auto" w:fill="auto"/>
                  <w:vAlign w:val="center"/>
                </w:tcPr>
                <w:p w14:paraId="4F4BF640">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1.4*</w:t>
                  </w:r>
                  <w:r>
                    <w:rPr>
                      <w:rFonts w:hint="eastAsia" w:ascii="Times New Roman" w:hAnsi="Times New Roman" w:eastAsia="宋体" w:cs="Times New Roman"/>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*0.</w:t>
                  </w:r>
                  <w:r>
                    <w:rPr>
                      <w:rFonts w:hint="eastAsia" w:ascii="Times New Roman" w:hAnsi="Times New Roman" w:eastAsia="宋体" w:cs="Times New Roman"/>
                      <w:color w:val="auto"/>
                      <w:kern w:val="0"/>
                      <w:sz w:val="21"/>
                      <w:szCs w:val="21"/>
                      <w:lang w:val="en-US" w:eastAsia="zh-CN" w:bidi="ar"/>
                    </w:rPr>
                    <w:t>3</w:t>
                  </w:r>
                  <w:r>
                    <w:rPr>
                      <w:rFonts w:hint="default" w:ascii="Times New Roman" w:hAnsi="Times New Roman" w:eastAsia="宋体" w:cs="Times New Roman"/>
                      <w:color w:val="auto"/>
                      <w:kern w:val="0"/>
                      <w:sz w:val="21"/>
                      <w:szCs w:val="21"/>
                      <w:lang w:val="en-US" w:eastAsia="zh-CN" w:bidi="ar"/>
                    </w:rPr>
                    <w:t>*0.3</w:t>
                  </w:r>
                  <w:r>
                    <w:rPr>
                      <w:rFonts w:hint="eastAsia" w:ascii="Times New Roman" w:hAnsi="Times New Roman" w:eastAsia="宋体" w:cs="Times New Roman"/>
                      <w:color w:val="auto"/>
                      <w:kern w:val="0"/>
                      <w:sz w:val="21"/>
                      <w:szCs w:val="21"/>
                      <w:lang w:val="en-US" w:eastAsia="zh-CN" w:bidi="ar"/>
                    </w:rPr>
                    <w:t>*3</w:t>
                  </w:r>
                </w:p>
              </w:tc>
              <w:tc>
                <w:tcPr>
                  <w:tcW w:w="747" w:type="pct"/>
                  <w:tcBorders>
                    <w:tl2br w:val="nil"/>
                    <w:tr2bl w:val="nil"/>
                  </w:tcBorders>
                  <w:shd w:val="clear" w:color="auto" w:fill="auto"/>
                  <w:vAlign w:val="center"/>
                </w:tcPr>
                <w:p w14:paraId="6210D5F1">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1360.8</w:t>
                  </w:r>
                </w:p>
              </w:tc>
              <w:tc>
                <w:tcPr>
                  <w:tcW w:w="584" w:type="pct"/>
                  <w:tcBorders>
                    <w:tl2br w:val="nil"/>
                    <w:tr2bl w:val="nil"/>
                  </w:tcBorders>
                  <w:shd w:val="clear" w:color="auto" w:fill="auto"/>
                  <w:vAlign w:val="center"/>
                </w:tcPr>
                <w:p w14:paraId="5267FB00">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1360.8</w:t>
                  </w:r>
                </w:p>
              </w:tc>
              <w:tc>
                <w:tcPr>
                  <w:tcW w:w="514" w:type="pct"/>
                  <w:tcBorders>
                    <w:tl2br w:val="nil"/>
                    <w:tr2bl w:val="nil"/>
                  </w:tcBorders>
                  <w:shd w:val="clear" w:color="auto" w:fill="auto"/>
                  <w:vAlign w:val="center"/>
                </w:tcPr>
                <w:p w14:paraId="2DA941D6">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1500</w:t>
                  </w:r>
                </w:p>
              </w:tc>
            </w:tr>
          </w:tbl>
          <w:p w14:paraId="782A0A36">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注：</w:t>
            </w:r>
            <w:r>
              <w:rPr>
                <w:rFonts w:hint="default" w:ascii="Times New Roman" w:hAnsi="Times New Roman" w:eastAsia="宋体" w:cs="Times New Roman"/>
                <w:color w:val="auto"/>
                <w:sz w:val="21"/>
                <w:szCs w:val="21"/>
              </w:rPr>
              <w:t>上吸风罩排风量L（m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rPr>
              <w:t>/s）的计算公式为：</w:t>
            </w:r>
          </w:p>
          <w:p w14:paraId="3716148F">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lang w:val="en-US"/>
              </w:rPr>
            </w:pPr>
            <m:oMathPara>
              <m:oMath>
                <m:r>
                  <m:rPr>
                    <m:sty m:val="p"/>
                  </m:rPr>
                  <w:rPr>
                    <w:rFonts w:hint="default" w:ascii="Cambria Math" w:hAnsi="Cambria Math" w:eastAsia="宋体" w:cs="Times New Roman"/>
                    <w:color w:val="auto"/>
                    <w:kern w:val="2"/>
                    <w:sz w:val="21"/>
                    <w:szCs w:val="21"/>
                    <w:lang w:val="en-US" w:eastAsia="zh-CN" w:bidi="ar-SA"/>
                  </w:rPr>
                  <m:t>L=K∗P∗H∗</m:t>
                </m:r>
                <m:sSub>
                  <m:sSubPr>
                    <m:ctrlPr>
                      <w:rPr>
                        <w:rFonts w:hint="default" w:ascii="Cambria Math" w:hAnsi="Cambria Math" w:eastAsia="宋体" w:cs="Times New Roman"/>
                        <w:color w:val="auto"/>
                        <w:kern w:val="2"/>
                        <w:sz w:val="21"/>
                        <w:szCs w:val="21"/>
                        <w:lang w:val="en-US" w:eastAsia="zh-CN" w:bidi="ar-SA"/>
                      </w:rPr>
                    </m:ctrlPr>
                  </m:sSubPr>
                  <m:e>
                    <m:r>
                      <m:rPr>
                        <m:sty m:val="p"/>
                      </m:rPr>
                      <w:rPr>
                        <w:rFonts w:hint="default" w:ascii="Cambria Math" w:hAnsi="Cambria Math" w:eastAsia="宋体" w:cs="Times New Roman"/>
                        <w:color w:val="auto"/>
                        <w:kern w:val="2"/>
                        <w:sz w:val="21"/>
                        <w:szCs w:val="21"/>
                        <w:lang w:val="en-US" w:eastAsia="zh-CN" w:bidi="ar-SA"/>
                      </w:rPr>
                      <m:t>V</m:t>
                    </m:r>
                    <m:ctrlPr>
                      <w:rPr>
                        <w:rFonts w:hint="default" w:ascii="Cambria Math" w:hAnsi="Cambria Math" w:eastAsia="宋体" w:cs="Times New Roman"/>
                        <w:color w:val="auto"/>
                        <w:kern w:val="2"/>
                        <w:sz w:val="21"/>
                        <w:szCs w:val="21"/>
                        <w:lang w:val="en-US" w:eastAsia="zh-CN" w:bidi="ar-SA"/>
                      </w:rPr>
                    </m:ctrlPr>
                  </m:e>
                  <m:sub>
                    <m:r>
                      <m:rPr>
                        <m:sty m:val="p"/>
                      </m:rPr>
                      <w:rPr>
                        <w:rFonts w:hint="default" w:ascii="Cambria Math" w:hAnsi="Cambria Math" w:eastAsia="宋体" w:cs="Times New Roman"/>
                        <w:color w:val="auto"/>
                        <w:kern w:val="2"/>
                        <w:sz w:val="21"/>
                        <w:szCs w:val="21"/>
                        <w:lang w:val="en-US" w:eastAsia="zh-CN" w:bidi="ar-SA"/>
                      </w:rPr>
                      <m:t>x</m:t>
                    </m:r>
                    <m:ctrlPr>
                      <w:rPr>
                        <w:rFonts w:hint="default" w:ascii="Cambria Math" w:hAnsi="Cambria Math" w:eastAsia="宋体" w:cs="Times New Roman"/>
                        <w:color w:val="auto"/>
                        <w:kern w:val="2"/>
                        <w:sz w:val="21"/>
                        <w:szCs w:val="21"/>
                        <w:lang w:val="en-US" w:eastAsia="zh-CN" w:bidi="ar-SA"/>
                      </w:rPr>
                    </m:ctrlPr>
                  </m:sub>
                </m:sSub>
              </m:oMath>
            </m:oMathPara>
          </w:p>
          <w:p w14:paraId="26717B73">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式中：</w:t>
            </w:r>
            <w:r>
              <w:rPr>
                <w:rFonts w:hint="default" w:ascii="Times New Roman" w:hAnsi="Times New Roman" w:eastAsia="宋体" w:cs="Times New Roman"/>
                <w:color w:val="auto"/>
                <w:sz w:val="21"/>
                <w:szCs w:val="21"/>
                <w:lang w:val="en-US" w:eastAsia="zh-CN"/>
              </w:rPr>
              <w:t>K</w:t>
            </w:r>
            <w:r>
              <w:rPr>
                <w:rFonts w:hint="default" w:ascii="Times New Roman" w:hAnsi="Times New Roman" w:eastAsia="宋体" w:cs="Times New Roman"/>
                <w:color w:val="auto"/>
                <w:sz w:val="21"/>
                <w:szCs w:val="21"/>
              </w:rPr>
              <w:t>——考虑沿高度分布不均匀的安全系数，通常取K=1.4</w:t>
            </w:r>
            <w:r>
              <w:rPr>
                <w:rFonts w:hint="default" w:ascii="Times New Roman" w:hAnsi="Times New Roman" w:eastAsia="宋体" w:cs="Times New Roman"/>
                <w:bCs/>
                <w:color w:val="auto"/>
                <w:sz w:val="21"/>
                <w:szCs w:val="21"/>
              </w:rPr>
              <w:t>；</w:t>
            </w:r>
          </w:p>
          <w:p w14:paraId="15501FC8">
            <w:pPr>
              <w:keepNext w:val="0"/>
              <w:keepLines w:val="0"/>
              <w:pageBreakBefore w:val="0"/>
              <w:widowControl w:val="0"/>
              <w:kinsoku/>
              <w:wordWrap/>
              <w:overflowPunct/>
              <w:topLinePunct w:val="0"/>
              <w:autoSpaceDE/>
              <w:autoSpaceDN/>
              <w:bidi w:val="0"/>
              <w:adjustRightInd/>
              <w:snapToGrid/>
              <w:spacing w:line="240" w:lineRule="auto"/>
              <w:ind w:firstLine="1050" w:firstLineChars="5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w:t>
            </w:r>
            <w:r>
              <w:rPr>
                <w:rFonts w:hint="default" w:ascii="Times New Roman" w:hAnsi="Times New Roman" w:eastAsia="宋体" w:cs="Times New Roman"/>
                <w:color w:val="auto"/>
                <w:sz w:val="21"/>
                <w:szCs w:val="21"/>
              </w:rPr>
              <w:t>——排风罩敞开面的周长，m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w:t>
            </w:r>
            <w:r>
              <w:rPr>
                <w:rFonts w:hint="eastAsia" w:ascii="Times New Roman" w:hAnsi="Times New Roman" w:eastAsia="宋体" w:cs="Times New Roman"/>
                <w:color w:val="auto"/>
                <w:sz w:val="21"/>
                <w:szCs w:val="21"/>
                <w:lang w:val="en-US" w:eastAsia="zh-CN"/>
              </w:rPr>
              <w:t>清洗工序集气罩周长约</w:t>
            </w:r>
            <w:r>
              <w:rPr>
                <w:rFonts w:hint="default" w:ascii="Times New Roman" w:hAnsi="Times New Roman" w:eastAsia="宋体" w:cs="Times New Roman"/>
                <w:color w:val="auto"/>
                <w:sz w:val="21"/>
                <w:szCs w:val="21"/>
                <w:lang w:val="en-US" w:eastAsia="zh-CN"/>
              </w:rPr>
              <w:t>为</w:t>
            </w: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m</w:t>
            </w:r>
            <w:r>
              <w:rPr>
                <w:rFonts w:hint="default" w:ascii="Times New Roman" w:hAnsi="Times New Roman" w:eastAsia="宋体" w:cs="Times New Roman"/>
                <w:color w:val="auto"/>
                <w:sz w:val="21"/>
                <w:szCs w:val="21"/>
                <w:lang w:val="en-US" w:eastAsia="zh-CN"/>
              </w:rPr>
              <w:t>；油淬、回火工序</w:t>
            </w:r>
            <w:r>
              <w:rPr>
                <w:rFonts w:hint="eastAsia" w:ascii="Times New Roman" w:hAnsi="Times New Roman" w:eastAsia="宋体" w:cs="Times New Roman"/>
                <w:color w:val="auto"/>
                <w:sz w:val="21"/>
                <w:szCs w:val="21"/>
                <w:lang w:val="en-US" w:eastAsia="zh-CN"/>
              </w:rPr>
              <w:t>集气罩周长约为2m；氮化工序集气罩周长约为1m。</w:t>
            </w:r>
          </w:p>
          <w:p w14:paraId="7063B6F3">
            <w:pPr>
              <w:keepNext w:val="0"/>
              <w:keepLines w:val="0"/>
              <w:pageBreakBefore w:val="0"/>
              <w:widowControl w:val="0"/>
              <w:kinsoku/>
              <w:wordWrap/>
              <w:overflowPunct/>
              <w:topLinePunct w:val="0"/>
              <w:autoSpaceDE/>
              <w:autoSpaceDN/>
              <w:bidi w:val="0"/>
              <w:adjustRightInd/>
              <w:snapToGrid/>
              <w:spacing w:line="240" w:lineRule="auto"/>
              <w:ind w:firstLine="1050" w:firstLineChars="500"/>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t>
            </w:r>
            <w:r>
              <w:rPr>
                <w:rFonts w:hint="default" w:ascii="Times New Roman" w:hAnsi="Times New Roman" w:eastAsia="宋体" w:cs="Times New Roman"/>
                <w:color w:val="auto"/>
                <w:sz w:val="21"/>
                <w:szCs w:val="21"/>
              </w:rPr>
              <w:t>——罩口至有害物源的距离，m</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本项目为油淬、回火工序</w:t>
            </w:r>
            <w:r>
              <w:rPr>
                <w:rFonts w:hint="eastAsia" w:ascii="Times New Roman" w:hAnsi="Times New Roman" w:eastAsia="宋体" w:cs="Times New Roman"/>
                <w:color w:val="auto"/>
                <w:sz w:val="21"/>
                <w:szCs w:val="21"/>
                <w:lang w:val="en-US" w:eastAsia="zh-CN"/>
              </w:rPr>
              <w:t>为0.3m、</w:t>
            </w:r>
            <w:r>
              <w:rPr>
                <w:rFonts w:hint="eastAsia" w:ascii="Times New Roman" w:hAnsi="Times New Roman" w:eastAsia="宋体" w:cs="Times New Roman"/>
                <w:color w:val="auto"/>
                <w:kern w:val="0"/>
                <w:sz w:val="21"/>
                <w:szCs w:val="21"/>
                <w:lang w:val="en-US" w:eastAsia="zh-CN" w:bidi="ar"/>
              </w:rPr>
              <w:t>清洗</w:t>
            </w:r>
            <w:r>
              <w:rPr>
                <w:rFonts w:hint="default" w:ascii="Times New Roman" w:hAnsi="Times New Roman" w:eastAsia="宋体" w:cs="Times New Roman"/>
                <w:color w:val="auto"/>
                <w:kern w:val="0"/>
                <w:sz w:val="21"/>
                <w:szCs w:val="21"/>
                <w:lang w:val="en-US" w:eastAsia="zh-CN" w:bidi="ar"/>
              </w:rPr>
              <w:t>工序</w:t>
            </w:r>
            <w:r>
              <w:rPr>
                <w:rFonts w:hint="eastAsia" w:ascii="Times New Roman" w:hAnsi="Times New Roman" w:eastAsia="宋体" w:cs="Times New Roman"/>
                <w:color w:val="auto"/>
                <w:kern w:val="0"/>
                <w:sz w:val="21"/>
                <w:szCs w:val="21"/>
                <w:lang w:val="en-US" w:eastAsia="zh-CN" w:bidi="ar"/>
              </w:rPr>
              <w:t>为</w:t>
            </w:r>
            <w:r>
              <w:rPr>
                <w:rFonts w:hint="default" w:ascii="Times New Roman" w:hAnsi="Times New Roman" w:eastAsia="宋体" w:cs="Times New Roman"/>
                <w:color w:val="auto"/>
                <w:sz w:val="21"/>
                <w:szCs w:val="21"/>
                <w:lang w:val="en-US" w:eastAsia="zh-CN"/>
              </w:rPr>
              <w:t>0.</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m</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氮化工序为0.3m</w:t>
            </w:r>
            <w:r>
              <w:rPr>
                <w:rFonts w:hint="eastAsia" w:ascii="Times New Roman" w:hAnsi="Times New Roman" w:eastAsia="宋体" w:cs="Times New Roman"/>
                <w:color w:val="auto"/>
                <w:sz w:val="21"/>
                <w:szCs w:val="21"/>
                <w:lang w:eastAsia="zh-CN"/>
              </w:rPr>
              <w:t>；</w:t>
            </w:r>
          </w:p>
          <w:p w14:paraId="5233D48D">
            <w:pPr>
              <w:keepNext w:val="0"/>
              <w:keepLines w:val="0"/>
              <w:pageBreakBefore w:val="0"/>
              <w:widowControl w:val="0"/>
              <w:kinsoku/>
              <w:wordWrap/>
              <w:overflowPunct/>
              <w:topLinePunct w:val="0"/>
              <w:autoSpaceDE/>
              <w:autoSpaceDN/>
              <w:bidi w:val="0"/>
              <w:adjustRightInd/>
              <w:snapToGrid/>
              <w:spacing w:line="240" w:lineRule="auto"/>
              <w:ind w:firstLine="1050" w:firstLineChars="50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V</w:t>
            </w:r>
            <w:r>
              <w:rPr>
                <w:rFonts w:hint="default" w:ascii="Times New Roman" w:hAnsi="Times New Roman" w:eastAsia="宋体" w:cs="Times New Roman"/>
                <w:color w:val="auto"/>
                <w:sz w:val="21"/>
                <w:szCs w:val="21"/>
                <w:vertAlign w:val="subscript"/>
              </w:rPr>
              <w:t>x</w:t>
            </w:r>
            <w:r>
              <w:rPr>
                <w:rFonts w:hint="default" w:ascii="Times New Roman" w:hAnsi="Times New Roman" w:eastAsia="宋体" w:cs="Times New Roman"/>
                <w:color w:val="auto"/>
                <w:sz w:val="21"/>
                <w:szCs w:val="21"/>
              </w:rPr>
              <w:t>——边缘控制点的控制风速，m/s；</w:t>
            </w:r>
            <w:r>
              <w:rPr>
                <w:rFonts w:hint="default" w:ascii="Times New Roman" w:hAnsi="Times New Roman" w:eastAsia="宋体" w:cs="Times New Roman"/>
                <w:color w:val="auto"/>
                <w:sz w:val="21"/>
                <w:szCs w:val="21"/>
                <w:lang w:val="en-US" w:eastAsia="zh-CN"/>
              </w:rPr>
              <w:t>本项目按0.3</w:t>
            </w:r>
            <w:r>
              <w:rPr>
                <w:rFonts w:hint="default" w:ascii="Times New Roman" w:hAnsi="Times New Roman" w:eastAsia="宋体" w:cs="Times New Roman"/>
                <w:color w:val="auto"/>
                <w:sz w:val="21"/>
                <w:szCs w:val="21"/>
              </w:rPr>
              <w:t>m/s</w:t>
            </w:r>
            <w:r>
              <w:rPr>
                <w:rFonts w:hint="default" w:ascii="Times New Roman" w:hAnsi="Times New Roman" w:eastAsia="宋体" w:cs="Times New Roman"/>
                <w:color w:val="auto"/>
                <w:sz w:val="21"/>
                <w:szCs w:val="21"/>
                <w:lang w:eastAsia="zh-CN"/>
              </w:rPr>
              <w:t>。</w:t>
            </w:r>
          </w:p>
          <w:p w14:paraId="4A1665C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bidi="ar"/>
              </w:rPr>
            </w:pPr>
            <w:r>
              <w:rPr>
                <w:rFonts w:hint="default" w:ascii="Times New Roman" w:hAnsi="Times New Roman" w:eastAsia="宋体" w:cs="Times New Roman"/>
                <w:b/>
                <w:bCs/>
                <w:color w:val="auto"/>
                <w:sz w:val="24"/>
                <w:szCs w:val="24"/>
                <w:lang w:val="en-US" w:eastAsia="zh-CN" w:bidi="ar"/>
              </w:rPr>
              <w:t>③废气处理装置运行原理</w:t>
            </w:r>
          </w:p>
          <w:p w14:paraId="214C91A0">
            <w:pPr>
              <w:pStyle w:val="60"/>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502" w:firstLineChars="200"/>
              <w:textAlignment w:val="auto"/>
              <w:rPr>
                <w:rFonts w:hint="default" w:ascii="Times New Roman" w:hAnsi="Times New Roman" w:eastAsia="宋体" w:cs="Times New Roman"/>
                <w:b/>
                <w:bCs/>
                <w:color w:val="auto"/>
                <w:spacing w:val="0"/>
                <w:sz w:val="24"/>
                <w:lang w:val="en-US" w:eastAsia="zh-CN"/>
              </w:rPr>
            </w:pPr>
            <w:r>
              <w:rPr>
                <w:rFonts w:hint="default" w:ascii="Times New Roman" w:hAnsi="Times New Roman" w:eastAsia="宋体" w:cs="Times New Roman"/>
                <w:b/>
                <w:bCs/>
                <w:color w:val="auto"/>
                <w:sz w:val="24"/>
                <w:lang w:val="en-US" w:eastAsia="zh-CN"/>
              </w:rPr>
              <w:t>A.二级活性炭装置</w:t>
            </w:r>
          </w:p>
          <w:p w14:paraId="76838BB4">
            <w:pPr>
              <w:pStyle w:val="60"/>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b w:val="0"/>
                <w:bCs w:val="0"/>
                <w:color w:val="auto"/>
                <w:spacing w:val="0"/>
                <w:sz w:val="24"/>
                <w:lang w:val="en-US" w:eastAsia="zh-CN"/>
              </w:rPr>
            </w:pPr>
            <w:r>
              <w:rPr>
                <w:rFonts w:hint="default" w:ascii="Times New Roman" w:hAnsi="Times New Roman" w:eastAsia="宋体" w:cs="Times New Roman"/>
                <w:b w:val="0"/>
                <w:bCs w:val="0"/>
                <w:color w:val="auto"/>
                <w:spacing w:val="0"/>
                <w:sz w:val="24"/>
                <w:lang w:val="en-US" w:eastAsia="zh-CN"/>
              </w:rPr>
              <w:t>活性炭是一种多孔性的含炭物质，它具有高度发达的孔隙构造，</w:t>
            </w:r>
            <w:r>
              <w:rPr>
                <w:rFonts w:hint="default" w:ascii="Times New Roman" w:hAnsi="Times New Roman" w:eastAsia="宋体" w:cs="Times New Roman"/>
                <w:b w:val="0"/>
                <w:bCs w:val="0"/>
                <w:color w:val="auto"/>
                <w:spacing w:val="0"/>
                <w:sz w:val="24"/>
                <w:lang w:val="en-US" w:eastAsia="zh-CN"/>
              </w:rPr>
              <w:fldChar w:fldCharType="begin"/>
            </w:r>
            <w:r>
              <w:rPr>
                <w:rFonts w:hint="default" w:ascii="Times New Roman" w:hAnsi="Times New Roman" w:eastAsia="宋体" w:cs="Times New Roman"/>
                <w:b w:val="0"/>
                <w:bCs w:val="0"/>
                <w:color w:val="auto"/>
                <w:spacing w:val="0"/>
                <w:sz w:val="24"/>
                <w:lang w:val="en-US" w:eastAsia="zh-CN"/>
              </w:rPr>
              <w:instrText xml:space="preserve"> HYPERLINK "http://zhidao.baidu.com/search?word=活性炭&amp;fr=qb_search_exp&amp;ie=utf8" </w:instrText>
            </w:r>
            <w:r>
              <w:rPr>
                <w:rFonts w:hint="default" w:ascii="Times New Roman" w:hAnsi="Times New Roman" w:eastAsia="宋体" w:cs="Times New Roman"/>
                <w:b w:val="0"/>
                <w:bCs w:val="0"/>
                <w:color w:val="auto"/>
                <w:spacing w:val="0"/>
                <w:sz w:val="24"/>
                <w:lang w:val="en-US" w:eastAsia="zh-CN"/>
              </w:rPr>
              <w:fldChar w:fldCharType="separate"/>
            </w:r>
            <w:r>
              <w:rPr>
                <w:rFonts w:hint="default" w:ascii="Times New Roman" w:hAnsi="Times New Roman" w:eastAsia="宋体" w:cs="Times New Roman"/>
                <w:b w:val="0"/>
                <w:bCs w:val="0"/>
                <w:color w:val="auto"/>
                <w:spacing w:val="0"/>
                <w:sz w:val="24"/>
                <w:lang w:val="en-US" w:eastAsia="zh-CN"/>
              </w:rPr>
              <w:t>活性炭</w:t>
            </w:r>
            <w:r>
              <w:rPr>
                <w:rFonts w:hint="default" w:ascii="Times New Roman" w:hAnsi="Times New Roman" w:eastAsia="宋体" w:cs="Times New Roman"/>
                <w:b w:val="0"/>
                <w:bCs w:val="0"/>
                <w:color w:val="auto"/>
                <w:spacing w:val="0"/>
                <w:sz w:val="24"/>
                <w:lang w:val="en-US" w:eastAsia="zh-CN"/>
              </w:rPr>
              <w:fldChar w:fldCharType="end"/>
            </w:r>
            <w:r>
              <w:rPr>
                <w:rFonts w:hint="default" w:ascii="Times New Roman" w:hAnsi="Times New Roman" w:eastAsia="宋体" w:cs="Times New Roman"/>
                <w:b w:val="0"/>
                <w:bCs w:val="0"/>
                <w:color w:val="auto"/>
                <w:spacing w:val="0"/>
                <w:sz w:val="24"/>
                <w:lang w:val="en-US" w:eastAsia="zh-CN"/>
              </w:rPr>
              <w:t>的多孔结构为其提供了大量的表面积，能与气体（杂质）充分接触，从而赋予了</w:t>
            </w:r>
            <w:r>
              <w:rPr>
                <w:rFonts w:hint="default" w:ascii="Times New Roman" w:hAnsi="Times New Roman" w:eastAsia="宋体" w:cs="Times New Roman"/>
                <w:b w:val="0"/>
                <w:bCs w:val="0"/>
                <w:color w:val="auto"/>
                <w:spacing w:val="0"/>
                <w:sz w:val="24"/>
                <w:lang w:val="en-US" w:eastAsia="zh-CN"/>
              </w:rPr>
              <w:fldChar w:fldCharType="begin"/>
            </w:r>
            <w:r>
              <w:rPr>
                <w:rFonts w:hint="default" w:ascii="Times New Roman" w:hAnsi="Times New Roman" w:eastAsia="宋体" w:cs="Times New Roman"/>
                <w:b w:val="0"/>
                <w:bCs w:val="0"/>
                <w:color w:val="auto"/>
                <w:spacing w:val="0"/>
                <w:sz w:val="24"/>
                <w:lang w:val="en-US" w:eastAsia="zh-CN"/>
              </w:rPr>
              <w:instrText xml:space="preserve"> HYPERLINK "http://zhidao.baidu.com/search?word=活性炭&amp;fr=qb_search_exp&amp;ie=utf8" </w:instrText>
            </w:r>
            <w:r>
              <w:rPr>
                <w:rFonts w:hint="default" w:ascii="Times New Roman" w:hAnsi="Times New Roman" w:eastAsia="宋体" w:cs="Times New Roman"/>
                <w:b w:val="0"/>
                <w:bCs w:val="0"/>
                <w:color w:val="auto"/>
                <w:spacing w:val="0"/>
                <w:sz w:val="24"/>
                <w:lang w:val="en-US" w:eastAsia="zh-CN"/>
              </w:rPr>
              <w:fldChar w:fldCharType="separate"/>
            </w:r>
            <w:r>
              <w:rPr>
                <w:rFonts w:hint="default" w:ascii="Times New Roman" w:hAnsi="Times New Roman" w:eastAsia="宋体" w:cs="Times New Roman"/>
                <w:b w:val="0"/>
                <w:bCs w:val="0"/>
                <w:color w:val="auto"/>
                <w:spacing w:val="0"/>
                <w:sz w:val="24"/>
                <w:lang w:val="en-US" w:eastAsia="zh-CN"/>
              </w:rPr>
              <w:t>活性炭</w:t>
            </w:r>
            <w:r>
              <w:rPr>
                <w:rFonts w:hint="default" w:ascii="Times New Roman" w:hAnsi="Times New Roman" w:eastAsia="宋体" w:cs="Times New Roman"/>
                <w:b w:val="0"/>
                <w:bCs w:val="0"/>
                <w:color w:val="auto"/>
                <w:spacing w:val="0"/>
                <w:sz w:val="24"/>
                <w:lang w:val="en-US" w:eastAsia="zh-CN"/>
              </w:rPr>
              <w:fldChar w:fldCharType="end"/>
            </w:r>
            <w:r>
              <w:rPr>
                <w:rFonts w:hint="default" w:ascii="Times New Roman" w:hAnsi="Times New Roman" w:eastAsia="宋体" w:cs="Times New Roman"/>
                <w:b w:val="0"/>
                <w:bCs w:val="0"/>
                <w:color w:val="auto"/>
                <w:spacing w:val="0"/>
                <w:sz w:val="24"/>
                <w:lang w:val="en-US" w:eastAsia="zh-CN"/>
              </w:rPr>
              <w:t>所特有的吸附性能，使其非常容易达到吸收收集杂质的目的。就像</w:t>
            </w:r>
            <w:r>
              <w:rPr>
                <w:rFonts w:hint="default" w:ascii="Times New Roman" w:hAnsi="Times New Roman" w:eastAsia="宋体" w:cs="Times New Roman"/>
                <w:b w:val="0"/>
                <w:bCs w:val="0"/>
                <w:color w:val="auto"/>
                <w:spacing w:val="0"/>
                <w:sz w:val="24"/>
                <w:lang w:val="en-US" w:eastAsia="zh-CN"/>
              </w:rPr>
              <w:fldChar w:fldCharType="begin"/>
            </w:r>
            <w:r>
              <w:rPr>
                <w:rFonts w:hint="default" w:ascii="Times New Roman" w:hAnsi="Times New Roman" w:eastAsia="宋体" w:cs="Times New Roman"/>
                <w:b w:val="0"/>
                <w:bCs w:val="0"/>
                <w:color w:val="auto"/>
                <w:spacing w:val="0"/>
                <w:sz w:val="24"/>
                <w:lang w:val="en-US" w:eastAsia="zh-CN"/>
              </w:rPr>
              <w:instrText xml:space="preserve"> HYPERLINK "http://zhidao.baidu.com/search?word=磁力&amp;fr=qb_search_exp&amp;ie=utf8" </w:instrText>
            </w:r>
            <w:r>
              <w:rPr>
                <w:rFonts w:hint="default" w:ascii="Times New Roman" w:hAnsi="Times New Roman" w:eastAsia="宋体" w:cs="Times New Roman"/>
                <w:b w:val="0"/>
                <w:bCs w:val="0"/>
                <w:color w:val="auto"/>
                <w:spacing w:val="0"/>
                <w:sz w:val="24"/>
                <w:lang w:val="en-US" w:eastAsia="zh-CN"/>
              </w:rPr>
              <w:fldChar w:fldCharType="separate"/>
            </w:r>
            <w:r>
              <w:rPr>
                <w:rFonts w:hint="default" w:ascii="Times New Roman" w:hAnsi="Times New Roman" w:eastAsia="宋体" w:cs="Times New Roman"/>
                <w:b w:val="0"/>
                <w:bCs w:val="0"/>
                <w:color w:val="auto"/>
                <w:spacing w:val="0"/>
                <w:sz w:val="24"/>
                <w:lang w:val="en-US" w:eastAsia="zh-CN"/>
              </w:rPr>
              <w:t>磁力</w:t>
            </w:r>
            <w:r>
              <w:rPr>
                <w:rFonts w:hint="default" w:ascii="Times New Roman" w:hAnsi="Times New Roman" w:eastAsia="宋体" w:cs="Times New Roman"/>
                <w:b w:val="0"/>
                <w:bCs w:val="0"/>
                <w:color w:val="auto"/>
                <w:spacing w:val="0"/>
                <w:sz w:val="24"/>
                <w:lang w:val="en-US" w:eastAsia="zh-CN"/>
              </w:rPr>
              <w:fldChar w:fldCharType="end"/>
            </w:r>
            <w:r>
              <w:rPr>
                <w:rFonts w:hint="default" w:ascii="Times New Roman" w:hAnsi="Times New Roman" w:eastAsia="宋体" w:cs="Times New Roman"/>
                <w:b w:val="0"/>
                <w:bCs w:val="0"/>
                <w:color w:val="auto"/>
                <w:spacing w:val="0"/>
                <w:sz w:val="24"/>
                <w:lang w:val="en-US" w:eastAsia="zh-CN"/>
              </w:rPr>
              <w:t>一样，所有的分子之间都具有相互引力。正因为如此，活性炭孔壁上的大量的分子可以产生强大的引力，从而达到将有害的杂质吸引到孔径中的目的。</w:t>
            </w:r>
          </w:p>
          <w:p w14:paraId="48DABE31">
            <w:pPr>
              <w:pStyle w:val="60"/>
              <w:keepNext w:val="0"/>
              <w:keepLines w:val="0"/>
              <w:pageBreakBefore w:val="0"/>
              <w:widowControl w:val="0"/>
              <w:kinsoku/>
              <w:wordWrap/>
              <w:overflowPunct/>
              <w:topLinePunct w:val="0"/>
              <w:autoSpaceDE w:val="0"/>
              <w:autoSpaceDN w:val="0"/>
              <w:bidi w:val="0"/>
              <w:adjustRightInd/>
              <w:snapToGrid/>
              <w:spacing w:before="0" w:beforeLines="0" w:after="0" w:afterLines="0" w:line="360" w:lineRule="auto"/>
              <w:ind w:firstLine="482" w:firstLineChars="200"/>
              <w:textAlignment w:val="auto"/>
              <w:rPr>
                <w:rFonts w:hint="default" w:ascii="Times New Roman" w:hAnsi="Times New Roman" w:eastAsia="宋体" w:cs="Times New Roman"/>
                <w:b w:val="0"/>
                <w:bCs w:val="0"/>
                <w:color w:val="auto"/>
                <w:spacing w:val="0"/>
                <w:sz w:val="24"/>
                <w:lang w:val="en-US" w:eastAsia="zh-CN"/>
              </w:rPr>
            </w:pPr>
            <w:r>
              <w:rPr>
                <w:rFonts w:hint="default" w:ascii="Times New Roman" w:hAnsi="Times New Roman" w:eastAsia="宋体" w:cs="Times New Roman"/>
                <w:b/>
                <w:bCs/>
                <w:color w:val="auto"/>
                <w:spacing w:val="0"/>
                <w:sz w:val="24"/>
                <w:lang w:val="en-US" w:eastAsia="zh-CN"/>
              </w:rPr>
              <w:t>处理可行性及达标分析：</w:t>
            </w:r>
            <w:r>
              <w:rPr>
                <w:rFonts w:hint="default" w:ascii="Times New Roman" w:hAnsi="Times New Roman" w:eastAsia="宋体" w:cs="Times New Roman"/>
                <w:b w:val="0"/>
                <w:bCs w:val="0"/>
                <w:color w:val="auto"/>
                <w:spacing w:val="0"/>
                <w:sz w:val="24"/>
                <w:lang w:val="en-US" w:eastAsia="zh-CN"/>
              </w:rPr>
              <w:t>根据《活性炭吸附操作》（柳柱材编，石油工业出版社，1960年第1版），一级活性炭对烃类气体的吸附能力为70%~80%，在合理控制废气流量、及时更换吸附饱和的活性炭的前提下，有机废气中的污染物均可以得到有效去除；同时，根据2014年国家科技部和环保部发布的《大气污染防治先进技术汇编》，活性炭吸附处理低浓度有机废气，净化效率可达到90%以上。本项目采用</w:t>
            </w:r>
            <w:r>
              <w:rPr>
                <w:rFonts w:hint="eastAsia" w:ascii="Times New Roman" w:hAnsi="Times New Roman" w:eastAsia="宋体" w:cs="Times New Roman"/>
                <w:b w:val="0"/>
                <w:bCs w:val="0"/>
                <w:color w:val="auto"/>
                <w:spacing w:val="0"/>
                <w:sz w:val="24"/>
                <w:lang w:val="en-US" w:eastAsia="zh-CN"/>
              </w:rPr>
              <w:t>“</w:t>
            </w:r>
            <w:r>
              <w:rPr>
                <w:rFonts w:hint="default" w:ascii="Times New Roman" w:hAnsi="Times New Roman" w:eastAsia="宋体" w:cs="Times New Roman"/>
                <w:b w:val="0"/>
                <w:bCs w:val="0"/>
                <w:color w:val="auto"/>
                <w:spacing w:val="0"/>
                <w:sz w:val="24"/>
                <w:lang w:val="en-US" w:eastAsia="zh-CN"/>
              </w:rPr>
              <w:t>二级活性炭吸附装置</w:t>
            </w:r>
            <w:r>
              <w:rPr>
                <w:rFonts w:hint="eastAsia" w:ascii="Times New Roman" w:hAnsi="Times New Roman" w:eastAsia="宋体" w:cs="Times New Roman"/>
                <w:b w:val="0"/>
                <w:bCs w:val="0"/>
                <w:color w:val="auto"/>
                <w:spacing w:val="0"/>
                <w:sz w:val="24"/>
                <w:lang w:val="en-US" w:eastAsia="zh-CN"/>
              </w:rPr>
              <w:t>”</w:t>
            </w:r>
            <w:r>
              <w:rPr>
                <w:rFonts w:hint="default" w:ascii="Times New Roman" w:hAnsi="Times New Roman" w:eastAsia="宋体" w:cs="Times New Roman"/>
                <w:b w:val="0"/>
                <w:bCs w:val="0"/>
                <w:color w:val="auto"/>
                <w:spacing w:val="0"/>
                <w:sz w:val="24"/>
                <w:lang w:val="en-US" w:eastAsia="zh-CN"/>
              </w:rPr>
              <w:t>吸附有机废气，故有机废气处理效率保守取90%，具有可行性。</w:t>
            </w:r>
          </w:p>
          <w:p w14:paraId="150F4D75">
            <w:pPr>
              <w:keepNext w:val="0"/>
              <w:keepLines w:val="0"/>
              <w:pageBreakBefore w:val="0"/>
              <w:kinsoku/>
              <w:wordWrap/>
              <w:overflowPunct/>
              <w:topLinePunct w:val="0"/>
              <w:autoSpaceDE/>
              <w:autoSpaceDN/>
              <w:bidi w:val="0"/>
              <w:adjustRightInd w:val="0"/>
              <w:snapToGrid w:val="0"/>
              <w:spacing w:before="72" w:beforeLines="30"/>
              <w:jc w:val="center"/>
              <w:rPr>
                <w:rFonts w:hint="default" w:ascii="Times New Roman" w:hAnsi="Times New Roman" w:eastAsia="宋体" w:cs="Times New Roman"/>
                <w:b/>
                <w:color w:val="auto"/>
                <w:sz w:val="24"/>
                <w:lang w:eastAsia="zh-CN"/>
              </w:rPr>
            </w:pPr>
            <w:r>
              <w:rPr>
                <w:rFonts w:hint="default" w:ascii="Times New Roman" w:hAnsi="Times New Roman" w:eastAsia="宋体" w:cs="Times New Roman"/>
                <w:b/>
                <w:color w:val="auto"/>
                <w:sz w:val="24"/>
                <w:lang w:eastAsia="zh-CN"/>
              </w:rPr>
              <w:t>表</w:t>
            </w:r>
            <w:r>
              <w:rPr>
                <w:rFonts w:hint="default" w:ascii="Times New Roman" w:hAnsi="Times New Roman" w:eastAsia="宋体" w:cs="Times New Roman"/>
                <w:b/>
                <w:color w:val="auto"/>
                <w:sz w:val="24"/>
                <w:lang w:val="en-US" w:eastAsia="zh-CN"/>
              </w:rPr>
              <w:t>4-</w:t>
            </w:r>
            <w:r>
              <w:rPr>
                <w:rFonts w:hint="eastAsia"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lang w:eastAsia="zh-CN"/>
              </w:rPr>
              <w:t xml:space="preserve"> 活性炭装置技术参数</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411"/>
              <w:gridCol w:w="2220"/>
              <w:gridCol w:w="2376"/>
              <w:gridCol w:w="3353"/>
            </w:tblGrid>
            <w:tr w14:paraId="3F9E784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tblHeader/>
                <w:jc w:val="center"/>
              </w:trPr>
              <w:tc>
                <w:tcPr>
                  <w:tcW w:w="246" w:type="pct"/>
                  <w:shd w:val="clear" w:color="auto" w:fill="FFFFFF"/>
                  <w:noWrap/>
                  <w:vAlign w:val="center"/>
                </w:tcPr>
                <w:p w14:paraId="3B7CCDE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1327" w:type="pct"/>
                  <w:shd w:val="clear" w:color="auto" w:fill="FFFFFF"/>
                  <w:noWrap/>
                  <w:vAlign w:val="center"/>
                </w:tcPr>
                <w:p w14:paraId="0865BF9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名    称</w:t>
                  </w:r>
                </w:p>
              </w:tc>
              <w:tc>
                <w:tcPr>
                  <w:tcW w:w="1420" w:type="pct"/>
                  <w:shd w:val="clear" w:color="auto" w:fill="FFFFFF"/>
                  <w:noWrap/>
                  <w:vAlign w:val="center"/>
                </w:tcPr>
                <w:p w14:paraId="538EC82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技术参数</w:t>
                  </w:r>
                </w:p>
              </w:tc>
              <w:tc>
                <w:tcPr>
                  <w:tcW w:w="2004" w:type="pct"/>
                  <w:shd w:val="clear" w:color="auto" w:fill="FFFFFF"/>
                  <w:noWrap/>
                  <w:vAlign w:val="center"/>
                </w:tcPr>
                <w:p w14:paraId="5812386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《吸附法工业有机废气治理工程技术规范（HJ2026-2013）》要求</w:t>
                  </w:r>
                </w:p>
              </w:tc>
            </w:tr>
            <w:tr w14:paraId="3C46B5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0491CE60">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327" w:type="pct"/>
                  <w:noWrap/>
                  <w:vAlign w:val="center"/>
                </w:tcPr>
                <w:p w14:paraId="7BAAD80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废气净化方式</w:t>
                  </w:r>
                </w:p>
              </w:tc>
              <w:tc>
                <w:tcPr>
                  <w:tcW w:w="1420" w:type="pct"/>
                  <w:noWrap/>
                  <w:vAlign w:val="center"/>
                </w:tcPr>
                <w:p w14:paraId="527B4B4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活性炭吸附处理</w:t>
                  </w:r>
                </w:p>
              </w:tc>
              <w:tc>
                <w:tcPr>
                  <w:tcW w:w="2004" w:type="pct"/>
                  <w:noWrap/>
                  <w:vAlign w:val="center"/>
                </w:tcPr>
                <w:p w14:paraId="63C6062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746106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4545339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327" w:type="pct"/>
                  <w:noWrap/>
                  <w:vAlign w:val="center"/>
                </w:tcPr>
                <w:p w14:paraId="49477B3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风量</w:t>
                  </w:r>
                </w:p>
              </w:tc>
              <w:tc>
                <w:tcPr>
                  <w:tcW w:w="1420" w:type="pct"/>
                  <w:noWrap/>
                  <w:vAlign w:val="center"/>
                </w:tcPr>
                <w:p w14:paraId="56ABAD4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2</w:t>
                  </w:r>
                  <w:r>
                    <w:rPr>
                      <w:rFonts w:hint="default" w:ascii="Times New Roman" w:hAnsi="Times New Roman" w:eastAsia="宋体" w:cs="Times New Roman"/>
                      <w:color w:val="auto"/>
                      <w:kern w:val="0"/>
                      <w:sz w:val="21"/>
                      <w:szCs w:val="21"/>
                    </w:rPr>
                    <w:t>000m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/h</w:t>
                  </w:r>
                </w:p>
              </w:tc>
              <w:tc>
                <w:tcPr>
                  <w:tcW w:w="2004" w:type="pct"/>
                  <w:noWrap/>
                  <w:vAlign w:val="center"/>
                </w:tcPr>
                <w:p w14:paraId="445726B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793D8A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75E98E4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1327" w:type="pct"/>
                  <w:noWrap/>
                  <w:vAlign w:val="center"/>
                </w:tcPr>
                <w:p w14:paraId="6F70AC0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废气温度</w:t>
                  </w:r>
                </w:p>
              </w:tc>
              <w:tc>
                <w:tcPr>
                  <w:tcW w:w="1420" w:type="pct"/>
                  <w:noWrap/>
                  <w:vAlign w:val="center"/>
                </w:tcPr>
                <w:p w14:paraId="7CE73BB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≤40℃</w:t>
                  </w:r>
                </w:p>
              </w:tc>
              <w:tc>
                <w:tcPr>
                  <w:tcW w:w="2004" w:type="pct"/>
                  <w:noWrap/>
                  <w:vAlign w:val="center"/>
                </w:tcPr>
                <w:p w14:paraId="1BD6D0F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21C8A8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6CAC8C0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1327" w:type="pct"/>
                  <w:noWrap/>
                  <w:vAlign w:val="center"/>
                </w:tcPr>
                <w:p w14:paraId="3792D15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活性炭安装方式</w:t>
                  </w:r>
                </w:p>
              </w:tc>
              <w:tc>
                <w:tcPr>
                  <w:tcW w:w="1420" w:type="pct"/>
                  <w:noWrap/>
                  <w:vAlign w:val="center"/>
                </w:tcPr>
                <w:p w14:paraId="447BEAC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上装式，由活性炭、活性炭托盘、箱体组成</w:t>
                  </w:r>
                </w:p>
              </w:tc>
              <w:tc>
                <w:tcPr>
                  <w:tcW w:w="2004" w:type="pct"/>
                  <w:noWrap/>
                  <w:vAlign w:val="center"/>
                </w:tcPr>
                <w:p w14:paraId="3D4D58E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31B4289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51B9044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1327" w:type="pct"/>
                  <w:noWrap/>
                  <w:vAlign w:val="center"/>
                </w:tcPr>
                <w:p w14:paraId="24B1C16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箱体规格（长度×宽度×高度）</w:t>
                  </w:r>
                </w:p>
              </w:tc>
              <w:tc>
                <w:tcPr>
                  <w:tcW w:w="1420" w:type="pct"/>
                  <w:noWrap/>
                  <w:vAlign w:val="center"/>
                </w:tcPr>
                <w:p w14:paraId="0E04CB27">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kern w:val="0"/>
                      <w:sz w:val="21"/>
                      <w:szCs w:val="21"/>
                    </w:rPr>
                    <w:t>1.8m×1.2m×1.0m</w:t>
                  </w:r>
                </w:p>
              </w:tc>
              <w:tc>
                <w:tcPr>
                  <w:tcW w:w="2004" w:type="pct"/>
                  <w:noWrap/>
                  <w:vAlign w:val="center"/>
                </w:tcPr>
                <w:p w14:paraId="344CD3E7">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0576E2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32E4632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1327" w:type="pct"/>
                  <w:noWrap/>
                  <w:vAlign w:val="center"/>
                </w:tcPr>
                <w:p w14:paraId="74D3EC90">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炭层规格（长度×宽度×厚度）</w:t>
                  </w:r>
                </w:p>
              </w:tc>
              <w:tc>
                <w:tcPr>
                  <w:tcW w:w="1420" w:type="pct"/>
                  <w:noWrap/>
                  <w:vAlign w:val="center"/>
                </w:tcPr>
                <w:p w14:paraId="7A6E279E">
                  <w:pPr>
                    <w:keepNext w:val="0"/>
                    <w:keepLines w:val="0"/>
                    <w:pageBreakBefore w:val="0"/>
                    <w:widowControl/>
                    <w:kinsoku/>
                    <w:wordWrap/>
                    <w:overflowPunct/>
                    <w:topLinePunct w:val="0"/>
                    <w:autoSpaceDE/>
                    <w:autoSpaceDN/>
                    <w:bidi w:val="0"/>
                    <w:adjustRightInd w:val="0"/>
                    <w:snapToGrid w:val="0"/>
                    <w:jc w:val="center"/>
                    <w:textAlignment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kern w:val="0"/>
                      <w:sz w:val="21"/>
                      <w:szCs w:val="21"/>
                    </w:rPr>
                    <w:t>1.5m×0.8m×0.3m</w:t>
                  </w:r>
                </w:p>
              </w:tc>
              <w:tc>
                <w:tcPr>
                  <w:tcW w:w="2004" w:type="pct"/>
                  <w:noWrap/>
                  <w:vAlign w:val="center"/>
                </w:tcPr>
                <w:p w14:paraId="363BB13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5889193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4C664C0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1327" w:type="pct"/>
                  <w:noWrap/>
                  <w:vAlign w:val="center"/>
                </w:tcPr>
                <w:p w14:paraId="5067B65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层数</w:t>
                  </w:r>
                </w:p>
              </w:tc>
              <w:tc>
                <w:tcPr>
                  <w:tcW w:w="1420" w:type="pct"/>
                  <w:noWrap/>
                  <w:vAlign w:val="center"/>
                </w:tcPr>
                <w:p w14:paraId="4AC304FC">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2004" w:type="pct"/>
                  <w:noWrap/>
                  <w:vAlign w:val="center"/>
                </w:tcPr>
                <w:p w14:paraId="59F8CAA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09572DA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318647E0">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1327" w:type="pct"/>
                  <w:noWrap/>
                  <w:vAlign w:val="center"/>
                </w:tcPr>
                <w:p w14:paraId="260BC5A1">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活性炭类型</w:t>
                  </w:r>
                </w:p>
              </w:tc>
              <w:tc>
                <w:tcPr>
                  <w:tcW w:w="1420" w:type="pct"/>
                  <w:noWrap/>
                  <w:vAlign w:val="center"/>
                </w:tcPr>
                <w:p w14:paraId="393551A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蜂窝状活性炭</w:t>
                  </w:r>
                </w:p>
              </w:tc>
              <w:tc>
                <w:tcPr>
                  <w:tcW w:w="2004" w:type="pct"/>
                  <w:noWrap/>
                  <w:vAlign w:val="center"/>
                </w:tcPr>
                <w:p w14:paraId="5176C78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6D76CA6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704B73A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w:t>
                  </w:r>
                </w:p>
              </w:tc>
              <w:tc>
                <w:tcPr>
                  <w:tcW w:w="1327" w:type="pct"/>
                  <w:noWrap/>
                  <w:vAlign w:val="center"/>
                </w:tcPr>
                <w:p w14:paraId="3A62B4E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比表面积（m</w:t>
                  </w:r>
                  <w:r>
                    <w:rPr>
                      <w:rFonts w:hint="default" w:ascii="Times New Roman" w:hAnsi="Times New Roman" w:eastAsia="宋体" w:cs="Times New Roman"/>
                      <w:color w:val="auto"/>
                      <w:kern w:val="0"/>
                      <w:sz w:val="21"/>
                      <w:szCs w:val="21"/>
                      <w:vertAlign w:val="superscript"/>
                    </w:rPr>
                    <w:t>2</w:t>
                  </w:r>
                  <w:r>
                    <w:rPr>
                      <w:rFonts w:hint="default" w:ascii="Times New Roman" w:hAnsi="Times New Roman" w:eastAsia="宋体" w:cs="Times New Roman"/>
                      <w:color w:val="auto"/>
                      <w:kern w:val="0"/>
                      <w:sz w:val="21"/>
                      <w:szCs w:val="21"/>
                    </w:rPr>
                    <w:t>/g）</w:t>
                  </w:r>
                </w:p>
              </w:tc>
              <w:tc>
                <w:tcPr>
                  <w:tcW w:w="1420" w:type="pct"/>
                  <w:noWrap/>
                  <w:vAlign w:val="center"/>
                </w:tcPr>
                <w:p w14:paraId="05B6AB1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900~1600</w:t>
                  </w:r>
                </w:p>
              </w:tc>
              <w:tc>
                <w:tcPr>
                  <w:tcW w:w="2004" w:type="pct"/>
                  <w:noWrap/>
                  <w:vAlign w:val="center"/>
                </w:tcPr>
                <w:p w14:paraId="7A2C1341">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≥750</w:t>
                  </w:r>
                </w:p>
              </w:tc>
            </w:tr>
            <w:tr w14:paraId="27A34F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72E4054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10</w:t>
                  </w:r>
                </w:p>
              </w:tc>
              <w:tc>
                <w:tcPr>
                  <w:tcW w:w="1327" w:type="pct"/>
                  <w:noWrap/>
                  <w:vAlign w:val="center"/>
                </w:tcPr>
                <w:p w14:paraId="71260E8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孔体积（cm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/g）</w:t>
                  </w:r>
                </w:p>
              </w:tc>
              <w:tc>
                <w:tcPr>
                  <w:tcW w:w="1420" w:type="pct"/>
                  <w:noWrap/>
                  <w:vAlign w:val="center"/>
                </w:tcPr>
                <w:p w14:paraId="005A14D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0.63</w:t>
                  </w:r>
                </w:p>
              </w:tc>
              <w:tc>
                <w:tcPr>
                  <w:tcW w:w="2004" w:type="pct"/>
                  <w:noWrap/>
                  <w:vAlign w:val="center"/>
                </w:tcPr>
                <w:p w14:paraId="36071720">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5FE318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388A183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11</w:t>
                  </w:r>
                </w:p>
              </w:tc>
              <w:tc>
                <w:tcPr>
                  <w:tcW w:w="1327" w:type="pct"/>
                  <w:noWrap/>
                  <w:vAlign w:val="center"/>
                </w:tcPr>
                <w:p w14:paraId="6D9323A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活性炭密度（g/cm</w:t>
                  </w:r>
                  <w:r>
                    <w:rPr>
                      <w:rFonts w:hint="default" w:ascii="Times New Roman" w:hAnsi="Times New Roman" w:eastAsia="宋体" w:cs="Times New Roman"/>
                      <w:color w:val="auto"/>
                      <w:kern w:val="0"/>
                      <w:sz w:val="21"/>
                      <w:szCs w:val="21"/>
                      <w:vertAlign w:val="superscript"/>
                    </w:rPr>
                    <w:t>3</w:t>
                  </w:r>
                  <w:r>
                    <w:rPr>
                      <w:rFonts w:hint="default" w:ascii="Times New Roman" w:hAnsi="Times New Roman" w:eastAsia="宋体" w:cs="Times New Roman"/>
                      <w:color w:val="auto"/>
                      <w:kern w:val="0"/>
                      <w:sz w:val="21"/>
                      <w:szCs w:val="21"/>
                    </w:rPr>
                    <w:t>）</w:t>
                  </w:r>
                </w:p>
              </w:tc>
              <w:tc>
                <w:tcPr>
                  <w:tcW w:w="1420" w:type="pct"/>
                  <w:noWrap/>
                  <w:vAlign w:val="center"/>
                </w:tcPr>
                <w:p w14:paraId="14768C1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0.45</w:t>
                  </w:r>
                </w:p>
              </w:tc>
              <w:tc>
                <w:tcPr>
                  <w:tcW w:w="2004" w:type="pct"/>
                  <w:noWrap/>
                  <w:vAlign w:val="center"/>
                </w:tcPr>
                <w:p w14:paraId="09DAC2E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7EE6A2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188" w:hRule="atLeast"/>
                <w:jc w:val="center"/>
              </w:trPr>
              <w:tc>
                <w:tcPr>
                  <w:tcW w:w="246" w:type="pct"/>
                  <w:noWrap/>
                  <w:vAlign w:val="center"/>
                </w:tcPr>
                <w:p w14:paraId="3BDB0741">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12</w:t>
                  </w:r>
                </w:p>
              </w:tc>
              <w:tc>
                <w:tcPr>
                  <w:tcW w:w="1327" w:type="pct"/>
                  <w:noWrap/>
                  <w:vAlign w:val="center"/>
                </w:tcPr>
                <w:p w14:paraId="52E4C878">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碘吸附值（mg/g）</w:t>
                  </w:r>
                </w:p>
              </w:tc>
              <w:tc>
                <w:tcPr>
                  <w:tcW w:w="1420" w:type="pct"/>
                  <w:noWrap/>
                  <w:vAlign w:val="center"/>
                </w:tcPr>
                <w:p w14:paraId="2CFC625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65</w:t>
                  </w:r>
                  <w:r>
                    <w:rPr>
                      <w:rFonts w:hint="default" w:ascii="Times New Roman" w:hAnsi="Times New Roman" w:eastAsia="宋体" w:cs="Times New Roman"/>
                      <w:color w:val="auto"/>
                      <w:kern w:val="0"/>
                      <w:sz w:val="21"/>
                      <w:szCs w:val="21"/>
                    </w:rPr>
                    <w:t>0</w:t>
                  </w:r>
                </w:p>
              </w:tc>
              <w:tc>
                <w:tcPr>
                  <w:tcW w:w="2004" w:type="pct"/>
                  <w:noWrap/>
                  <w:vAlign w:val="center"/>
                </w:tcPr>
                <w:p w14:paraId="1CD576D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r>
                    <w:rPr>
                      <w:rFonts w:hint="eastAsia" w:ascii="Times New Roman" w:hAnsi="Times New Roman" w:eastAsia="宋体" w:cs="Times New Roman"/>
                      <w:color w:val="auto"/>
                      <w:kern w:val="0"/>
                      <w:sz w:val="21"/>
                      <w:szCs w:val="21"/>
                      <w:lang w:val="en-US" w:eastAsia="zh-CN"/>
                    </w:rPr>
                    <w:t>65</w:t>
                  </w:r>
                  <w:r>
                    <w:rPr>
                      <w:rFonts w:hint="default" w:ascii="Times New Roman" w:hAnsi="Times New Roman" w:eastAsia="宋体" w:cs="Times New Roman"/>
                      <w:color w:val="auto"/>
                      <w:kern w:val="0"/>
                      <w:sz w:val="21"/>
                      <w:szCs w:val="21"/>
                    </w:rPr>
                    <w:t>0</w:t>
                  </w:r>
                </w:p>
              </w:tc>
            </w:tr>
            <w:tr w14:paraId="7EC89F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519D18A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13</w:t>
                  </w:r>
                </w:p>
              </w:tc>
              <w:tc>
                <w:tcPr>
                  <w:tcW w:w="1327" w:type="pct"/>
                  <w:noWrap/>
                  <w:vAlign w:val="center"/>
                </w:tcPr>
                <w:p w14:paraId="3AD6941A">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停留时间（s）</w:t>
                  </w:r>
                </w:p>
              </w:tc>
              <w:tc>
                <w:tcPr>
                  <w:tcW w:w="1420" w:type="pct"/>
                  <w:noWrap/>
                  <w:vAlign w:val="center"/>
                </w:tcPr>
                <w:p w14:paraId="18578280">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1.04</w:t>
                  </w:r>
                </w:p>
              </w:tc>
              <w:tc>
                <w:tcPr>
                  <w:tcW w:w="2004" w:type="pct"/>
                  <w:noWrap/>
                  <w:vAlign w:val="center"/>
                </w:tcPr>
                <w:p w14:paraId="1E0A5E2E">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w:t>
                  </w:r>
                </w:p>
              </w:tc>
            </w:tr>
            <w:tr w14:paraId="1382F0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551DFA0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14</w:t>
                  </w:r>
                </w:p>
              </w:tc>
              <w:tc>
                <w:tcPr>
                  <w:tcW w:w="1327" w:type="pct"/>
                  <w:noWrap/>
                  <w:vAlign w:val="center"/>
                </w:tcPr>
                <w:p w14:paraId="6BDC264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气流速度（m/s）</w:t>
                  </w:r>
                </w:p>
              </w:tc>
              <w:tc>
                <w:tcPr>
                  <w:tcW w:w="1420" w:type="pct"/>
                  <w:noWrap/>
                  <w:vAlign w:val="center"/>
                </w:tcPr>
                <w:p w14:paraId="3C5F046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0.58</w:t>
                  </w:r>
                </w:p>
              </w:tc>
              <w:tc>
                <w:tcPr>
                  <w:tcW w:w="2004" w:type="pct"/>
                  <w:noWrap/>
                  <w:vAlign w:val="center"/>
                </w:tcPr>
                <w:p w14:paraId="43B6D495">
                  <w:pPr>
                    <w:keepNext w:val="0"/>
                    <w:keepLines w:val="0"/>
                    <w:pageBreakBefore w:val="0"/>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sz w:val="21"/>
                      <w:szCs w:val="21"/>
                    </w:rPr>
                    <w:t>≤1.20</w:t>
                  </w:r>
                </w:p>
              </w:tc>
            </w:tr>
            <w:tr w14:paraId="0BE97FE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30C0333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15</w:t>
                  </w:r>
                </w:p>
              </w:tc>
              <w:tc>
                <w:tcPr>
                  <w:tcW w:w="1327" w:type="pct"/>
                  <w:noWrap/>
                  <w:vAlign w:val="center"/>
                </w:tcPr>
                <w:p w14:paraId="5544D0BE">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填充量</w:t>
                  </w:r>
                </w:p>
              </w:tc>
              <w:tc>
                <w:tcPr>
                  <w:tcW w:w="1420" w:type="pct"/>
                  <w:noWrap/>
                  <w:vAlign w:val="center"/>
                </w:tcPr>
                <w:p w14:paraId="2D4C83FF">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eastAsia" w:ascii="Times New Roman" w:hAnsi="Times New Roman" w:eastAsia="宋体" w:cs="Times New Roman"/>
                      <w:color w:val="auto"/>
                      <w:kern w:val="0"/>
                      <w:sz w:val="21"/>
                      <w:szCs w:val="21"/>
                      <w:lang w:val="en-US" w:eastAsia="zh-CN"/>
                    </w:rPr>
                    <w:t>0</w:t>
                  </w:r>
                  <w:r>
                    <w:rPr>
                      <w:rFonts w:hint="default" w:ascii="Times New Roman" w:hAnsi="Times New Roman" w:eastAsia="宋体" w:cs="Times New Roman"/>
                      <w:color w:val="auto"/>
                      <w:kern w:val="0"/>
                      <w:sz w:val="21"/>
                      <w:szCs w:val="21"/>
                      <w:lang w:val="en-US" w:eastAsia="zh-CN"/>
                    </w:rPr>
                    <w:t>.</w:t>
                  </w:r>
                  <w:r>
                    <w:rPr>
                      <w:rFonts w:hint="eastAsia" w:ascii="Times New Roman" w:hAnsi="Times New Roman" w:eastAsia="宋体" w:cs="Times New Roman"/>
                      <w:color w:val="auto"/>
                      <w:kern w:val="0"/>
                      <w:sz w:val="21"/>
                      <w:szCs w:val="21"/>
                      <w:lang w:val="en-US" w:eastAsia="zh-CN"/>
                    </w:rPr>
                    <w:t>8</w:t>
                  </w:r>
                  <w:r>
                    <w:rPr>
                      <w:rFonts w:hint="default" w:ascii="Times New Roman" w:hAnsi="Times New Roman" w:eastAsia="宋体" w:cs="Times New Roman"/>
                      <w:color w:val="auto"/>
                      <w:kern w:val="0"/>
                      <w:sz w:val="21"/>
                      <w:szCs w:val="21"/>
                    </w:rPr>
                    <w:t>t</w:t>
                  </w:r>
                </w:p>
              </w:tc>
              <w:tc>
                <w:tcPr>
                  <w:tcW w:w="2004" w:type="pct"/>
                  <w:noWrap/>
                  <w:vAlign w:val="center"/>
                </w:tcPr>
                <w:p w14:paraId="562038D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484498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4E5AABD9">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16</w:t>
                  </w:r>
                </w:p>
              </w:tc>
              <w:tc>
                <w:tcPr>
                  <w:tcW w:w="1327" w:type="pct"/>
                  <w:noWrap/>
                  <w:vAlign w:val="center"/>
                </w:tcPr>
                <w:p w14:paraId="204A679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更换频次</w:t>
                  </w:r>
                </w:p>
              </w:tc>
              <w:tc>
                <w:tcPr>
                  <w:tcW w:w="1420" w:type="pct"/>
                  <w:noWrap/>
                  <w:vAlign w:val="center"/>
                </w:tcPr>
                <w:p w14:paraId="226ECAA6">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sz w:val="21"/>
                      <w:szCs w:val="21"/>
                      <w:lang w:val="en-US" w:eastAsia="zh-CN"/>
                    </w:rPr>
                    <w:t>90d（一季度）</w:t>
                  </w:r>
                </w:p>
              </w:tc>
              <w:tc>
                <w:tcPr>
                  <w:tcW w:w="2004" w:type="pct"/>
                  <w:noWrap/>
                  <w:vAlign w:val="center"/>
                </w:tcPr>
                <w:p w14:paraId="567A7020">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7A39BC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67C1EE13">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17</w:t>
                  </w:r>
                </w:p>
              </w:tc>
              <w:tc>
                <w:tcPr>
                  <w:tcW w:w="1327" w:type="pct"/>
                  <w:noWrap/>
                  <w:vAlign w:val="center"/>
                </w:tcPr>
                <w:p w14:paraId="7E42CAF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活性炭风阻力</w:t>
                  </w:r>
                </w:p>
              </w:tc>
              <w:tc>
                <w:tcPr>
                  <w:tcW w:w="1420" w:type="pct"/>
                  <w:noWrap/>
                  <w:vAlign w:val="center"/>
                </w:tcPr>
                <w:p w14:paraId="4F61222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500pa</w:t>
                  </w:r>
                </w:p>
              </w:tc>
              <w:tc>
                <w:tcPr>
                  <w:tcW w:w="2004" w:type="pct"/>
                  <w:noWrap/>
                  <w:vAlign w:val="center"/>
                </w:tcPr>
                <w:p w14:paraId="01F3D092">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r w14:paraId="20D4BD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cantSplit/>
                <w:trHeight w:val="340" w:hRule="atLeast"/>
                <w:jc w:val="center"/>
              </w:trPr>
              <w:tc>
                <w:tcPr>
                  <w:tcW w:w="246" w:type="pct"/>
                  <w:noWrap/>
                  <w:vAlign w:val="center"/>
                </w:tcPr>
                <w:p w14:paraId="53B4E5F1">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18</w:t>
                  </w:r>
                </w:p>
              </w:tc>
              <w:tc>
                <w:tcPr>
                  <w:tcW w:w="1327" w:type="pct"/>
                  <w:noWrap/>
                  <w:vAlign w:val="center"/>
                </w:tcPr>
                <w:p w14:paraId="23A1E44B">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设计处理效率</w:t>
                  </w:r>
                </w:p>
              </w:tc>
              <w:tc>
                <w:tcPr>
                  <w:tcW w:w="1420" w:type="pct"/>
                  <w:noWrap/>
                  <w:vAlign w:val="center"/>
                </w:tcPr>
                <w:p w14:paraId="583510BD">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r>
                    <w:rPr>
                      <w:rFonts w:hint="default" w:ascii="Times New Roman" w:hAnsi="Times New Roman" w:eastAsia="宋体" w:cs="Times New Roman"/>
                      <w:color w:val="auto"/>
                      <w:kern w:val="0"/>
                      <w:sz w:val="21"/>
                      <w:szCs w:val="21"/>
                      <w:lang w:val="en-US" w:eastAsia="zh-CN"/>
                    </w:rPr>
                    <w:t>5</w:t>
                  </w:r>
                  <w:r>
                    <w:rPr>
                      <w:rFonts w:hint="default" w:ascii="Times New Roman" w:hAnsi="Times New Roman" w:eastAsia="宋体" w:cs="Times New Roman"/>
                      <w:color w:val="auto"/>
                      <w:kern w:val="0"/>
                      <w:sz w:val="21"/>
                      <w:szCs w:val="21"/>
                    </w:rPr>
                    <w:t>%（单套）</w:t>
                  </w:r>
                </w:p>
              </w:tc>
              <w:tc>
                <w:tcPr>
                  <w:tcW w:w="2004" w:type="pct"/>
                  <w:noWrap/>
                  <w:vAlign w:val="center"/>
                </w:tcPr>
                <w:p w14:paraId="15C55D15">
                  <w:pPr>
                    <w:keepNext w:val="0"/>
                    <w:keepLines w:val="0"/>
                    <w:pageBreakBefore w:val="0"/>
                    <w:widowControl/>
                    <w:kinsoku/>
                    <w:wordWrap/>
                    <w:overflowPunct/>
                    <w:topLinePunct w:val="0"/>
                    <w:autoSpaceDE/>
                    <w:autoSpaceDN/>
                    <w:bidi w:val="0"/>
                    <w:adjustRightInd w:val="0"/>
                    <w:snapToGrid w:val="0"/>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w:t>
                  </w:r>
                </w:p>
              </w:tc>
            </w:tr>
          </w:tbl>
          <w:p w14:paraId="48F8CB76">
            <w:pPr>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textAlignment w:val="auto"/>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根据《材料研究与应用》2010年12月第4卷第4期，余倩等人《活性炭吸附技术对VOCs净化处理的研究进展》一文，采用吸附法能够使VOCs的去除率高达90-95%，本项目</w:t>
            </w:r>
            <w:r>
              <w:rPr>
                <w:rFonts w:hint="eastAsia" w:ascii="Times New Roman" w:hAnsi="Times New Roman" w:eastAsia="宋体" w:cs="Times New Roman"/>
                <w:bCs/>
                <w:color w:val="auto"/>
                <w:kern w:val="0"/>
                <w:sz w:val="24"/>
                <w:szCs w:val="24"/>
                <w:lang w:val="en-US" w:eastAsia="zh-CN"/>
              </w:rPr>
              <w:t>清洗工序</w:t>
            </w:r>
            <w:r>
              <w:rPr>
                <w:rFonts w:hint="default" w:ascii="Times New Roman" w:hAnsi="Times New Roman" w:eastAsia="宋体" w:cs="Times New Roman"/>
                <w:bCs/>
                <w:color w:val="auto"/>
                <w:kern w:val="0"/>
                <w:sz w:val="24"/>
                <w:szCs w:val="24"/>
              </w:rPr>
              <w:t>非甲烷总烃去除率保守估计取90%。根据</w:t>
            </w:r>
            <w:r>
              <w:rPr>
                <w:rFonts w:hint="default" w:ascii="Times New Roman" w:hAnsi="Times New Roman" w:eastAsia="宋体" w:cs="Times New Roman"/>
                <w:color w:val="auto"/>
                <w:kern w:val="0"/>
                <w:sz w:val="24"/>
                <w:szCs w:val="24"/>
              </w:rPr>
              <w:t>《省生态环境厅关于深入开展涉VOCs治理重点工作核查的通知》（苏环办【2022】218号）相关要求，采用蜂窝活性炭时，蜂窝活性炭横向抗压强度应不低于0.9MPa，纵向强度应不低于0.4MPa，碘吸附值&gt;650mg/g，比表面积&gt;750m/g，</w:t>
            </w:r>
            <w:r>
              <w:rPr>
                <w:rFonts w:hint="default" w:ascii="Times New Roman" w:hAnsi="Times New Roman" w:eastAsia="宋体" w:cs="Times New Roman"/>
                <w:color w:val="auto"/>
                <w:sz w:val="24"/>
                <w:szCs w:val="24"/>
                <w:lang w:val="en-US" w:eastAsia="zh-CN"/>
              </w:rPr>
              <w:t>本项目活性炭</w:t>
            </w:r>
            <w:r>
              <w:rPr>
                <w:rFonts w:hint="default" w:ascii="Times New Roman" w:hAnsi="Times New Roman" w:eastAsia="宋体" w:cs="Times New Roman"/>
                <w:color w:val="auto"/>
                <w:kern w:val="0"/>
                <w:sz w:val="24"/>
                <w:szCs w:val="24"/>
                <w:shd w:val="clear" w:color="auto" w:fill="FFFFFF"/>
              </w:rPr>
              <w:t>碘吸附值为</w:t>
            </w:r>
            <w:r>
              <w:rPr>
                <w:rFonts w:hint="eastAsia" w:ascii="Times New Roman" w:hAnsi="Times New Roman" w:eastAsia="宋体" w:cs="Times New Roman"/>
                <w:color w:val="auto"/>
                <w:kern w:val="0"/>
                <w:sz w:val="24"/>
                <w:szCs w:val="24"/>
                <w:shd w:val="clear" w:color="auto" w:fill="FFFFFF"/>
                <w:lang w:val="en-US" w:eastAsia="zh-CN"/>
              </w:rPr>
              <w:t>65</w:t>
            </w:r>
            <w:r>
              <w:rPr>
                <w:rFonts w:hint="default" w:ascii="Times New Roman" w:hAnsi="Times New Roman" w:eastAsia="宋体" w:cs="Times New Roman"/>
                <w:color w:val="auto"/>
                <w:kern w:val="0"/>
                <w:sz w:val="24"/>
                <w:szCs w:val="24"/>
                <w:shd w:val="clear" w:color="auto" w:fill="FFFFFF"/>
              </w:rPr>
              <w:t>0mg/g，活性炭设计</w:t>
            </w:r>
            <w:r>
              <w:rPr>
                <w:rFonts w:hint="default" w:ascii="Times New Roman" w:hAnsi="Times New Roman" w:eastAsia="宋体" w:cs="Times New Roman"/>
                <w:color w:val="auto"/>
                <w:kern w:val="0"/>
                <w:sz w:val="24"/>
                <w:szCs w:val="24"/>
                <w:shd w:val="clear" w:color="auto" w:fill="FFFFFF"/>
                <w:lang w:val="en-US" w:eastAsia="zh-CN"/>
              </w:rPr>
              <w:t>90d（一季度）</w:t>
            </w:r>
            <w:r>
              <w:rPr>
                <w:rFonts w:hint="default" w:ascii="Times New Roman" w:hAnsi="Times New Roman" w:eastAsia="宋体" w:cs="Times New Roman"/>
                <w:color w:val="auto"/>
                <w:kern w:val="0"/>
                <w:sz w:val="24"/>
                <w:szCs w:val="24"/>
                <w:shd w:val="clear" w:color="auto" w:fill="FFFFFF"/>
              </w:rPr>
              <w:t>更换一次，项目有机废气产生温度较低，经过风机管道等冷却后，进入活性炭箱的温度低于40℃，因此本项目</w:t>
            </w:r>
            <w:r>
              <w:rPr>
                <w:rFonts w:hint="eastAsia" w:ascii="Times New Roman" w:hAnsi="Times New Roman" w:eastAsia="宋体" w:cs="Times New Roman"/>
                <w:bCs/>
                <w:color w:val="auto"/>
                <w:kern w:val="0"/>
                <w:sz w:val="24"/>
                <w:szCs w:val="24"/>
                <w:lang w:val="en-US" w:eastAsia="zh-CN"/>
              </w:rPr>
              <w:t>清洗</w:t>
            </w:r>
            <w:r>
              <w:rPr>
                <w:rFonts w:hint="default" w:ascii="Times New Roman" w:hAnsi="Times New Roman" w:eastAsia="宋体" w:cs="Times New Roman"/>
                <w:bCs/>
                <w:color w:val="auto"/>
                <w:kern w:val="0"/>
                <w:sz w:val="24"/>
                <w:szCs w:val="24"/>
                <w:lang w:val="en-US" w:eastAsia="zh-CN"/>
              </w:rPr>
              <w:t>工序</w:t>
            </w:r>
            <w:r>
              <w:rPr>
                <w:rFonts w:hint="default" w:ascii="Times New Roman" w:hAnsi="Times New Roman" w:eastAsia="宋体" w:cs="Times New Roman"/>
                <w:color w:val="auto"/>
                <w:kern w:val="0"/>
                <w:sz w:val="24"/>
                <w:szCs w:val="24"/>
                <w:shd w:val="clear" w:color="auto" w:fill="FFFFFF"/>
              </w:rPr>
              <w:t>有机废气经过二级活性炭处理</w:t>
            </w:r>
            <w:r>
              <w:rPr>
                <w:rFonts w:hint="default" w:ascii="Times New Roman" w:hAnsi="Times New Roman" w:eastAsia="宋体" w:cs="Times New Roman"/>
                <w:color w:val="auto"/>
                <w:kern w:val="0"/>
                <w:sz w:val="24"/>
                <w:szCs w:val="24"/>
              </w:rPr>
              <w:t>满足要求。</w:t>
            </w:r>
          </w:p>
          <w:p w14:paraId="432ABCEB">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活性炭吸附装置设置要求：</w:t>
            </w:r>
          </w:p>
          <w:p w14:paraId="3740D1C9">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按照《吸附法工业有机废气治理工程技术规范》（HJ 2026-2013）、《</w:t>
            </w:r>
            <w:bookmarkStart w:id="13" w:name="_Hlk141347411"/>
            <w:r>
              <w:rPr>
                <w:rFonts w:hint="default" w:ascii="Times New Roman" w:hAnsi="Times New Roman" w:eastAsia="宋体" w:cs="Times New Roman"/>
                <w:b w:val="0"/>
                <w:bCs w:val="0"/>
                <w:color w:val="auto"/>
                <w:sz w:val="24"/>
                <w:lang w:val="en-US" w:eastAsia="zh-CN"/>
              </w:rPr>
              <w:t>环境保护产品技术要求 工业废气吸附净化装置</w:t>
            </w:r>
            <w:bookmarkEnd w:id="13"/>
            <w:r>
              <w:rPr>
                <w:rFonts w:hint="default" w:ascii="Times New Roman" w:hAnsi="Times New Roman" w:eastAsia="宋体" w:cs="Times New Roman"/>
                <w:b w:val="0"/>
                <w:bCs w:val="0"/>
                <w:color w:val="auto"/>
                <w:sz w:val="24"/>
                <w:lang w:val="en-US" w:eastAsia="zh-CN"/>
              </w:rPr>
              <w:t>》（</w:t>
            </w:r>
            <w:bookmarkStart w:id="14" w:name="_Hlk141347438"/>
            <w:r>
              <w:rPr>
                <w:rFonts w:hint="default" w:ascii="Times New Roman" w:hAnsi="Times New Roman" w:eastAsia="宋体" w:cs="Times New Roman"/>
                <w:b w:val="0"/>
                <w:bCs w:val="0"/>
                <w:color w:val="auto"/>
                <w:sz w:val="24"/>
                <w:lang w:val="en-US" w:eastAsia="zh-CN"/>
              </w:rPr>
              <w:t>HJ/T 386-2007</w:t>
            </w:r>
            <w:bookmarkEnd w:id="14"/>
            <w:r>
              <w:rPr>
                <w:rFonts w:hint="default" w:ascii="Times New Roman" w:hAnsi="Times New Roman" w:eastAsia="宋体" w:cs="Times New Roman"/>
                <w:b w:val="0"/>
                <w:bCs w:val="0"/>
                <w:color w:val="auto"/>
                <w:sz w:val="24"/>
                <w:lang w:val="en-US" w:eastAsia="zh-CN"/>
              </w:rPr>
              <w:t>）安全设置规定，本项目对拟建活性炭吸附装置提出以下要求：</w:t>
            </w:r>
          </w:p>
          <w:p w14:paraId="44EBB644">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①治理系统应有事故自动报警装置，并符合安全生产、事故防范的相关规定。</w:t>
            </w:r>
          </w:p>
          <w:p w14:paraId="31B2CC26">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②治理系统与主体生产装置之间的管道系统应安装阻火器（防火阀），阻火器性能应符合GB 13347的规定。</w:t>
            </w:r>
          </w:p>
          <w:p w14:paraId="770A3080">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③风机、电机和置于现场的电气仪表等应不低于现场防爆等级。当吸附剂采用降压解吸方式再生且解吸后的高浓度有机气体采用液体吸收工艺进行回收时，风机、真空解吸泵和电气系统均应采用符合GB 3836.4要求的本安型防爆器件。</w:t>
            </w:r>
          </w:p>
          <w:p w14:paraId="2A2F574F">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④在吸附操作周期内，吸附了有机气体后吸附床内的温度应低于83℃。当吸附装置内的温度超过83℃时，应能自动报警，并立即启动降温装置。</w:t>
            </w:r>
          </w:p>
          <w:p w14:paraId="1D76743C">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⑤采用热空气吹扫方式进行吸附剂再生时，当吸附装置内的温度超过120°时，应能自动报警并立即中止再生操作、启动降温措施。</w:t>
            </w:r>
          </w:p>
          <w:p w14:paraId="2B07D320">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⑥治理装置安装区域应按规定设置消防设施。</w:t>
            </w:r>
          </w:p>
          <w:p w14:paraId="0397C3E2">
            <w:pPr>
              <w:pStyle w:val="44"/>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⑦治理设备应具备短路保护和接地保护，接地电阻应小于4Q。</w:t>
            </w:r>
          </w:p>
          <w:p w14:paraId="47DC31F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lang w:val="en-US" w:eastAsia="zh-CN" w:bidi="ar"/>
              </w:rPr>
            </w:pPr>
            <w:r>
              <w:rPr>
                <w:rFonts w:hint="default" w:ascii="Times New Roman" w:hAnsi="Times New Roman" w:eastAsia="宋体" w:cs="Times New Roman"/>
                <w:b w:val="0"/>
                <w:bCs w:val="0"/>
                <w:color w:val="auto"/>
                <w:sz w:val="24"/>
                <w:lang w:val="en-US" w:eastAsia="zh-CN"/>
              </w:rPr>
              <w:t>⑧室外治理设备应安装符合GB 50057规定的避雷装置。</w:t>
            </w:r>
          </w:p>
          <w:p w14:paraId="38AC8042">
            <w:pPr>
              <w:keepNext w:val="0"/>
              <w:keepLines w:val="0"/>
              <w:pageBreakBefore w:val="0"/>
              <w:widowControl w:val="0"/>
              <w:tabs>
                <w:tab w:val="left" w:pos="840"/>
              </w:tabs>
              <w:kinsoku/>
              <w:wordWrap/>
              <w:overflowPunct/>
              <w:topLinePunct w:val="0"/>
              <w:autoSpaceDE/>
              <w:autoSpaceDN/>
              <w:bidi w:val="0"/>
              <w:adjustRightInd/>
              <w:snapToGrid/>
              <w:spacing w:line="360" w:lineRule="auto"/>
              <w:ind w:firstLine="482" w:firstLineChars="200"/>
              <w:jc w:val="both"/>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工程实例分析</w:t>
            </w:r>
          </w:p>
          <w:p w14:paraId="7B53E2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本项目根据无锡市新环化工环境监测站于2019年3月对</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常州市博源塑业有限公司年产260万件塑料制品项目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的</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两级活性炭吸附装置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废气排放口的验收检测数据，其废气处理效率在90%以上，具体见下表。</w:t>
            </w:r>
          </w:p>
          <w:p w14:paraId="7AF40246">
            <w:pPr>
              <w:adjustRightInd w:val="0"/>
              <w:snapToGrid w:val="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表4-</w:t>
            </w:r>
            <w:r>
              <w:rPr>
                <w:rFonts w:hint="eastAsia" w:ascii="Times New Roman" w:hAnsi="Times New Roman" w:eastAsia="宋体" w:cs="Times New Roman"/>
                <w:b/>
                <w:color w:val="auto"/>
                <w:sz w:val="24"/>
                <w:szCs w:val="24"/>
                <w:lang w:val="en-US" w:eastAsia="zh-CN"/>
              </w:rPr>
              <w:t>3</w:t>
            </w:r>
            <w:r>
              <w:rPr>
                <w:rFonts w:hint="default" w:ascii="Times New Roman" w:hAnsi="Times New Roman" w:eastAsia="宋体" w:cs="Times New Roman"/>
                <w:b/>
                <w:color w:val="auto"/>
                <w:sz w:val="24"/>
                <w:szCs w:val="24"/>
              </w:rPr>
              <w:t xml:space="preserve"> </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工程实例废气监测结果表</w:t>
            </w:r>
          </w:p>
          <w:tbl>
            <w:tblPr>
              <w:tblStyle w:val="28"/>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92"/>
              <w:gridCol w:w="1392"/>
              <w:gridCol w:w="1393"/>
              <w:gridCol w:w="1393"/>
              <w:gridCol w:w="1393"/>
              <w:gridCol w:w="1396"/>
            </w:tblGrid>
            <w:tr w14:paraId="48C737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Merge w:val="restart"/>
                  <w:vAlign w:val="center"/>
                </w:tcPr>
                <w:p w14:paraId="2964212A">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项目点位</w:t>
                  </w:r>
                </w:p>
              </w:tc>
              <w:tc>
                <w:tcPr>
                  <w:tcW w:w="833" w:type="pct"/>
                  <w:vMerge w:val="restart"/>
                  <w:vAlign w:val="center"/>
                </w:tcPr>
                <w:p w14:paraId="4CF85075">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监测时间</w:t>
                  </w:r>
                </w:p>
              </w:tc>
              <w:tc>
                <w:tcPr>
                  <w:tcW w:w="3334" w:type="pct"/>
                  <w:gridSpan w:val="4"/>
                  <w:vAlign w:val="center"/>
                </w:tcPr>
                <w:p w14:paraId="2D3C484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非甲烷总烃监测结果（mg/m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w:t>
                  </w:r>
                </w:p>
              </w:tc>
            </w:tr>
            <w:tr w14:paraId="3A363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Merge w:val="continue"/>
                  <w:vAlign w:val="center"/>
                </w:tcPr>
                <w:p w14:paraId="1001C86B">
                  <w:pPr>
                    <w:adjustRightInd w:val="0"/>
                    <w:snapToGrid w:val="0"/>
                    <w:jc w:val="center"/>
                    <w:rPr>
                      <w:rFonts w:hint="default" w:ascii="Times New Roman" w:hAnsi="Times New Roman" w:eastAsia="宋体" w:cs="Times New Roman"/>
                      <w:color w:val="auto"/>
                      <w:sz w:val="21"/>
                      <w:szCs w:val="21"/>
                    </w:rPr>
                  </w:pPr>
                </w:p>
              </w:tc>
              <w:tc>
                <w:tcPr>
                  <w:tcW w:w="833" w:type="pct"/>
                  <w:vMerge w:val="continue"/>
                  <w:vAlign w:val="center"/>
                </w:tcPr>
                <w:p w14:paraId="1393F698">
                  <w:pPr>
                    <w:adjustRightInd w:val="0"/>
                    <w:snapToGrid w:val="0"/>
                    <w:jc w:val="center"/>
                    <w:rPr>
                      <w:rFonts w:hint="default" w:ascii="Times New Roman" w:hAnsi="Times New Roman" w:eastAsia="宋体" w:cs="Times New Roman"/>
                      <w:color w:val="auto"/>
                      <w:sz w:val="21"/>
                      <w:szCs w:val="21"/>
                    </w:rPr>
                  </w:pPr>
                </w:p>
              </w:tc>
              <w:tc>
                <w:tcPr>
                  <w:tcW w:w="833" w:type="pct"/>
                  <w:vAlign w:val="center"/>
                </w:tcPr>
                <w:p w14:paraId="04E442D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833" w:type="pct"/>
                  <w:vAlign w:val="center"/>
                </w:tcPr>
                <w:p w14:paraId="4442168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833" w:type="pct"/>
                  <w:vAlign w:val="center"/>
                </w:tcPr>
                <w:p w14:paraId="3633ABE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833" w:type="pct"/>
                  <w:vAlign w:val="center"/>
                </w:tcPr>
                <w:p w14:paraId="0C7337F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平均值</w:t>
                  </w:r>
                </w:p>
              </w:tc>
            </w:tr>
            <w:tr w14:paraId="0756C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767496E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废气进口</w:t>
                  </w:r>
                </w:p>
              </w:tc>
              <w:tc>
                <w:tcPr>
                  <w:tcW w:w="833" w:type="pct"/>
                  <w:vMerge w:val="restart"/>
                  <w:vAlign w:val="center"/>
                </w:tcPr>
                <w:p w14:paraId="406ACD4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2019.3.29</w:t>
                  </w:r>
                </w:p>
              </w:tc>
              <w:tc>
                <w:tcPr>
                  <w:tcW w:w="833" w:type="pct"/>
                  <w:vAlign w:val="center"/>
                </w:tcPr>
                <w:p w14:paraId="6A21DA1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4.22</w:t>
                  </w:r>
                </w:p>
              </w:tc>
              <w:tc>
                <w:tcPr>
                  <w:tcW w:w="833" w:type="pct"/>
                  <w:vAlign w:val="center"/>
                </w:tcPr>
                <w:p w14:paraId="3913013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3.48</w:t>
                  </w:r>
                </w:p>
              </w:tc>
              <w:tc>
                <w:tcPr>
                  <w:tcW w:w="833" w:type="pct"/>
                  <w:vAlign w:val="center"/>
                </w:tcPr>
                <w:p w14:paraId="6A98306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4.09</w:t>
                  </w:r>
                </w:p>
              </w:tc>
              <w:tc>
                <w:tcPr>
                  <w:tcW w:w="833" w:type="pct"/>
                  <w:vAlign w:val="center"/>
                </w:tcPr>
                <w:p w14:paraId="746DE68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3.93</w:t>
                  </w:r>
                </w:p>
              </w:tc>
            </w:tr>
            <w:tr w14:paraId="59103B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2060CF4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废气出口</w:t>
                  </w:r>
                </w:p>
              </w:tc>
              <w:tc>
                <w:tcPr>
                  <w:tcW w:w="833" w:type="pct"/>
                  <w:vMerge w:val="continue"/>
                  <w:vAlign w:val="center"/>
                </w:tcPr>
                <w:p w14:paraId="30586F1C">
                  <w:pPr>
                    <w:adjustRightInd w:val="0"/>
                    <w:snapToGrid w:val="0"/>
                    <w:jc w:val="center"/>
                    <w:rPr>
                      <w:rFonts w:hint="default" w:ascii="Times New Roman" w:hAnsi="Times New Roman" w:eastAsia="宋体" w:cs="Times New Roman"/>
                      <w:color w:val="auto"/>
                      <w:sz w:val="21"/>
                      <w:szCs w:val="21"/>
                    </w:rPr>
                  </w:pPr>
                </w:p>
              </w:tc>
              <w:tc>
                <w:tcPr>
                  <w:tcW w:w="833" w:type="pct"/>
                  <w:vAlign w:val="center"/>
                </w:tcPr>
                <w:p w14:paraId="69833A8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833" w:type="pct"/>
                  <w:vAlign w:val="center"/>
                </w:tcPr>
                <w:p w14:paraId="594897E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0.29</w:t>
                  </w:r>
                </w:p>
              </w:tc>
              <w:tc>
                <w:tcPr>
                  <w:tcW w:w="833" w:type="pct"/>
                  <w:vAlign w:val="center"/>
                </w:tcPr>
                <w:p w14:paraId="77BDD37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0.25</w:t>
                  </w:r>
                </w:p>
              </w:tc>
              <w:tc>
                <w:tcPr>
                  <w:tcW w:w="833" w:type="pct"/>
                  <w:vAlign w:val="center"/>
                </w:tcPr>
                <w:p w14:paraId="75AC38A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0.26</w:t>
                  </w:r>
                </w:p>
              </w:tc>
            </w:tr>
            <w:tr w14:paraId="7ADA6F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33" w:type="pct"/>
                  <w:vAlign w:val="center"/>
                </w:tcPr>
                <w:p w14:paraId="7965481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处理效率</w:t>
                  </w:r>
                </w:p>
              </w:tc>
              <w:tc>
                <w:tcPr>
                  <w:tcW w:w="833" w:type="pct"/>
                  <w:vMerge w:val="continue"/>
                  <w:vAlign w:val="center"/>
                </w:tcPr>
                <w:p w14:paraId="17BBD36F">
                  <w:pPr>
                    <w:adjustRightInd w:val="0"/>
                    <w:snapToGrid w:val="0"/>
                    <w:jc w:val="center"/>
                    <w:rPr>
                      <w:rFonts w:hint="default" w:ascii="Times New Roman" w:hAnsi="Times New Roman" w:eastAsia="宋体" w:cs="Times New Roman"/>
                      <w:color w:val="auto"/>
                      <w:sz w:val="21"/>
                      <w:szCs w:val="21"/>
                    </w:rPr>
                  </w:pPr>
                </w:p>
              </w:tc>
              <w:tc>
                <w:tcPr>
                  <w:tcW w:w="833" w:type="pct"/>
                  <w:vAlign w:val="center"/>
                </w:tcPr>
                <w:p w14:paraId="541941D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94.1</w:t>
                  </w:r>
                </w:p>
              </w:tc>
              <w:tc>
                <w:tcPr>
                  <w:tcW w:w="833" w:type="pct"/>
                  <w:vAlign w:val="center"/>
                </w:tcPr>
                <w:p w14:paraId="5085E13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91.7</w:t>
                  </w:r>
                </w:p>
              </w:tc>
              <w:tc>
                <w:tcPr>
                  <w:tcW w:w="833" w:type="pct"/>
                  <w:vAlign w:val="center"/>
                </w:tcPr>
                <w:p w14:paraId="1606529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93.9</w:t>
                  </w:r>
                </w:p>
              </w:tc>
              <w:tc>
                <w:tcPr>
                  <w:tcW w:w="833" w:type="pct"/>
                  <w:vAlign w:val="center"/>
                </w:tcPr>
                <w:p w14:paraId="3F1727A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93.4</w:t>
                  </w:r>
                </w:p>
              </w:tc>
            </w:tr>
          </w:tbl>
          <w:p w14:paraId="65EC24C7">
            <w:pPr>
              <w:keepNext w:val="0"/>
              <w:keepLines w:val="0"/>
              <w:pageBreakBefore w:val="0"/>
              <w:widowControl w:val="0"/>
              <w:tabs>
                <w:tab w:val="left" w:pos="840"/>
              </w:tabs>
              <w:kinsoku/>
              <w:wordWrap/>
              <w:overflowPunct/>
              <w:topLinePunct w:val="0"/>
              <w:autoSpaceDE/>
              <w:autoSpaceDN/>
              <w:bidi w:val="0"/>
              <w:adjustRightInd w:val="0"/>
              <w:snapToGrid w:val="0"/>
              <w:spacing w:before="157" w:beforeLines="50"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由上表可知，</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两级活性炭吸附装置</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对非甲烷总烃的去除效率平均在90%以上，故认为本项目两级活性炭吸附装置对非甲烷总烃去除效率以90%计算是可行的。</w:t>
            </w:r>
          </w:p>
          <w:p w14:paraId="20C11F16">
            <w:pPr>
              <w:pStyle w:val="26"/>
              <w:numPr>
                <w:ilvl w:val="0"/>
                <w:numId w:val="0"/>
              </w:numPr>
              <w:spacing w:after="0" w:line="360" w:lineRule="auto"/>
              <w:ind w:leftChars="200"/>
              <w:rPr>
                <w:b/>
                <w:bCs/>
                <w:color w:val="auto"/>
                <w:sz w:val="24"/>
                <w:szCs w:val="24"/>
              </w:rPr>
            </w:pPr>
            <w:r>
              <w:rPr>
                <w:rFonts w:hint="eastAsia"/>
                <w:b/>
                <w:bCs/>
                <w:color w:val="auto"/>
                <w:sz w:val="24"/>
                <w:szCs w:val="24"/>
                <w:lang w:val="en-US" w:eastAsia="zh-CN"/>
              </w:rPr>
              <w:t>B、</w:t>
            </w:r>
            <w:r>
              <w:rPr>
                <w:rFonts w:hint="eastAsia"/>
                <w:b/>
                <w:bCs/>
                <w:color w:val="auto"/>
                <w:sz w:val="24"/>
                <w:szCs w:val="24"/>
              </w:rPr>
              <w:t>三级</w:t>
            </w:r>
            <w:r>
              <w:rPr>
                <w:b/>
                <w:bCs/>
                <w:color w:val="auto"/>
                <w:sz w:val="24"/>
                <w:szCs w:val="24"/>
              </w:rPr>
              <w:t>静电油雾净化装置</w:t>
            </w:r>
          </w:p>
          <w:p w14:paraId="1755D072">
            <w:pPr>
              <w:pStyle w:val="26"/>
              <w:numPr>
                <w:ilvl w:val="0"/>
                <w:numId w:val="0"/>
              </w:numPr>
              <w:spacing w:after="0" w:line="360" w:lineRule="auto"/>
              <w:ind w:firstLine="480" w:firstLineChars="200"/>
              <w:rPr>
                <w:color w:val="auto"/>
              </w:rPr>
            </w:pPr>
            <w:r>
              <w:rPr>
                <w:color w:val="auto"/>
                <w:sz w:val="24"/>
                <w:szCs w:val="24"/>
              </w:rPr>
              <w:t>油</w:t>
            </w:r>
            <w:r>
              <w:rPr>
                <w:rFonts w:hint="eastAsia"/>
                <w:color w:val="auto"/>
                <w:sz w:val="24"/>
                <w:szCs w:val="24"/>
              </w:rPr>
              <w:t>雾（颗粒物）</w:t>
            </w:r>
            <w:r>
              <w:rPr>
                <w:color w:val="auto"/>
                <w:sz w:val="24"/>
                <w:szCs w:val="24"/>
              </w:rPr>
              <w:t>由风机吸入</w:t>
            </w:r>
            <w:r>
              <w:rPr>
                <w:rFonts w:hint="eastAsia"/>
                <w:color w:val="auto"/>
                <w:sz w:val="24"/>
                <w:szCs w:val="24"/>
              </w:rPr>
              <w:t>经水帘（废气温度高于70~80℃时自动开启，起到降温作用，产生的废水进入清洗水中循环使用。此装置开启频次低，本次环评对其水量不定量计算），进入</w:t>
            </w:r>
            <w:r>
              <w:rPr>
                <w:color w:val="auto"/>
                <w:sz w:val="24"/>
                <w:szCs w:val="24"/>
              </w:rPr>
              <w:t>静电式油</w:t>
            </w:r>
            <w:r>
              <w:rPr>
                <w:rFonts w:hint="eastAsia"/>
                <w:color w:val="auto"/>
                <w:sz w:val="24"/>
                <w:szCs w:val="24"/>
              </w:rPr>
              <w:t>雾</w:t>
            </w:r>
            <w:r>
              <w:rPr>
                <w:color w:val="auto"/>
                <w:sz w:val="24"/>
                <w:szCs w:val="24"/>
              </w:rPr>
              <w:t>净化</w:t>
            </w:r>
            <w:r>
              <w:rPr>
                <w:rFonts w:hint="eastAsia"/>
                <w:color w:val="auto"/>
                <w:sz w:val="24"/>
                <w:szCs w:val="24"/>
              </w:rPr>
              <w:t>装置。油雾</w:t>
            </w:r>
            <w:r>
              <w:rPr>
                <w:color w:val="auto"/>
                <w:sz w:val="24"/>
                <w:szCs w:val="24"/>
              </w:rPr>
              <w:t>中部分较大的油雾滴、油污颗粒在均流板上由于机械碰撞、阻留而被捕集。当气流进入高压静电场时，在高压电场的作用下，油烟气体电离，油雾荷电，大部分得以降解炭化；少部分微小油粒在吸附电场的电场力及气流作用下向电场的正负极板运动被收集在极板上并在自身重力的作用下流到集油盘，经</w:t>
            </w:r>
            <w:r>
              <w:rPr>
                <w:rFonts w:hint="eastAsia"/>
                <w:color w:val="auto"/>
                <w:sz w:val="24"/>
                <w:szCs w:val="24"/>
              </w:rPr>
              <w:t>排气筒</w:t>
            </w:r>
            <w:r>
              <w:rPr>
                <w:color w:val="auto"/>
                <w:sz w:val="24"/>
                <w:szCs w:val="24"/>
              </w:rPr>
              <w:t>排出，余下的微米级油雾被电场降解成二氧化碳和水，最终排出洁净空气；同时在高压发生器的作用下，电场内空气产生臭氧，除去了烟气中大部分的气味。净化效率高，油烟净化率高于90%，并能去除大部分气味。</w:t>
            </w:r>
          </w:p>
          <w:p w14:paraId="62668D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bidi="ar"/>
              </w:rPr>
            </w:pPr>
            <w:r>
              <w:rPr>
                <w:rFonts w:hint="eastAsia" w:ascii="Times New Roman" w:hAnsi="Times New Roman" w:eastAsia="宋体" w:cs="Times New Roman"/>
                <w:b w:val="0"/>
                <w:bCs w:val="0"/>
                <w:color w:val="auto"/>
                <w:sz w:val="24"/>
                <w:szCs w:val="24"/>
                <w:lang w:val="en-US" w:eastAsia="zh-CN" w:bidi="ar"/>
              </w:rPr>
              <w:t>参照《排放源统计调查产排污核算方法和系数手册》中33金属制品业中的热处理核算环节表中热处理工段-淬火/回火-末端治理技术，本项目废气处理使用的三级静电油雾净化装置属于其中的“油雾净化器”，处理效率高达90%，属于污染治理可行技术。</w:t>
            </w:r>
          </w:p>
          <w:p w14:paraId="74AD079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Times New Roman"/>
                <w:b/>
                <w:bCs/>
                <w:color w:val="auto"/>
                <w:sz w:val="24"/>
                <w:szCs w:val="24"/>
                <w:lang w:val="en-US" w:eastAsia="zh-CN" w:bidi="ar"/>
              </w:rPr>
            </w:pPr>
            <w:r>
              <w:rPr>
                <w:rFonts w:hint="eastAsia" w:ascii="Times New Roman" w:hAnsi="Times New Roman" w:eastAsia="宋体" w:cs="Times New Roman"/>
                <w:b/>
                <w:bCs/>
                <w:color w:val="auto"/>
                <w:sz w:val="24"/>
                <w:szCs w:val="24"/>
                <w:lang w:val="en-US" w:eastAsia="zh-CN" w:bidi="ar"/>
              </w:rPr>
              <w:t>C、脉冲布袋除尘</w:t>
            </w:r>
          </w:p>
          <w:p w14:paraId="4117D4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b w:val="0"/>
                <w:bCs w:val="0"/>
                <w:color w:val="auto"/>
                <w:sz w:val="24"/>
                <w:szCs w:val="24"/>
                <w:lang w:val="en-US" w:eastAsia="zh-CN" w:bidi="ar"/>
              </w:rPr>
            </w:pPr>
            <w:r>
              <w:rPr>
                <w:rFonts w:hint="eastAsia" w:ascii="Times New Roman" w:hAnsi="Times New Roman" w:eastAsia="宋体" w:cs="Times New Roman"/>
                <w:b w:val="0"/>
                <w:bCs w:val="0"/>
                <w:color w:val="auto"/>
                <w:sz w:val="24"/>
                <w:szCs w:val="24"/>
                <w:lang w:val="en-US" w:eastAsia="zh-CN" w:bidi="ar"/>
              </w:rPr>
              <w:t>脉冲布袋除尘器是一种干式除尘装置，它适用于捕集细小、干燥非纤维性粉尘； 脉冲布袋除尘器除尘效率高且稳定，本项目采用的除尘器效率可达99%以上，其附属设备少，投资省，性能稳定，适合生产全过程除尘。脉冲布袋除尘器工作原理：过滤式除尘器是指含尘烟气孔通过过滤层时，气流中的尘粒被滤层阻截捕集下来，从而实现气固分离的设备。过滤式除尘装置包括袋式除尘器和颗粒层除尘器，前者通常利用有机纤维或无机纤维织物做成的滤袋作过滤层，而后者的过滤层多采用不同粒径的颗粒，如石英砂、河砂、陶粒、矿渣等组成。伴着粉末重复的附着于滤袋外表面，粉末层不断的增厚，脉冲布袋除尘器阻力值也随之增大；脉冲阀膜片发出指令，左右淹没时脉冲阀开启，高压气包内的压缩空气通了，如果没有灰尘了或是小到一定的程度了，机械清灰工作会停止工作。袋式除尘器是一种干式滤尘装置。 滤料使用一段时间后，由于筛滤、碰撞、滞留、袋式除尘器扩散、静电等效应，滤袋表面积聚了一层粉尘，这层粉尘称为初层，在此以后的运动过程中，初层成了滤料的主要过滤层，依靠初层的作用，网孔较大的滤料也能获得较高的过滤效率。随着粉尘在滤料表面的积聚，除尘器的效率和阻力都相应的增加，当滤料两侧的压力差很大时，会把有些已附着在滤料上的细小尘粒挤压过去，使除尘器效率下降。另外，除尘器的阻力过高会使除尘系统的风量显著下降。因此，除尘器的阻力达到一定数值后，要及时清灰。清灰时不能破坏初层，以免效率下降。</w:t>
            </w:r>
          </w:p>
          <w:p w14:paraId="3663A81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bidi="ar"/>
              </w:rPr>
            </w:pPr>
            <w:r>
              <w:rPr>
                <w:rFonts w:hint="eastAsia" w:ascii="Times New Roman" w:hAnsi="Times New Roman" w:eastAsia="宋体" w:cs="Times New Roman"/>
                <w:b/>
                <w:bCs/>
                <w:color w:val="auto"/>
                <w:sz w:val="24"/>
                <w:szCs w:val="24"/>
                <w:lang w:val="en-US" w:eastAsia="zh-CN" w:bidi="ar"/>
              </w:rPr>
              <w:t>D、水喷淋塔</w:t>
            </w:r>
          </w:p>
          <w:p w14:paraId="2348305C">
            <w:pPr>
              <w:pStyle w:val="78"/>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auto"/>
                <w:sz w:val="24"/>
                <w:szCs w:val="24"/>
              </w:rPr>
            </w:pPr>
            <w:r>
              <w:rPr>
                <w:rFonts w:hint="eastAsia"/>
                <w:color w:val="auto"/>
                <w:sz w:val="24"/>
                <w:szCs w:val="24"/>
              </w:rPr>
              <w:t>废气通过引风机的动力进入</w:t>
            </w:r>
            <w:r>
              <w:rPr>
                <w:rFonts w:hint="eastAsia"/>
                <w:color w:val="auto"/>
                <w:sz w:val="24"/>
                <w:szCs w:val="24"/>
                <w:lang w:val="en-US" w:eastAsia="zh-CN"/>
              </w:rPr>
              <w:t>水喷淋塔</w:t>
            </w:r>
            <w:r>
              <w:rPr>
                <w:rFonts w:hint="eastAsia"/>
                <w:color w:val="auto"/>
                <w:sz w:val="24"/>
                <w:szCs w:val="24"/>
              </w:rPr>
              <w:t>，当有一定进气速度的</w:t>
            </w:r>
            <w:r>
              <w:rPr>
                <w:rFonts w:hint="eastAsia"/>
                <w:color w:val="auto"/>
                <w:sz w:val="24"/>
                <w:szCs w:val="24"/>
                <w:lang w:val="en-US" w:eastAsia="zh-CN"/>
              </w:rPr>
              <w:t>废气</w:t>
            </w:r>
            <w:r>
              <w:rPr>
                <w:rFonts w:hint="eastAsia"/>
                <w:color w:val="auto"/>
                <w:sz w:val="24"/>
                <w:szCs w:val="24"/>
              </w:rPr>
              <w:t>经进气管进入</w:t>
            </w:r>
            <w:r>
              <w:rPr>
                <w:rFonts w:hint="eastAsia"/>
                <w:color w:val="auto"/>
                <w:sz w:val="24"/>
                <w:szCs w:val="24"/>
                <w:lang w:val="en-US" w:eastAsia="zh-CN"/>
              </w:rPr>
              <w:t>水喷淋塔</w:t>
            </w:r>
            <w:r>
              <w:rPr>
                <w:rFonts w:hint="eastAsia"/>
                <w:color w:val="auto"/>
                <w:sz w:val="24"/>
                <w:szCs w:val="24"/>
              </w:rPr>
              <w:t>后，设备的冲击水层改变了气体的运动方向，而气体由于惯性则继续按原方向运动，其中大部分</w:t>
            </w:r>
            <w:r>
              <w:rPr>
                <w:rFonts w:hint="eastAsia"/>
                <w:color w:val="auto"/>
                <w:sz w:val="24"/>
                <w:szCs w:val="24"/>
                <w:lang w:val="en-US" w:eastAsia="zh-CN"/>
              </w:rPr>
              <w:t>废气</w:t>
            </w:r>
            <w:r>
              <w:rPr>
                <w:rFonts w:hint="eastAsia"/>
                <w:color w:val="auto"/>
                <w:sz w:val="24"/>
                <w:szCs w:val="24"/>
              </w:rPr>
              <w:t>与水</w:t>
            </w:r>
            <w:r>
              <w:rPr>
                <w:rFonts w:hint="eastAsia"/>
                <w:color w:val="auto"/>
                <w:sz w:val="24"/>
                <w:szCs w:val="24"/>
                <w:lang w:eastAsia="zh-CN"/>
              </w:rPr>
              <w:t>黏附</w:t>
            </w:r>
            <w:r>
              <w:rPr>
                <w:rFonts w:hint="eastAsia"/>
                <w:color w:val="auto"/>
                <w:sz w:val="24"/>
                <w:szCs w:val="24"/>
              </w:rPr>
              <w:t>后便停留在水中，在冲击水浴后，有一部分</w:t>
            </w:r>
            <w:r>
              <w:rPr>
                <w:rFonts w:hint="eastAsia"/>
                <w:color w:val="auto"/>
                <w:sz w:val="24"/>
                <w:szCs w:val="24"/>
                <w:lang w:val="en-US" w:eastAsia="zh-CN"/>
              </w:rPr>
              <w:t>废气</w:t>
            </w:r>
            <w:r>
              <w:rPr>
                <w:rFonts w:hint="eastAsia"/>
                <w:color w:val="auto"/>
                <w:sz w:val="24"/>
                <w:szCs w:val="24"/>
              </w:rPr>
              <w:t>随气体运动，与冲击水雾并与循环喷淋水相结合，在主体内进一步充分混合，起到中和作用。</w:t>
            </w:r>
          </w:p>
          <w:p w14:paraId="481C6C4F">
            <w:pPr>
              <w:pStyle w:val="78"/>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auto"/>
                <w:sz w:val="24"/>
                <w:szCs w:val="24"/>
              </w:rPr>
            </w:pPr>
            <w:r>
              <w:rPr>
                <w:rFonts w:hint="eastAsia"/>
                <w:color w:val="auto"/>
                <w:sz w:val="24"/>
                <w:szCs w:val="24"/>
              </w:rPr>
              <w:t>喷淋装置：吸收塔内部喷淋系统是由分配母管和喷嘴组成的网状系统。每台吸收塔再循环泵均对应一个喷淋层，喷淋层上安装空心锥喷嘴，其作用是将喷淋液雾化。喷淋液由吸收塔再循环泵输送到喷嘴，喷入废气中。喷淋系统能使水液在吸收塔内均匀分布，流经每个喷淋层的流量相等。</w:t>
            </w:r>
          </w:p>
          <w:p w14:paraId="2D36CD4C">
            <w:pPr>
              <w:pStyle w:val="78"/>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auto"/>
                <w:sz w:val="24"/>
                <w:szCs w:val="24"/>
              </w:rPr>
            </w:pPr>
            <w:r>
              <w:rPr>
                <w:rFonts w:hint="eastAsia"/>
                <w:color w:val="auto"/>
                <w:sz w:val="24"/>
                <w:szCs w:val="24"/>
              </w:rPr>
              <w:t>除雾装置：采用旋流板除雾器，用于分离废气携带的液滴。吸收塔除雾器布置于吸收塔顶部最后一个喷淋组件的上部。废气通过液喷淋层后，再连续流经除雾器时，液滴由于惯性作用，留在挡板上。</w:t>
            </w:r>
          </w:p>
          <w:p w14:paraId="626731F2">
            <w:pPr>
              <w:pStyle w:val="78"/>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color w:val="auto"/>
                <w:sz w:val="24"/>
                <w:szCs w:val="24"/>
              </w:rPr>
            </w:pPr>
            <w:r>
              <w:rPr>
                <w:rFonts w:hint="eastAsia"/>
                <w:color w:val="auto"/>
                <w:sz w:val="24"/>
                <w:szCs w:val="24"/>
              </w:rPr>
              <w:t>循环水泵：循环泵安装在喷淋塔旁，用于喷淋塔内的水循环。采用单流和单级卧式离心泵，包括泵壳、叶轮、轴、导轴承、出口弯头、底板、进口、密封盒、轴封、基础框架、地脚螺栓、机械密封和所有的管道、阀门和电机。工作原理是叶轮高速旋转时产生的离心力使流体获得能量，即流体通过叶轮后，压能和动能都能得到提高，从而能够被输送到高处或远处。同时在泵的入口形成负压，使流体能够被不断吸入。</w:t>
            </w:r>
          </w:p>
          <w:p w14:paraId="47DC1FAA">
            <w:pPr>
              <w:pStyle w:val="78"/>
              <w:keepNext w:val="0"/>
              <w:keepLines w:val="0"/>
              <w:pageBreakBefore w:val="0"/>
              <w:widowControl w:val="0"/>
              <w:kinsoku/>
              <w:wordWrap/>
              <w:overflowPunct/>
              <w:topLinePunct w:val="0"/>
              <w:autoSpaceDE/>
              <w:autoSpaceDN/>
              <w:bidi w:val="0"/>
              <w:adjustRightInd/>
              <w:snapToGrid/>
              <w:spacing w:line="360" w:lineRule="auto"/>
              <w:ind w:firstLine="420"/>
              <w:textAlignment w:val="auto"/>
              <w:rPr>
                <w:color w:val="auto"/>
                <w:sz w:val="24"/>
                <w:szCs w:val="24"/>
              </w:rPr>
            </w:pPr>
            <w:r>
              <w:rPr>
                <w:rFonts w:hint="eastAsia"/>
                <w:color w:val="auto"/>
                <w:sz w:val="24"/>
                <w:szCs w:val="24"/>
              </w:rPr>
              <w:t>喷淋塔主体：塔体采用PP材料制作，喷淋塔体采用热焊接工艺生产制作，强度高，质量可信，性能良好。</w:t>
            </w:r>
          </w:p>
          <w:p w14:paraId="2EBC38D4">
            <w:pPr>
              <w:pStyle w:val="79"/>
              <w:rPr>
                <w:rFonts w:hint="eastAsia"/>
                <w:color w:val="auto"/>
                <w:sz w:val="24"/>
                <w:szCs w:val="24"/>
              </w:rPr>
            </w:pPr>
          </w:p>
          <w:p w14:paraId="17AECE01">
            <w:pPr>
              <w:pStyle w:val="79"/>
              <w:rPr>
                <w:rFonts w:hint="eastAsia"/>
                <w:color w:val="auto"/>
                <w:sz w:val="24"/>
                <w:szCs w:val="24"/>
              </w:rPr>
            </w:pPr>
          </w:p>
          <w:p w14:paraId="6D942491">
            <w:pPr>
              <w:pStyle w:val="79"/>
              <w:rPr>
                <w:color w:val="auto"/>
                <w:sz w:val="24"/>
                <w:szCs w:val="24"/>
              </w:rPr>
            </w:pPr>
            <w:r>
              <w:rPr>
                <w:rFonts w:hint="eastAsia"/>
                <w:color w:val="auto"/>
                <w:sz w:val="24"/>
                <w:szCs w:val="24"/>
              </w:rPr>
              <w:t>表4-</w:t>
            </w:r>
            <w:r>
              <w:rPr>
                <w:rFonts w:hint="eastAsia"/>
                <w:color w:val="auto"/>
                <w:sz w:val="24"/>
                <w:szCs w:val="24"/>
                <w:lang w:val="en-US" w:eastAsia="zh-CN"/>
              </w:rPr>
              <w:t>3</w:t>
            </w:r>
            <w:r>
              <w:rPr>
                <w:rFonts w:hint="eastAsia"/>
                <w:color w:val="auto"/>
                <w:sz w:val="24"/>
                <w:szCs w:val="24"/>
              </w:rPr>
              <w:t xml:space="preserve">  </w:t>
            </w:r>
            <w:r>
              <w:rPr>
                <w:rFonts w:hint="eastAsia"/>
                <w:color w:val="auto"/>
                <w:sz w:val="24"/>
                <w:szCs w:val="24"/>
                <w:lang w:val="en-US" w:eastAsia="zh-CN"/>
              </w:rPr>
              <w:t>喷淋塔</w:t>
            </w:r>
            <w:r>
              <w:rPr>
                <w:rFonts w:hint="eastAsia"/>
                <w:color w:val="auto"/>
                <w:sz w:val="24"/>
                <w:szCs w:val="24"/>
              </w:rPr>
              <w:t>装置参数一览表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2200"/>
              <w:gridCol w:w="2443"/>
              <w:gridCol w:w="2580"/>
            </w:tblGrid>
            <w:tr w14:paraId="047E9E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noWrap w:val="0"/>
                  <w:vAlign w:val="center"/>
                </w:tcPr>
                <w:p w14:paraId="4B6DAB35">
                  <w:pPr>
                    <w:pStyle w:val="8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废气处理装置</w:t>
                  </w:r>
                </w:p>
              </w:tc>
              <w:tc>
                <w:tcPr>
                  <w:tcW w:w="1316" w:type="pct"/>
                  <w:noWrap w:val="0"/>
                  <w:vAlign w:val="center"/>
                </w:tcPr>
                <w:p w14:paraId="03819984">
                  <w:pPr>
                    <w:pStyle w:val="8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项目</w:t>
                  </w:r>
                </w:p>
              </w:tc>
              <w:tc>
                <w:tcPr>
                  <w:tcW w:w="1461" w:type="pct"/>
                  <w:noWrap w:val="0"/>
                  <w:vAlign w:val="center"/>
                </w:tcPr>
                <w:p w14:paraId="1C323B78">
                  <w:pPr>
                    <w:pStyle w:val="8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设备参数</w:t>
                  </w:r>
                </w:p>
              </w:tc>
              <w:tc>
                <w:tcPr>
                  <w:tcW w:w="1543" w:type="pct"/>
                  <w:noWrap w:val="0"/>
                  <w:vAlign w:val="center"/>
                </w:tcPr>
                <w:p w14:paraId="6F5B8B94">
                  <w:pPr>
                    <w:pStyle w:val="80"/>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5A706D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restart"/>
                  <w:noWrap w:val="0"/>
                  <w:vAlign w:val="center"/>
                </w:tcPr>
                <w:p w14:paraId="61702F5F">
                  <w:pPr>
                    <w:pStyle w:val="8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水</w:t>
                  </w:r>
                  <w:r>
                    <w:rPr>
                      <w:rFonts w:hint="default" w:ascii="Times New Roman" w:hAnsi="Times New Roman" w:cs="Times New Roman"/>
                      <w:color w:val="auto"/>
                      <w:sz w:val="21"/>
                      <w:szCs w:val="21"/>
                    </w:rPr>
                    <w:t>喷淋</w:t>
                  </w:r>
                  <w:r>
                    <w:rPr>
                      <w:rFonts w:hint="eastAsia" w:ascii="Times New Roman" w:hAnsi="Times New Roman" w:cs="Times New Roman"/>
                      <w:color w:val="auto"/>
                      <w:sz w:val="21"/>
                      <w:szCs w:val="21"/>
                      <w:lang w:val="en-US" w:eastAsia="zh-CN"/>
                    </w:rPr>
                    <w:t>塔</w:t>
                  </w:r>
                </w:p>
              </w:tc>
              <w:tc>
                <w:tcPr>
                  <w:tcW w:w="1316" w:type="pct"/>
                  <w:noWrap w:val="0"/>
                  <w:vAlign w:val="center"/>
                </w:tcPr>
                <w:p w14:paraId="6A748BE9">
                  <w:pPr>
                    <w:pStyle w:val="8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处理风量</w:t>
                  </w:r>
                </w:p>
              </w:tc>
              <w:tc>
                <w:tcPr>
                  <w:tcW w:w="1461" w:type="pct"/>
                  <w:noWrap w:val="0"/>
                  <w:vAlign w:val="center"/>
                </w:tcPr>
                <w:p w14:paraId="22C6B3E0">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Q=</w:t>
                  </w:r>
                  <w:r>
                    <w:rPr>
                      <w:rFonts w:hint="eastAsia"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00m</w:t>
                  </w:r>
                  <w:r>
                    <w:rPr>
                      <w:rFonts w:hint="default" w:ascii="Times New Roman" w:hAnsi="Times New Roman" w:cs="Times New Roman"/>
                      <w:color w:val="auto"/>
                      <w:sz w:val="21"/>
                      <w:szCs w:val="21"/>
                      <w:vertAlign w:val="superscript"/>
                    </w:rPr>
                    <w:t>3</w:t>
                  </w:r>
                  <w:r>
                    <w:rPr>
                      <w:rFonts w:hint="default" w:ascii="Times New Roman" w:hAnsi="Times New Roman" w:cs="Times New Roman"/>
                      <w:color w:val="auto"/>
                      <w:sz w:val="21"/>
                      <w:szCs w:val="21"/>
                    </w:rPr>
                    <w:t>/h</w:t>
                  </w:r>
                </w:p>
              </w:tc>
              <w:tc>
                <w:tcPr>
                  <w:tcW w:w="1543" w:type="pct"/>
                  <w:vMerge w:val="restart"/>
                  <w:noWrap w:val="0"/>
                  <w:vAlign w:val="center"/>
                </w:tcPr>
                <w:p w14:paraId="2C8ABED2">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设计吸风管道流速为10.5~11m/s左右，设备内流速是0.7m/s，停留时间是6.5S</w:t>
                  </w:r>
                </w:p>
              </w:tc>
            </w:tr>
            <w:tr w14:paraId="0E405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noWrap w:val="0"/>
                  <w:vAlign w:val="center"/>
                </w:tcPr>
                <w:p w14:paraId="0B3FD46E">
                  <w:pPr>
                    <w:pStyle w:val="80"/>
                    <w:rPr>
                      <w:rFonts w:hint="default" w:ascii="Times New Roman" w:hAnsi="Times New Roman" w:cs="Times New Roman"/>
                      <w:color w:val="auto"/>
                      <w:sz w:val="21"/>
                      <w:szCs w:val="21"/>
                    </w:rPr>
                  </w:pPr>
                </w:p>
              </w:tc>
              <w:tc>
                <w:tcPr>
                  <w:tcW w:w="1316" w:type="pct"/>
                  <w:noWrap w:val="0"/>
                  <w:vAlign w:val="center"/>
                </w:tcPr>
                <w:p w14:paraId="7C602C86">
                  <w:pPr>
                    <w:pStyle w:val="8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尺寸</w:t>
                  </w:r>
                </w:p>
              </w:tc>
              <w:tc>
                <w:tcPr>
                  <w:tcW w:w="1461" w:type="pct"/>
                  <w:noWrap w:val="0"/>
                  <w:vAlign w:val="center"/>
                </w:tcPr>
                <w:p w14:paraId="58FB6C0F">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DN1200*4500mm</w:t>
                  </w:r>
                </w:p>
              </w:tc>
              <w:tc>
                <w:tcPr>
                  <w:tcW w:w="1543" w:type="pct"/>
                  <w:vMerge w:val="continue"/>
                  <w:noWrap w:val="0"/>
                  <w:vAlign w:val="center"/>
                </w:tcPr>
                <w:p w14:paraId="1012C569">
                  <w:pPr>
                    <w:widowControl/>
                    <w:jc w:val="center"/>
                    <w:textAlignment w:val="center"/>
                    <w:rPr>
                      <w:rFonts w:hint="default" w:ascii="Times New Roman" w:hAnsi="Times New Roman" w:cs="Times New Roman"/>
                      <w:color w:val="auto"/>
                      <w:kern w:val="0"/>
                      <w:sz w:val="21"/>
                      <w:szCs w:val="21"/>
                      <w:lang w:bidi="ar"/>
                    </w:rPr>
                  </w:pPr>
                </w:p>
              </w:tc>
            </w:tr>
            <w:tr w14:paraId="2BB76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noWrap w:val="0"/>
                  <w:vAlign w:val="center"/>
                </w:tcPr>
                <w:p w14:paraId="18FB6D67">
                  <w:pPr>
                    <w:pStyle w:val="80"/>
                    <w:rPr>
                      <w:rFonts w:hint="default" w:ascii="Times New Roman" w:hAnsi="Times New Roman" w:cs="Times New Roman"/>
                      <w:color w:val="auto"/>
                      <w:sz w:val="21"/>
                      <w:szCs w:val="21"/>
                    </w:rPr>
                  </w:pPr>
                </w:p>
              </w:tc>
              <w:tc>
                <w:tcPr>
                  <w:tcW w:w="1316" w:type="pct"/>
                  <w:noWrap w:val="0"/>
                  <w:vAlign w:val="center"/>
                </w:tcPr>
                <w:p w14:paraId="4BE207D9">
                  <w:pPr>
                    <w:pStyle w:val="8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材质</w:t>
                  </w:r>
                </w:p>
              </w:tc>
              <w:tc>
                <w:tcPr>
                  <w:tcW w:w="1461" w:type="pct"/>
                  <w:noWrap w:val="0"/>
                  <w:vAlign w:val="center"/>
                </w:tcPr>
                <w:p w14:paraId="05C5FDD7">
                  <w:pPr>
                    <w:widowControl/>
                    <w:jc w:val="center"/>
                    <w:textAlignment w:val="center"/>
                    <w:rPr>
                      <w:rFonts w:hint="default" w:ascii="Times New Roman" w:hAnsi="Times New Roman" w:eastAsia="宋体" w:cs="Times New Roman"/>
                      <w:color w:val="auto"/>
                      <w:kern w:val="0"/>
                      <w:sz w:val="21"/>
                      <w:szCs w:val="21"/>
                      <w:lang w:eastAsia="zh-CN" w:bidi="ar"/>
                    </w:rPr>
                  </w:pPr>
                  <w:r>
                    <w:rPr>
                      <w:rFonts w:hint="default" w:ascii="Times New Roman" w:hAnsi="Times New Roman" w:cs="Times New Roman"/>
                      <w:color w:val="auto"/>
                      <w:kern w:val="0"/>
                      <w:sz w:val="21"/>
                      <w:szCs w:val="21"/>
                      <w:lang w:val="en-US" w:eastAsia="zh-CN" w:bidi="ar"/>
                    </w:rPr>
                    <w:t>PP</w:t>
                  </w:r>
                </w:p>
              </w:tc>
              <w:tc>
                <w:tcPr>
                  <w:tcW w:w="1543" w:type="pct"/>
                  <w:vMerge w:val="continue"/>
                  <w:noWrap w:val="0"/>
                  <w:vAlign w:val="center"/>
                </w:tcPr>
                <w:p w14:paraId="45E26664">
                  <w:pPr>
                    <w:widowControl/>
                    <w:jc w:val="center"/>
                    <w:textAlignment w:val="center"/>
                    <w:rPr>
                      <w:rFonts w:hint="default" w:ascii="Times New Roman" w:hAnsi="Times New Roman" w:cs="Times New Roman"/>
                      <w:color w:val="auto"/>
                      <w:kern w:val="0"/>
                      <w:sz w:val="21"/>
                      <w:szCs w:val="21"/>
                      <w:lang w:bidi="ar"/>
                    </w:rPr>
                  </w:pPr>
                </w:p>
              </w:tc>
            </w:tr>
            <w:tr w14:paraId="598834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noWrap w:val="0"/>
                  <w:vAlign w:val="center"/>
                </w:tcPr>
                <w:p w14:paraId="56FB41CB">
                  <w:pPr>
                    <w:pStyle w:val="80"/>
                    <w:rPr>
                      <w:rFonts w:hint="default" w:ascii="Times New Roman" w:hAnsi="Times New Roman" w:cs="Times New Roman"/>
                      <w:color w:val="auto"/>
                      <w:sz w:val="21"/>
                      <w:szCs w:val="21"/>
                    </w:rPr>
                  </w:pPr>
                </w:p>
              </w:tc>
              <w:tc>
                <w:tcPr>
                  <w:tcW w:w="1316" w:type="pct"/>
                  <w:noWrap w:val="0"/>
                  <w:vAlign w:val="center"/>
                </w:tcPr>
                <w:p w14:paraId="4DB10B6C">
                  <w:pPr>
                    <w:pStyle w:val="8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配套设备</w:t>
                  </w:r>
                </w:p>
              </w:tc>
              <w:tc>
                <w:tcPr>
                  <w:tcW w:w="1461" w:type="pct"/>
                  <w:noWrap w:val="0"/>
                  <w:vAlign w:val="center"/>
                </w:tcPr>
                <w:p w14:paraId="265DDAC5">
                  <w:pPr>
                    <w:widowControl/>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喷淋泵1台</w:t>
                  </w:r>
                </w:p>
              </w:tc>
              <w:tc>
                <w:tcPr>
                  <w:tcW w:w="1543" w:type="pct"/>
                  <w:vMerge w:val="continue"/>
                  <w:noWrap w:val="0"/>
                  <w:vAlign w:val="center"/>
                </w:tcPr>
                <w:p w14:paraId="48A5EA37">
                  <w:pPr>
                    <w:widowControl/>
                    <w:jc w:val="center"/>
                    <w:textAlignment w:val="center"/>
                    <w:rPr>
                      <w:rFonts w:hint="default" w:ascii="Times New Roman" w:hAnsi="Times New Roman" w:cs="Times New Roman"/>
                      <w:color w:val="auto"/>
                      <w:kern w:val="0"/>
                      <w:sz w:val="21"/>
                      <w:szCs w:val="21"/>
                      <w:lang w:bidi="ar"/>
                    </w:rPr>
                  </w:pPr>
                </w:p>
              </w:tc>
            </w:tr>
            <w:tr w14:paraId="5805E4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8" w:type="pct"/>
                  <w:vMerge w:val="continue"/>
                  <w:noWrap w:val="0"/>
                  <w:vAlign w:val="center"/>
                </w:tcPr>
                <w:p w14:paraId="5972CF89">
                  <w:pPr>
                    <w:pStyle w:val="80"/>
                    <w:rPr>
                      <w:rFonts w:hint="default" w:ascii="Times New Roman" w:hAnsi="Times New Roman" w:cs="Times New Roman"/>
                      <w:color w:val="auto"/>
                      <w:sz w:val="21"/>
                      <w:szCs w:val="21"/>
                    </w:rPr>
                  </w:pPr>
                </w:p>
              </w:tc>
              <w:tc>
                <w:tcPr>
                  <w:tcW w:w="1316" w:type="pct"/>
                  <w:noWrap w:val="0"/>
                  <w:vAlign w:val="center"/>
                </w:tcPr>
                <w:p w14:paraId="7F87725A">
                  <w:pPr>
                    <w:pStyle w:val="8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净化效率</w:t>
                  </w:r>
                </w:p>
              </w:tc>
              <w:tc>
                <w:tcPr>
                  <w:tcW w:w="1461" w:type="pct"/>
                  <w:noWrap w:val="0"/>
                  <w:vAlign w:val="center"/>
                </w:tcPr>
                <w:p w14:paraId="325C2DEC">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85%</w:t>
                  </w:r>
                </w:p>
              </w:tc>
              <w:tc>
                <w:tcPr>
                  <w:tcW w:w="1543" w:type="pct"/>
                  <w:vMerge w:val="continue"/>
                  <w:noWrap w:val="0"/>
                  <w:vAlign w:val="center"/>
                </w:tcPr>
                <w:p w14:paraId="615E78C1">
                  <w:pPr>
                    <w:widowControl/>
                    <w:jc w:val="center"/>
                    <w:textAlignment w:val="center"/>
                    <w:rPr>
                      <w:rFonts w:hint="default" w:ascii="Times New Roman" w:hAnsi="Times New Roman" w:cs="Times New Roman"/>
                      <w:color w:val="auto"/>
                      <w:kern w:val="0"/>
                      <w:sz w:val="21"/>
                      <w:szCs w:val="21"/>
                      <w:lang w:bidi="ar"/>
                    </w:rPr>
                  </w:pPr>
                </w:p>
              </w:tc>
            </w:tr>
          </w:tbl>
          <w:p w14:paraId="2C4F673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lang w:val="en-US" w:eastAsia="zh-CN" w:bidi="ar"/>
              </w:rPr>
            </w:pPr>
            <w:r>
              <w:rPr>
                <w:rFonts w:hint="default" w:ascii="Times New Roman" w:hAnsi="Times New Roman" w:eastAsia="宋体" w:cs="Times New Roman"/>
                <w:b/>
                <w:bCs/>
                <w:color w:val="auto"/>
                <w:sz w:val="24"/>
                <w:szCs w:val="24"/>
                <w:lang w:val="en-US" w:eastAsia="zh-CN" w:bidi="ar"/>
              </w:rPr>
              <w:t>④废气处理措施技术可行性分析</w:t>
            </w:r>
          </w:p>
          <w:p w14:paraId="18FC79F3">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rPr>
              <w:t>参照《排污许可证申请与核发技术规范 铁路、船舶、航空航天和其他运输设备制造业》</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HJ1124-2020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附录C，</w:t>
            </w:r>
            <w:r>
              <w:rPr>
                <w:rFonts w:hint="eastAsia" w:ascii="Times New Roman" w:hAnsi="Times New Roman" w:eastAsia="宋体" w:cs="Times New Roman"/>
                <w:color w:val="auto"/>
                <w:sz w:val="24"/>
                <w:lang w:val="en-US" w:eastAsia="zh-CN"/>
              </w:rPr>
              <w:t>清洗废气采用二级活性炭吸附装置、</w:t>
            </w:r>
            <w:r>
              <w:rPr>
                <w:rFonts w:hint="default" w:ascii="Times New Roman" w:hAnsi="Times New Roman" w:eastAsia="宋体" w:cs="Times New Roman"/>
                <w:color w:val="auto"/>
                <w:sz w:val="24"/>
                <w:szCs w:val="32"/>
                <w:lang w:val="en-US" w:eastAsia="zh-CN"/>
              </w:rPr>
              <w:t>淬火</w:t>
            </w:r>
            <w:r>
              <w:rPr>
                <w:rFonts w:hint="default" w:ascii="Times New Roman" w:hAnsi="Times New Roman" w:eastAsia="宋体" w:cs="Times New Roman"/>
                <w:color w:val="auto"/>
                <w:sz w:val="24"/>
              </w:rPr>
              <w:t>油雾采用静电过滤</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喷砂废气采用袋式除尘均</w:t>
            </w:r>
            <w:r>
              <w:rPr>
                <w:rFonts w:hint="default" w:ascii="Times New Roman" w:hAnsi="Times New Roman" w:eastAsia="宋体" w:cs="Times New Roman"/>
                <w:color w:val="auto"/>
                <w:sz w:val="24"/>
              </w:rPr>
              <w:t>为可行技术</w:t>
            </w:r>
            <w:r>
              <w:rPr>
                <w:rFonts w:hint="eastAsia" w:ascii="Times New Roman" w:hAnsi="Times New Roman" w:eastAsia="宋体" w:cs="Times New Roman"/>
                <w:color w:val="auto"/>
                <w:sz w:val="24"/>
                <w:lang w:eastAsia="zh-CN"/>
              </w:rPr>
              <w:t>。</w:t>
            </w:r>
          </w:p>
          <w:p w14:paraId="4B60B73D">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⑤排气筒设置可行性分析</w:t>
            </w:r>
          </w:p>
          <w:p w14:paraId="44718D83">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color w:val="auto"/>
                <w:sz w:val="24"/>
              </w:rPr>
              <w:t>高度合理性分析</w:t>
            </w:r>
            <w:r>
              <w:rPr>
                <w:rFonts w:hint="default" w:ascii="Times New Roman" w:hAnsi="Times New Roman" w:eastAsia="宋体" w:cs="Times New Roman"/>
                <w:bCs/>
                <w:color w:val="auto"/>
                <w:sz w:val="24"/>
              </w:rPr>
              <w:t>：</w:t>
            </w:r>
            <w:r>
              <w:rPr>
                <w:rFonts w:hint="eastAsia" w:ascii="Times New Roman" w:hAnsi="Times New Roman" w:eastAsia="宋体" w:cs="Times New Roman"/>
                <w:color w:val="auto"/>
                <w:sz w:val="24"/>
                <w:szCs w:val="24"/>
                <w:lang w:val="en-US" w:eastAsia="zh-CN"/>
              </w:rPr>
              <w:t>清洗</w:t>
            </w:r>
            <w:r>
              <w:rPr>
                <w:rFonts w:hint="default" w:ascii="Times New Roman" w:hAnsi="Times New Roman" w:eastAsia="宋体" w:cs="Times New Roman"/>
                <w:color w:val="auto"/>
                <w:sz w:val="24"/>
                <w:szCs w:val="24"/>
                <w:lang w:val="en-US" w:eastAsia="zh-CN"/>
              </w:rPr>
              <w:t>工序废气经集气罩+二级活性炭吸附装置+20m高排气筒DA001排放，</w:t>
            </w:r>
            <w:r>
              <w:rPr>
                <w:rFonts w:hint="eastAsia" w:ascii="Times New Roman" w:hAnsi="Times New Roman" w:eastAsia="宋体" w:cs="Times New Roman"/>
                <w:color w:val="auto"/>
                <w:sz w:val="24"/>
                <w:szCs w:val="24"/>
                <w:lang w:val="en-US" w:eastAsia="zh-CN"/>
              </w:rPr>
              <w:t>淬火</w:t>
            </w:r>
            <w:r>
              <w:rPr>
                <w:rFonts w:hint="default" w:ascii="Times New Roman" w:hAnsi="Times New Roman" w:eastAsia="宋体" w:cs="Times New Roman"/>
                <w:color w:val="auto"/>
                <w:sz w:val="24"/>
                <w:szCs w:val="24"/>
                <w:lang w:val="en-US" w:eastAsia="zh-CN"/>
              </w:rPr>
              <w:t>工序废气经</w:t>
            </w:r>
            <w:r>
              <w:rPr>
                <w:rFonts w:hint="default" w:ascii="Times New Roman" w:hAnsi="Times New Roman" w:eastAsia="宋体" w:cs="Times New Roman"/>
                <w:color w:val="auto"/>
                <w:sz w:val="24"/>
                <w:szCs w:val="24"/>
                <w:lang w:val="en-US" w:eastAsia="zh-CN" w:bidi="ar"/>
              </w:rPr>
              <w:t>集气</w:t>
            </w:r>
            <w:r>
              <w:rPr>
                <w:rFonts w:hint="eastAsia" w:ascii="Times New Roman" w:hAnsi="Times New Roman" w:eastAsia="宋体" w:cs="Times New Roman"/>
                <w:color w:val="auto"/>
                <w:sz w:val="24"/>
                <w:szCs w:val="24"/>
                <w:lang w:val="en-US" w:eastAsia="zh-CN" w:bidi="ar"/>
              </w:rPr>
              <w:t>罩</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bidi="ar"/>
              </w:rPr>
              <w:t>三级静电油雾净化装置</w:t>
            </w:r>
            <w:r>
              <w:rPr>
                <w:rFonts w:hint="default" w:ascii="Times New Roman" w:hAnsi="Times New Roman" w:eastAsia="宋体" w:cs="Times New Roman"/>
                <w:color w:val="auto"/>
                <w:sz w:val="24"/>
                <w:szCs w:val="24"/>
                <w:lang w:val="en-US" w:eastAsia="zh-CN"/>
              </w:rPr>
              <w:t>+20m高排气筒DA002排放</w:t>
            </w:r>
            <w:r>
              <w:rPr>
                <w:rFonts w:hint="default" w:ascii="Times New Roman" w:hAnsi="Times New Roman" w:eastAsia="宋体" w:cs="Times New Roman"/>
                <w:bCs/>
                <w:color w:val="auto"/>
                <w:sz w:val="24"/>
              </w:rPr>
              <w:t>，</w:t>
            </w:r>
            <w:r>
              <w:rPr>
                <w:rFonts w:hint="eastAsia" w:ascii="Times New Roman" w:hAnsi="Times New Roman" w:eastAsia="宋体" w:cs="Times New Roman"/>
                <w:color w:val="auto"/>
                <w:sz w:val="24"/>
                <w:szCs w:val="24"/>
                <w:lang w:val="en-US" w:eastAsia="zh-CN"/>
              </w:rPr>
              <w:t>氮化</w:t>
            </w:r>
            <w:r>
              <w:rPr>
                <w:rFonts w:hint="default" w:ascii="Times New Roman" w:hAnsi="Times New Roman" w:eastAsia="宋体" w:cs="Times New Roman"/>
                <w:color w:val="auto"/>
                <w:sz w:val="24"/>
                <w:szCs w:val="24"/>
                <w:lang w:val="en-US" w:eastAsia="zh-CN"/>
              </w:rPr>
              <w:t>工序废气经</w:t>
            </w:r>
            <w:r>
              <w:rPr>
                <w:rFonts w:hint="default" w:ascii="Times New Roman" w:hAnsi="Times New Roman" w:eastAsia="宋体" w:cs="Times New Roman"/>
                <w:color w:val="auto"/>
                <w:sz w:val="24"/>
                <w:szCs w:val="24"/>
                <w:lang w:val="en-US" w:eastAsia="zh-CN" w:bidi="ar"/>
              </w:rPr>
              <w:t>集气</w:t>
            </w:r>
            <w:r>
              <w:rPr>
                <w:rFonts w:hint="eastAsia" w:ascii="Times New Roman" w:hAnsi="Times New Roman" w:eastAsia="宋体" w:cs="Times New Roman"/>
                <w:color w:val="auto"/>
                <w:sz w:val="24"/>
                <w:szCs w:val="24"/>
                <w:lang w:val="en-US" w:eastAsia="zh-CN" w:bidi="ar"/>
              </w:rPr>
              <w:t>罩</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bidi="ar"/>
              </w:rPr>
              <w:t>水喷淋塔</w:t>
            </w:r>
            <w:r>
              <w:rPr>
                <w:rFonts w:hint="default" w:ascii="Times New Roman" w:hAnsi="Times New Roman" w:eastAsia="宋体" w:cs="Times New Roman"/>
                <w:color w:val="auto"/>
                <w:sz w:val="24"/>
                <w:szCs w:val="24"/>
                <w:lang w:val="en-US" w:eastAsia="zh-CN"/>
              </w:rPr>
              <w:t>+20m高排气筒DA00</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排放</w:t>
            </w:r>
            <w:r>
              <w:rPr>
                <w:rFonts w:hint="default" w:ascii="Times New Roman" w:hAnsi="Times New Roman" w:eastAsia="宋体" w:cs="Times New Roman"/>
                <w:bCs/>
                <w:color w:val="auto"/>
                <w:sz w:val="24"/>
              </w:rPr>
              <w:t>，</w:t>
            </w:r>
            <w:r>
              <w:rPr>
                <w:rFonts w:hint="eastAsia" w:ascii="Times New Roman" w:hAnsi="Times New Roman" w:eastAsia="宋体" w:cs="Times New Roman"/>
                <w:bCs/>
                <w:color w:val="auto"/>
                <w:sz w:val="24"/>
                <w:lang w:val="en-US" w:eastAsia="zh-CN"/>
              </w:rPr>
              <w:t>喷砂工序废气经设备自带除尘设施处理后通过</w:t>
            </w:r>
            <w:r>
              <w:rPr>
                <w:rFonts w:hint="default" w:ascii="Times New Roman" w:hAnsi="Times New Roman" w:eastAsia="宋体" w:cs="Times New Roman"/>
                <w:color w:val="auto"/>
                <w:sz w:val="24"/>
                <w:szCs w:val="24"/>
                <w:lang w:val="en-US" w:eastAsia="zh-CN"/>
              </w:rPr>
              <w:t>20m高排气筒DA00</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lang w:val="en-US" w:eastAsia="zh-CN"/>
              </w:rPr>
              <w:t>排放</w:t>
            </w:r>
            <w:r>
              <w:rPr>
                <w:rFonts w:hint="default" w:ascii="Times New Roman" w:hAnsi="Times New Roman" w:eastAsia="宋体" w:cs="Times New Roman"/>
                <w:bCs/>
                <w:color w:val="auto"/>
                <w:sz w:val="24"/>
              </w:rPr>
              <w:t>，</w:t>
            </w:r>
            <w:r>
              <w:rPr>
                <w:rFonts w:hint="default" w:ascii="Times New Roman" w:hAnsi="Times New Roman" w:eastAsia="宋体" w:cs="Times New Roman"/>
                <w:color w:val="auto"/>
                <w:sz w:val="24"/>
              </w:rPr>
              <w:t>在生产过程中，为了保证废气的有效排出，其排气筒出口设置在屋顶，车间厂房高度</w:t>
            </w:r>
            <w:r>
              <w:rPr>
                <w:rFonts w:hint="eastAsia" w:ascii="Times New Roman" w:hAnsi="Times New Roman" w:eastAsia="宋体" w:cs="Times New Roman"/>
                <w:color w:val="auto"/>
                <w:sz w:val="24"/>
                <w:lang w:val="en-US" w:eastAsia="zh-CN"/>
              </w:rPr>
              <w:t>约15</w:t>
            </w:r>
            <w:r>
              <w:rPr>
                <w:rFonts w:hint="default" w:ascii="Times New Roman" w:hAnsi="Times New Roman" w:eastAsia="宋体" w:cs="Times New Roman"/>
                <w:color w:val="auto"/>
                <w:sz w:val="24"/>
              </w:rPr>
              <w:t>米，周边100米内无更高建筑，故排气筒设置2</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米高是可行的。</w:t>
            </w:r>
          </w:p>
          <w:p w14:paraId="3B793A1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排气筒数量可行性分析：</w:t>
            </w:r>
            <w:r>
              <w:rPr>
                <w:rFonts w:hint="default" w:ascii="Times New Roman" w:hAnsi="Times New Roman" w:eastAsia="宋体" w:cs="Times New Roman"/>
                <w:color w:val="auto"/>
                <w:sz w:val="24"/>
              </w:rPr>
              <w:t>本项目排气筒的设置数量严格按照工段分布来布置，为减少排气筒数量，项目按照</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分类收集处理，统一排放</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的原则布置排气筒。根据废气排放污染因子和设备布置情况，共设置</w:t>
            </w:r>
            <w:r>
              <w:rPr>
                <w:rFonts w:hint="eastAsia" w:ascii="Times New Roman" w:hAnsi="Times New Roman" w:eastAsia="宋体" w:cs="Times New Roman"/>
                <w:color w:val="auto"/>
                <w:sz w:val="24"/>
                <w:lang w:val="en-US" w:eastAsia="zh-CN"/>
              </w:rPr>
              <w:t>4</w:t>
            </w:r>
            <w:r>
              <w:rPr>
                <w:rFonts w:hint="default" w:ascii="Times New Roman" w:hAnsi="Times New Roman" w:eastAsia="宋体" w:cs="Times New Roman"/>
                <w:color w:val="auto"/>
                <w:sz w:val="24"/>
                <w:lang w:val="en-US" w:eastAsia="zh-CN"/>
              </w:rPr>
              <w:t>根</w:t>
            </w:r>
            <w:r>
              <w:rPr>
                <w:rFonts w:hint="default" w:ascii="Times New Roman" w:hAnsi="Times New Roman" w:eastAsia="宋体" w:cs="Times New Roman"/>
                <w:color w:val="auto"/>
                <w:sz w:val="24"/>
              </w:rPr>
              <w:t>排气筒。排气筒布置时综合考虑了废气合并处理的适宜性、风量大小、排气筒检修对生产装置带来的影响大小等因素。</w:t>
            </w:r>
          </w:p>
          <w:p w14:paraId="5EDE9D6F">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rPr>
              <w:t>出口风速合理性分析：</w:t>
            </w:r>
            <w:r>
              <w:rPr>
                <w:rFonts w:hint="default" w:ascii="Times New Roman" w:hAnsi="Times New Roman" w:eastAsia="宋体" w:cs="Times New Roman"/>
                <w:color w:val="auto"/>
                <w:sz w:val="24"/>
              </w:rPr>
              <w:t>根据《大气污染治理工程技术导则》（HJ2000-2010），</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排气筒的出口直径应根据出口流速确定，流速宜取15m/s左右。当采用钢管烟囱且高度较高时或烟气量较大时，可适当提高出口流速至20～25m/s</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清洗工序</w:t>
            </w:r>
            <w:r>
              <w:rPr>
                <w:rFonts w:hint="default" w:ascii="Times New Roman" w:hAnsi="Times New Roman" w:eastAsia="宋体" w:cs="Times New Roman"/>
                <w:color w:val="auto"/>
                <w:sz w:val="24"/>
              </w:rPr>
              <w:t>废气</w:t>
            </w:r>
            <w:r>
              <w:rPr>
                <w:rFonts w:hint="default" w:ascii="Times New Roman" w:hAnsi="Times New Roman" w:eastAsia="宋体" w:cs="Times New Roman"/>
                <w:color w:val="auto"/>
                <w:sz w:val="24"/>
                <w:lang w:val="en-US" w:eastAsia="zh-CN"/>
              </w:rPr>
              <w:t>排口流速约为</w:t>
            </w:r>
            <w:r>
              <w:rPr>
                <w:rFonts w:hint="eastAsia" w:ascii="Times New Roman" w:hAnsi="Times New Roman" w:eastAsia="宋体" w:cs="Times New Roman"/>
                <w:color w:val="auto"/>
                <w:sz w:val="24"/>
                <w:lang w:val="en-US" w:eastAsia="zh-CN"/>
              </w:rPr>
              <w:t>15.25</w:t>
            </w:r>
            <w:r>
              <w:rPr>
                <w:rFonts w:hint="default" w:ascii="Times New Roman" w:hAnsi="Times New Roman" w:eastAsia="宋体" w:cs="Times New Roman"/>
                <w:color w:val="auto"/>
                <w:sz w:val="24"/>
              </w:rPr>
              <w:t>m/s</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bCs/>
                <w:color w:val="auto"/>
                <w:sz w:val="24"/>
                <w:lang w:val="en-US" w:eastAsia="zh-CN"/>
              </w:rPr>
              <w:t>喷砂</w:t>
            </w:r>
            <w:r>
              <w:rPr>
                <w:rFonts w:hint="default" w:ascii="Times New Roman" w:hAnsi="Times New Roman" w:eastAsia="宋体" w:cs="Times New Roman"/>
                <w:color w:val="auto"/>
                <w:sz w:val="24"/>
                <w:lang w:val="en-US" w:eastAsia="zh-CN"/>
              </w:rPr>
              <w:t>工序废气排口流速约为</w:t>
            </w:r>
            <w:r>
              <w:rPr>
                <w:rFonts w:hint="eastAsia" w:ascii="Times New Roman" w:hAnsi="Times New Roman" w:eastAsia="宋体" w:cs="Times New Roman"/>
                <w:color w:val="auto"/>
                <w:sz w:val="24"/>
                <w:lang w:val="en-US" w:eastAsia="zh-CN"/>
              </w:rPr>
              <w:t>9.49</w:t>
            </w:r>
            <w:r>
              <w:rPr>
                <w:rFonts w:hint="default" w:ascii="Times New Roman" w:hAnsi="Times New Roman" w:eastAsia="宋体" w:cs="Times New Roman"/>
                <w:color w:val="auto"/>
                <w:sz w:val="24"/>
              </w:rPr>
              <w:t>m/s，</w:t>
            </w:r>
            <w:r>
              <w:rPr>
                <w:rFonts w:hint="eastAsia" w:ascii="Times New Roman" w:hAnsi="Times New Roman" w:eastAsia="宋体" w:cs="Times New Roman"/>
                <w:bCs/>
                <w:color w:val="auto"/>
                <w:sz w:val="24"/>
                <w:lang w:val="en-US" w:eastAsia="zh-CN"/>
              </w:rPr>
              <w:t>氮化</w:t>
            </w:r>
            <w:r>
              <w:rPr>
                <w:rFonts w:hint="default" w:ascii="Times New Roman" w:hAnsi="Times New Roman" w:eastAsia="宋体" w:cs="Times New Roman"/>
                <w:color w:val="auto"/>
                <w:sz w:val="24"/>
                <w:lang w:val="en-US" w:eastAsia="zh-CN"/>
              </w:rPr>
              <w:t>工序废气排口流速约为</w:t>
            </w:r>
            <w:r>
              <w:rPr>
                <w:rFonts w:hint="eastAsia" w:ascii="Times New Roman" w:hAnsi="Times New Roman" w:eastAsia="宋体" w:cs="Times New Roman"/>
                <w:color w:val="auto"/>
                <w:sz w:val="24"/>
                <w:lang w:val="en-US" w:eastAsia="zh-CN"/>
              </w:rPr>
              <w:t>12.87</w:t>
            </w:r>
            <w:r>
              <w:rPr>
                <w:rFonts w:hint="default" w:ascii="Times New Roman" w:hAnsi="Times New Roman" w:eastAsia="宋体" w:cs="Times New Roman"/>
                <w:color w:val="auto"/>
                <w:sz w:val="24"/>
              </w:rPr>
              <w:t>m/s，</w:t>
            </w:r>
            <w:r>
              <w:rPr>
                <w:rFonts w:hint="eastAsia" w:ascii="Times New Roman" w:hAnsi="Times New Roman" w:eastAsia="宋体" w:cs="Times New Roman"/>
                <w:color w:val="auto"/>
                <w:sz w:val="24"/>
                <w:szCs w:val="24"/>
                <w:lang w:val="en-US" w:eastAsia="zh-CN"/>
              </w:rPr>
              <w:t>淬火</w:t>
            </w:r>
            <w:r>
              <w:rPr>
                <w:rFonts w:hint="default" w:ascii="Times New Roman" w:hAnsi="Times New Roman" w:eastAsia="宋体" w:cs="Times New Roman"/>
                <w:color w:val="auto"/>
                <w:sz w:val="24"/>
                <w:lang w:val="en-US" w:eastAsia="zh-CN"/>
              </w:rPr>
              <w:t>工序废气排口流速约为1</w:t>
            </w:r>
            <w:r>
              <w:rPr>
                <w:rFonts w:hint="eastAsia" w:ascii="Times New Roman" w:hAnsi="Times New Roman" w:eastAsia="宋体" w:cs="Times New Roman"/>
                <w:color w:val="auto"/>
                <w:sz w:val="24"/>
                <w:lang w:val="en-US" w:eastAsia="zh-CN"/>
              </w:rPr>
              <w:t>4.23</w:t>
            </w:r>
            <w:r>
              <w:rPr>
                <w:rFonts w:hint="default" w:ascii="Times New Roman" w:hAnsi="Times New Roman" w:eastAsia="宋体" w:cs="Times New Roman"/>
                <w:color w:val="auto"/>
                <w:sz w:val="24"/>
              </w:rPr>
              <w:t>m/s，可满足要求。从以上的分析可知，本项目的排气筒设置是合理可行的。</w:t>
            </w:r>
          </w:p>
          <w:p w14:paraId="0C7C7F9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（2）无组织废气</w:t>
            </w:r>
          </w:p>
          <w:p w14:paraId="53A2B9A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本项目无组织废气为未捕集</w:t>
            </w:r>
            <w:r>
              <w:rPr>
                <w:rFonts w:hint="eastAsia" w:ascii="Times New Roman" w:hAnsi="Times New Roman" w:eastAsia="宋体" w:cs="Times New Roman"/>
                <w:color w:val="auto"/>
                <w:sz w:val="24"/>
                <w:lang w:val="en-US" w:eastAsia="zh-CN"/>
              </w:rPr>
              <w:t>清洗工序、油淬回火工序、氮化工序和喷砂工序</w:t>
            </w:r>
            <w:r>
              <w:rPr>
                <w:rFonts w:hint="default" w:ascii="Times New Roman" w:hAnsi="Times New Roman" w:eastAsia="宋体" w:cs="Times New Roman"/>
                <w:color w:val="auto"/>
                <w:sz w:val="24"/>
                <w:lang w:val="en-US" w:eastAsia="zh-CN"/>
              </w:rPr>
              <w:t>废气</w:t>
            </w:r>
            <w:r>
              <w:rPr>
                <w:rFonts w:hint="default" w:ascii="Times New Roman" w:hAnsi="Times New Roman" w:eastAsia="宋体" w:cs="Times New Roman"/>
                <w:color w:val="auto"/>
                <w:sz w:val="24"/>
              </w:rPr>
              <w:t>，为减小无组织废气对周围环境的影响，建议通过采取以下措施进行控制：</w:t>
            </w:r>
          </w:p>
          <w:p w14:paraId="29833CF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根据《大气污染控制工程》（高等教育出版社）中集气罩、吸风管的设计规范合理设置集气罩、吸风管的尺寸和安装位置，尽可能提高废气的收集效率，减小无组织排放源强；同时加强管理，尽量减少有机废气的散逸。</w:t>
            </w:r>
          </w:p>
          <w:p w14:paraId="7CE1A7F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②建设单位每天生产结束后环保设备风机仍继续运行2小时以上以提高废气捕集效率，减小无组织排放源强。</w:t>
            </w:r>
          </w:p>
          <w:p w14:paraId="6789C4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③加强生产管理，增加员工意识，规范操作，采取预防为主、清洁生产的方针，采用先进生产工艺，选用先进的生产设备和清洁原料。</w:t>
            </w:r>
          </w:p>
          <w:p w14:paraId="7675E35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④定期对废气处理设施进行维护、保养和清理，保证其处理效率。</w:t>
            </w:r>
          </w:p>
          <w:p w14:paraId="63A6D4E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⑤加强车间通排风，以降低无组织排放废气的影响；</w:t>
            </w:r>
          </w:p>
          <w:p w14:paraId="5B9CA13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rPr>
            </w:pPr>
            <w:r>
              <w:rPr>
                <w:rFonts w:hint="default" w:ascii="Times New Roman" w:hAnsi="Times New Roman" w:eastAsia="宋体" w:cs="Times New Roman"/>
                <w:color w:val="auto"/>
                <w:sz w:val="24"/>
              </w:rPr>
              <w:t>综上所述，本项目无组织废气污染防治措施可行，可达标排放。</w:t>
            </w:r>
          </w:p>
        </w:tc>
      </w:tr>
    </w:tbl>
    <w:p w14:paraId="1A806538">
      <w:pPr>
        <w:numPr>
          <w:ilvl w:val="0"/>
          <w:numId w:val="0"/>
        </w:num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7"/>
        <w:tblW w:w="502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459"/>
      </w:tblGrid>
      <w:tr w14:paraId="4B4C17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29" w:hRule="atLeast"/>
          <w:jc w:val="center"/>
        </w:trPr>
        <w:tc>
          <w:tcPr>
            <w:tcW w:w="252" w:type="pct"/>
            <w:tcMar>
              <w:left w:w="28" w:type="dxa"/>
              <w:right w:w="28" w:type="dxa"/>
            </w:tcMar>
            <w:vAlign w:val="center"/>
          </w:tcPr>
          <w:p w14:paraId="1377714E">
            <w:pPr>
              <w:adjustRightInd w:val="0"/>
              <w:snapToGrid w:val="0"/>
              <w:jc w:val="center"/>
              <w:rPr>
                <w:rFonts w:hint="default" w:ascii="Times New Roman" w:hAnsi="Times New Roman" w:eastAsia="宋体" w:cs="Times New Roman"/>
                <w:bCs/>
                <w:color w:val="auto"/>
                <w:sz w:val="28"/>
                <w:szCs w:val="28"/>
              </w:rPr>
            </w:pPr>
            <w:r>
              <w:rPr>
                <w:rFonts w:hint="default" w:ascii="Times New Roman" w:hAnsi="Times New Roman" w:eastAsia="宋体" w:cs="Times New Roman"/>
                <w:b/>
                <w:bCs w:val="0"/>
                <w:color w:val="auto"/>
                <w:sz w:val="24"/>
                <w:szCs w:val="24"/>
              </w:rPr>
              <w:t>运营期环境影响和保护措施</w:t>
            </w:r>
          </w:p>
        </w:tc>
        <w:tc>
          <w:tcPr>
            <w:tcW w:w="4747" w:type="pct"/>
            <w:vAlign w:val="center"/>
          </w:tcPr>
          <w:p w14:paraId="3F172EF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val="0"/>
                <w:color w:val="auto"/>
                <w:sz w:val="28"/>
                <w:szCs w:val="28"/>
              </w:rPr>
            </w:pPr>
            <w:r>
              <w:rPr>
                <w:rFonts w:hint="default" w:ascii="Times New Roman" w:hAnsi="Times New Roman" w:eastAsia="宋体" w:cs="Times New Roman"/>
                <w:b/>
                <w:bCs w:val="0"/>
                <w:color w:val="auto"/>
                <w:sz w:val="24"/>
                <w:lang w:val="en-US" w:eastAsia="zh-CN"/>
              </w:rPr>
              <w:t>3.</w:t>
            </w:r>
            <w:r>
              <w:rPr>
                <w:rFonts w:hint="default" w:ascii="Times New Roman" w:hAnsi="Times New Roman" w:eastAsia="宋体" w:cs="Times New Roman"/>
                <w:b/>
                <w:bCs w:val="0"/>
                <w:color w:val="auto"/>
                <w:sz w:val="24"/>
              </w:rPr>
              <w:t>达标情况分析</w:t>
            </w:r>
          </w:p>
          <w:p w14:paraId="13B8CA38">
            <w:pPr>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（1）有组织废气</w:t>
            </w:r>
          </w:p>
          <w:p w14:paraId="1A79585B">
            <w:pPr>
              <w:adjustRightInd w:val="0"/>
              <w:snapToGrid w:val="0"/>
              <w:spacing w:line="360" w:lineRule="auto"/>
              <w:ind w:firstLine="480" w:firstLineChars="200"/>
              <w:jc w:val="left"/>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本项目有组织废气排放情况见下表4-</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rPr>
              <w:t>：</w:t>
            </w:r>
          </w:p>
          <w:p w14:paraId="102E8621">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4</w:t>
            </w:r>
            <w:r>
              <w:rPr>
                <w:rFonts w:hint="default" w:ascii="Times New Roman" w:hAnsi="Times New Roman" w:eastAsia="宋体" w:cs="Times New Roman"/>
                <w:b/>
                <w:bCs/>
                <w:color w:val="auto"/>
                <w:sz w:val="24"/>
              </w:rPr>
              <w:t xml:space="preserve">  本项目有组织废气排放源强表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450"/>
              <w:gridCol w:w="816"/>
              <w:gridCol w:w="1055"/>
              <w:gridCol w:w="742"/>
              <w:gridCol w:w="904"/>
              <w:gridCol w:w="880"/>
              <w:gridCol w:w="1421"/>
              <w:gridCol w:w="604"/>
              <w:gridCol w:w="803"/>
              <w:gridCol w:w="766"/>
              <w:gridCol w:w="814"/>
              <w:gridCol w:w="710"/>
              <w:gridCol w:w="570"/>
              <w:gridCol w:w="1039"/>
              <w:gridCol w:w="669"/>
            </w:tblGrid>
            <w:tr w14:paraId="4E8BD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47" w:type="pct"/>
                  <w:vMerge w:val="restart"/>
                  <w:vAlign w:val="center"/>
                </w:tcPr>
                <w:p w14:paraId="38050BB8">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污染源名称及编号</w:t>
                  </w:r>
                </w:p>
              </w:tc>
              <w:tc>
                <w:tcPr>
                  <w:tcW w:w="308" w:type="pct"/>
                  <w:vMerge w:val="restart"/>
                  <w:vAlign w:val="center"/>
                </w:tcPr>
                <w:p w14:paraId="2D3AF59F">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废气量m</w:t>
                  </w:r>
                  <w:r>
                    <w:rPr>
                      <w:rFonts w:hint="default" w:ascii="Times New Roman" w:hAnsi="Times New Roman" w:eastAsia="宋体" w:cs="Times New Roman"/>
                      <w:b/>
                      <w:bCs/>
                      <w:color w:val="auto"/>
                      <w:sz w:val="21"/>
                      <w:szCs w:val="21"/>
                      <w:vertAlign w:val="superscript"/>
                    </w:rPr>
                    <w:t>3</w:t>
                  </w:r>
                  <w:r>
                    <w:rPr>
                      <w:rFonts w:hint="default" w:ascii="Times New Roman" w:hAnsi="Times New Roman" w:eastAsia="宋体" w:cs="Times New Roman"/>
                      <w:b/>
                      <w:bCs/>
                      <w:color w:val="auto"/>
                      <w:sz w:val="21"/>
                      <w:szCs w:val="21"/>
                    </w:rPr>
                    <w:t>/h</w:t>
                  </w:r>
                </w:p>
              </w:tc>
              <w:tc>
                <w:tcPr>
                  <w:tcW w:w="398" w:type="pct"/>
                  <w:vMerge w:val="restart"/>
                  <w:vAlign w:val="center"/>
                </w:tcPr>
                <w:p w14:paraId="50D87564">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p w14:paraId="28350475">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953" w:type="pct"/>
                  <w:gridSpan w:val="3"/>
                  <w:vAlign w:val="center"/>
                </w:tcPr>
                <w:p w14:paraId="0E359D62">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产生情况</w:t>
                  </w:r>
                </w:p>
              </w:tc>
              <w:tc>
                <w:tcPr>
                  <w:tcW w:w="536" w:type="pct"/>
                  <w:vMerge w:val="restart"/>
                  <w:vAlign w:val="center"/>
                </w:tcPr>
                <w:p w14:paraId="77327B6E">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治理措施</w:t>
                  </w:r>
                </w:p>
              </w:tc>
              <w:tc>
                <w:tcPr>
                  <w:tcW w:w="228" w:type="pct"/>
                  <w:vMerge w:val="restart"/>
                  <w:vAlign w:val="center"/>
                </w:tcPr>
                <w:p w14:paraId="18A77555">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去除率％</w:t>
                  </w:r>
                </w:p>
              </w:tc>
              <w:tc>
                <w:tcPr>
                  <w:tcW w:w="899" w:type="pct"/>
                  <w:gridSpan w:val="3"/>
                  <w:vAlign w:val="center"/>
                </w:tcPr>
                <w:p w14:paraId="659A57B6">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排放情况</w:t>
                  </w:r>
                </w:p>
              </w:tc>
              <w:tc>
                <w:tcPr>
                  <w:tcW w:w="483" w:type="pct"/>
                  <w:gridSpan w:val="2"/>
                  <w:vAlign w:val="center"/>
                </w:tcPr>
                <w:p w14:paraId="3F3E8B65">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执行标准</w:t>
                  </w:r>
                </w:p>
              </w:tc>
              <w:tc>
                <w:tcPr>
                  <w:tcW w:w="392" w:type="pct"/>
                  <w:vMerge w:val="restart"/>
                  <w:vAlign w:val="center"/>
                </w:tcPr>
                <w:p w14:paraId="473BF66C">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排气筒名称及编号</w:t>
                  </w:r>
                </w:p>
              </w:tc>
              <w:tc>
                <w:tcPr>
                  <w:tcW w:w="252" w:type="pct"/>
                  <w:vMerge w:val="restart"/>
                  <w:vAlign w:val="center"/>
                </w:tcPr>
                <w:p w14:paraId="7FC839D0">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w:t>
                  </w:r>
                </w:p>
                <w:p w14:paraId="0901DEA7">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方式</w:t>
                  </w:r>
                </w:p>
              </w:tc>
            </w:tr>
            <w:tr w14:paraId="4F5C41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54" w:hRule="atLeast"/>
                <w:jc w:val="center"/>
              </w:trPr>
              <w:tc>
                <w:tcPr>
                  <w:tcW w:w="547" w:type="pct"/>
                  <w:vMerge w:val="continue"/>
                  <w:vAlign w:val="center"/>
                </w:tcPr>
                <w:p w14:paraId="63465977">
                  <w:pPr>
                    <w:contextualSpacing/>
                    <w:rPr>
                      <w:rFonts w:hint="default" w:ascii="Times New Roman" w:hAnsi="Times New Roman" w:eastAsia="宋体" w:cs="Times New Roman"/>
                      <w:b/>
                      <w:bCs/>
                      <w:color w:val="auto"/>
                      <w:sz w:val="21"/>
                      <w:szCs w:val="21"/>
                    </w:rPr>
                  </w:pPr>
                </w:p>
              </w:tc>
              <w:tc>
                <w:tcPr>
                  <w:tcW w:w="308" w:type="pct"/>
                  <w:vMerge w:val="continue"/>
                  <w:vAlign w:val="center"/>
                </w:tcPr>
                <w:p w14:paraId="7C65D202">
                  <w:pPr>
                    <w:contextualSpacing/>
                    <w:rPr>
                      <w:rFonts w:hint="default" w:ascii="Times New Roman" w:hAnsi="Times New Roman" w:eastAsia="宋体" w:cs="Times New Roman"/>
                      <w:b/>
                      <w:bCs/>
                      <w:color w:val="auto"/>
                      <w:sz w:val="21"/>
                      <w:szCs w:val="21"/>
                    </w:rPr>
                  </w:pPr>
                </w:p>
              </w:tc>
              <w:tc>
                <w:tcPr>
                  <w:tcW w:w="398" w:type="pct"/>
                  <w:vMerge w:val="continue"/>
                  <w:vAlign w:val="center"/>
                </w:tcPr>
                <w:p w14:paraId="2DBB5D55">
                  <w:pPr>
                    <w:contextualSpacing/>
                    <w:rPr>
                      <w:rFonts w:hint="default" w:ascii="Times New Roman" w:hAnsi="Times New Roman" w:eastAsia="宋体" w:cs="Times New Roman"/>
                      <w:b/>
                      <w:bCs/>
                      <w:color w:val="auto"/>
                      <w:sz w:val="21"/>
                      <w:szCs w:val="21"/>
                    </w:rPr>
                  </w:pPr>
                </w:p>
              </w:tc>
              <w:tc>
                <w:tcPr>
                  <w:tcW w:w="280" w:type="pct"/>
                  <w:tcMar>
                    <w:top w:w="0" w:type="dxa"/>
                    <w:left w:w="28" w:type="dxa"/>
                    <w:bottom w:w="0" w:type="dxa"/>
                    <w:right w:w="28" w:type="dxa"/>
                  </w:tcMar>
                  <w:vAlign w:val="center"/>
                </w:tcPr>
                <w:p w14:paraId="56DBC3A7">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产生量t/a</w:t>
                  </w:r>
                </w:p>
              </w:tc>
              <w:tc>
                <w:tcPr>
                  <w:tcW w:w="341" w:type="pct"/>
                  <w:tcMar>
                    <w:top w:w="0" w:type="dxa"/>
                    <w:left w:w="28" w:type="dxa"/>
                    <w:bottom w:w="0" w:type="dxa"/>
                    <w:right w:w="28" w:type="dxa"/>
                  </w:tcMar>
                  <w:vAlign w:val="center"/>
                </w:tcPr>
                <w:p w14:paraId="7E33ABE8">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332" w:type="pct"/>
                  <w:vAlign w:val="center"/>
                </w:tcPr>
                <w:p w14:paraId="65F0A02A">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536" w:type="pct"/>
                  <w:vMerge w:val="continue"/>
                  <w:vAlign w:val="center"/>
                </w:tcPr>
                <w:p w14:paraId="5E80D31D">
                  <w:pPr>
                    <w:contextualSpacing/>
                    <w:rPr>
                      <w:rFonts w:hint="default" w:ascii="Times New Roman" w:hAnsi="Times New Roman" w:eastAsia="宋体" w:cs="Times New Roman"/>
                      <w:b/>
                      <w:bCs/>
                      <w:color w:val="auto"/>
                      <w:sz w:val="21"/>
                      <w:szCs w:val="21"/>
                    </w:rPr>
                  </w:pPr>
                </w:p>
              </w:tc>
              <w:tc>
                <w:tcPr>
                  <w:tcW w:w="228" w:type="pct"/>
                  <w:vMerge w:val="continue"/>
                  <w:vAlign w:val="center"/>
                </w:tcPr>
                <w:p w14:paraId="1E656052">
                  <w:pPr>
                    <w:contextualSpacing/>
                    <w:rPr>
                      <w:rFonts w:hint="default" w:ascii="Times New Roman" w:hAnsi="Times New Roman" w:eastAsia="宋体" w:cs="Times New Roman"/>
                      <w:b/>
                      <w:bCs/>
                      <w:color w:val="auto"/>
                      <w:sz w:val="21"/>
                      <w:szCs w:val="21"/>
                    </w:rPr>
                  </w:pPr>
                </w:p>
              </w:tc>
              <w:tc>
                <w:tcPr>
                  <w:tcW w:w="303" w:type="pct"/>
                  <w:vAlign w:val="center"/>
                </w:tcPr>
                <w:p w14:paraId="08E35621">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排放量t/a</w:t>
                  </w:r>
                </w:p>
              </w:tc>
              <w:tc>
                <w:tcPr>
                  <w:tcW w:w="289" w:type="pct"/>
                  <w:vAlign w:val="center"/>
                </w:tcPr>
                <w:p w14:paraId="21B7D3D6">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307" w:type="pct"/>
                  <w:vAlign w:val="center"/>
                </w:tcPr>
                <w:p w14:paraId="0995AAD2">
                  <w:pPr>
                    <w:contextualSpacing/>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268" w:type="pct"/>
                  <w:vAlign w:val="center"/>
                </w:tcPr>
                <w:p w14:paraId="0B575B6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浓度mg/m</w:t>
                  </w:r>
                  <w:r>
                    <w:rPr>
                      <w:rFonts w:hint="default" w:ascii="Times New Roman" w:hAnsi="Times New Roman" w:eastAsia="宋体" w:cs="Times New Roman"/>
                      <w:b/>
                      <w:bCs/>
                      <w:color w:val="auto"/>
                      <w:sz w:val="21"/>
                      <w:szCs w:val="21"/>
                      <w:vertAlign w:val="superscript"/>
                    </w:rPr>
                    <w:t>3</w:t>
                  </w:r>
                </w:p>
              </w:tc>
              <w:tc>
                <w:tcPr>
                  <w:tcW w:w="215" w:type="pct"/>
                  <w:vAlign w:val="center"/>
                </w:tcPr>
                <w:p w14:paraId="787BD6A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速率kg/h</w:t>
                  </w:r>
                </w:p>
              </w:tc>
              <w:tc>
                <w:tcPr>
                  <w:tcW w:w="392" w:type="pct"/>
                  <w:vMerge w:val="continue"/>
                  <w:vAlign w:val="center"/>
                </w:tcPr>
                <w:p w14:paraId="3D8A79BF">
                  <w:pPr>
                    <w:jc w:val="center"/>
                    <w:rPr>
                      <w:rFonts w:hint="default" w:ascii="Times New Roman" w:hAnsi="Times New Roman" w:eastAsia="宋体" w:cs="Times New Roman"/>
                      <w:b/>
                      <w:bCs/>
                      <w:color w:val="auto"/>
                      <w:sz w:val="21"/>
                      <w:szCs w:val="21"/>
                    </w:rPr>
                  </w:pPr>
                </w:p>
              </w:tc>
              <w:tc>
                <w:tcPr>
                  <w:tcW w:w="252" w:type="pct"/>
                  <w:vMerge w:val="continue"/>
                  <w:vAlign w:val="center"/>
                </w:tcPr>
                <w:p w14:paraId="3AA1BDAB">
                  <w:pPr>
                    <w:contextualSpacing/>
                    <w:rPr>
                      <w:rFonts w:hint="default" w:ascii="Times New Roman" w:hAnsi="Times New Roman" w:eastAsia="宋体" w:cs="Times New Roman"/>
                      <w:b/>
                      <w:bCs/>
                      <w:color w:val="auto"/>
                      <w:sz w:val="21"/>
                      <w:szCs w:val="21"/>
                    </w:rPr>
                  </w:pPr>
                </w:p>
              </w:tc>
            </w:tr>
            <w:tr w14:paraId="22CD2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547" w:type="pct"/>
                  <w:vAlign w:val="center"/>
                </w:tcPr>
                <w:p w14:paraId="73DF2940">
                  <w:pPr>
                    <w:contextualSpacing/>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清洗</w:t>
                  </w:r>
                  <w:r>
                    <w:rPr>
                      <w:rFonts w:hint="default" w:ascii="Times New Roman" w:hAnsi="Times New Roman" w:eastAsia="宋体" w:cs="Times New Roman"/>
                      <w:color w:val="auto"/>
                      <w:sz w:val="21"/>
                      <w:szCs w:val="21"/>
                      <w:lang w:val="en-US" w:eastAsia="zh-CN"/>
                    </w:rPr>
                    <w:t>工序</w:t>
                  </w:r>
                </w:p>
              </w:tc>
              <w:tc>
                <w:tcPr>
                  <w:tcW w:w="308" w:type="pct"/>
                  <w:vAlign w:val="center"/>
                </w:tcPr>
                <w:p w14:paraId="6BDAAF5C">
                  <w:pPr>
                    <w:contextualSpacing/>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20</w:t>
                  </w:r>
                  <w:r>
                    <w:rPr>
                      <w:rFonts w:hint="default" w:ascii="Times New Roman" w:hAnsi="Times New Roman" w:eastAsia="宋体" w:cs="Times New Roman"/>
                      <w:color w:val="auto"/>
                      <w:sz w:val="21"/>
                      <w:szCs w:val="21"/>
                      <w:lang w:val="en-US" w:eastAsia="zh-CN"/>
                    </w:rPr>
                    <w:t>00</w:t>
                  </w:r>
                </w:p>
              </w:tc>
              <w:tc>
                <w:tcPr>
                  <w:tcW w:w="398" w:type="pct"/>
                  <w:vAlign w:val="center"/>
                </w:tcPr>
                <w:p w14:paraId="4047CCC7">
                  <w:pPr>
                    <w:contextualSpacing/>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非甲烷总烃</w:t>
                  </w:r>
                </w:p>
              </w:tc>
              <w:tc>
                <w:tcPr>
                  <w:tcW w:w="280" w:type="pct"/>
                  <w:tcMar>
                    <w:top w:w="0" w:type="dxa"/>
                    <w:left w:w="28" w:type="dxa"/>
                    <w:bottom w:w="0" w:type="dxa"/>
                    <w:right w:w="28" w:type="dxa"/>
                  </w:tcMar>
                  <w:vAlign w:val="center"/>
                </w:tcPr>
                <w:p w14:paraId="1D410F1E">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0.272</w:t>
                  </w:r>
                </w:p>
              </w:tc>
              <w:tc>
                <w:tcPr>
                  <w:tcW w:w="341" w:type="pct"/>
                  <w:tcMar>
                    <w:top w:w="0" w:type="dxa"/>
                    <w:left w:w="28" w:type="dxa"/>
                    <w:bottom w:w="0" w:type="dxa"/>
                    <w:right w:w="28" w:type="dxa"/>
                  </w:tcMar>
                  <w:vAlign w:val="center"/>
                </w:tcPr>
                <w:p w14:paraId="5D0B5F10">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0.057</w:t>
                  </w:r>
                </w:p>
              </w:tc>
              <w:tc>
                <w:tcPr>
                  <w:tcW w:w="332" w:type="pct"/>
                  <w:vAlign w:val="center"/>
                </w:tcPr>
                <w:p w14:paraId="75550316">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28.5</w:t>
                  </w:r>
                </w:p>
              </w:tc>
              <w:tc>
                <w:tcPr>
                  <w:tcW w:w="536" w:type="pct"/>
                  <w:vAlign w:val="center"/>
                </w:tcPr>
                <w:p w14:paraId="5C6CC18C">
                  <w:pPr>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二级活性炭吸附装置</w:t>
                  </w:r>
                </w:p>
              </w:tc>
              <w:tc>
                <w:tcPr>
                  <w:tcW w:w="228" w:type="pct"/>
                  <w:vAlign w:val="center"/>
                </w:tcPr>
                <w:p w14:paraId="07A44FC7">
                  <w:pPr>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90</w:t>
                  </w:r>
                </w:p>
              </w:tc>
              <w:tc>
                <w:tcPr>
                  <w:tcW w:w="303" w:type="pct"/>
                  <w:vAlign w:val="center"/>
                </w:tcPr>
                <w:p w14:paraId="5E817024">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0.027</w:t>
                  </w:r>
                </w:p>
              </w:tc>
              <w:tc>
                <w:tcPr>
                  <w:tcW w:w="289" w:type="pct"/>
                  <w:vAlign w:val="center"/>
                </w:tcPr>
                <w:p w14:paraId="68BB16A3">
                  <w:pPr>
                    <w:contextualSpacing/>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0.006</w:t>
                  </w:r>
                </w:p>
              </w:tc>
              <w:tc>
                <w:tcPr>
                  <w:tcW w:w="307" w:type="pct"/>
                  <w:vAlign w:val="center"/>
                </w:tcPr>
                <w:p w14:paraId="14D96468">
                  <w:pPr>
                    <w:contextualSpacing/>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w:t>
                  </w:r>
                </w:p>
              </w:tc>
              <w:tc>
                <w:tcPr>
                  <w:tcW w:w="268" w:type="pct"/>
                  <w:vAlign w:val="center"/>
                </w:tcPr>
                <w:p w14:paraId="4138DFFF">
                  <w:pPr>
                    <w:widowControl/>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60</w:t>
                  </w:r>
                </w:p>
              </w:tc>
              <w:tc>
                <w:tcPr>
                  <w:tcW w:w="215" w:type="pct"/>
                  <w:vAlign w:val="center"/>
                </w:tcPr>
                <w:p w14:paraId="395E862E">
                  <w:pPr>
                    <w:widowControl/>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392" w:type="pct"/>
                  <w:vAlign w:val="center"/>
                </w:tcPr>
                <w:p w14:paraId="5C57B615">
                  <w:pPr>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m高排气筒DA00</w:t>
                  </w:r>
                  <w:r>
                    <w:rPr>
                      <w:rFonts w:hint="default" w:ascii="Times New Roman" w:hAnsi="Times New Roman" w:eastAsia="宋体" w:cs="Times New Roman"/>
                      <w:color w:val="auto"/>
                      <w:sz w:val="21"/>
                      <w:szCs w:val="21"/>
                      <w:lang w:val="en-US" w:eastAsia="zh-CN"/>
                    </w:rPr>
                    <w:t>1</w:t>
                  </w:r>
                </w:p>
              </w:tc>
              <w:tc>
                <w:tcPr>
                  <w:tcW w:w="252" w:type="pct"/>
                  <w:vAlign w:val="center"/>
                </w:tcPr>
                <w:p w14:paraId="793515B6">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48</w:t>
                  </w:r>
                  <w:r>
                    <w:rPr>
                      <w:rFonts w:hint="default" w:ascii="Times New Roman" w:hAnsi="Times New Roman" w:eastAsia="宋体" w:cs="Times New Roman"/>
                      <w:bCs/>
                      <w:color w:val="auto"/>
                      <w:sz w:val="21"/>
                      <w:szCs w:val="21"/>
                    </w:rPr>
                    <w:t>00h</w:t>
                  </w:r>
                </w:p>
              </w:tc>
            </w:tr>
            <w:tr w14:paraId="78978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547" w:type="pct"/>
                  <w:vAlign w:val="center"/>
                </w:tcPr>
                <w:p w14:paraId="424E8A89">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油淬、回火工序</w:t>
                  </w:r>
                </w:p>
              </w:tc>
              <w:tc>
                <w:tcPr>
                  <w:tcW w:w="308" w:type="pct"/>
                  <w:vAlign w:val="center"/>
                </w:tcPr>
                <w:p w14:paraId="10AB57E6">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000</w:t>
                  </w:r>
                </w:p>
              </w:tc>
              <w:tc>
                <w:tcPr>
                  <w:tcW w:w="398" w:type="pct"/>
                  <w:vAlign w:val="center"/>
                </w:tcPr>
                <w:p w14:paraId="2CE906DD">
                  <w:pPr>
                    <w:contextualSpacing/>
                    <w:jc w:val="center"/>
                    <w:rPr>
                      <w:rFonts w:hint="eastAsia" w:ascii="Times New Roman" w:hAnsi="Times New Roman" w:eastAsia="宋体" w:cs="Times New Roman"/>
                      <w:bCs/>
                      <w:color w:val="auto"/>
                      <w:sz w:val="21"/>
                      <w:szCs w:val="21"/>
                      <w:lang w:eastAsia="zh-CN"/>
                    </w:rPr>
                  </w:pPr>
                  <w:r>
                    <w:rPr>
                      <w:rFonts w:hint="eastAsia" w:ascii="Times New Roman" w:hAnsi="Times New Roman" w:eastAsia="宋体" w:cs="Times New Roman"/>
                      <w:bCs/>
                      <w:color w:val="auto"/>
                      <w:sz w:val="21"/>
                      <w:szCs w:val="21"/>
                      <w:lang w:val="en-US" w:eastAsia="zh-CN"/>
                    </w:rPr>
                    <w:t>颗粒物</w:t>
                  </w:r>
                </w:p>
              </w:tc>
              <w:tc>
                <w:tcPr>
                  <w:tcW w:w="280" w:type="pct"/>
                  <w:tcMar>
                    <w:top w:w="0" w:type="dxa"/>
                    <w:left w:w="28" w:type="dxa"/>
                    <w:bottom w:w="0" w:type="dxa"/>
                    <w:right w:w="28" w:type="dxa"/>
                  </w:tcMar>
                  <w:vAlign w:val="center"/>
                </w:tcPr>
                <w:p w14:paraId="042F2AE5">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0.9</w:t>
                  </w:r>
                </w:p>
              </w:tc>
              <w:tc>
                <w:tcPr>
                  <w:tcW w:w="341" w:type="pct"/>
                  <w:tcMar>
                    <w:top w:w="0" w:type="dxa"/>
                    <w:left w:w="28" w:type="dxa"/>
                    <w:bottom w:w="0" w:type="dxa"/>
                    <w:right w:w="28" w:type="dxa"/>
                  </w:tcMar>
                  <w:vAlign w:val="center"/>
                </w:tcPr>
                <w:p w14:paraId="23BDE983">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0.1875</w:t>
                  </w:r>
                </w:p>
              </w:tc>
              <w:tc>
                <w:tcPr>
                  <w:tcW w:w="332" w:type="pct"/>
                  <w:vAlign w:val="center"/>
                </w:tcPr>
                <w:p w14:paraId="49D793D5">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62.5</w:t>
                  </w:r>
                </w:p>
              </w:tc>
              <w:tc>
                <w:tcPr>
                  <w:tcW w:w="536" w:type="pct"/>
                  <w:vAlign w:val="center"/>
                </w:tcPr>
                <w:p w14:paraId="77775394">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三级静电油雾净化装置</w:t>
                  </w:r>
                </w:p>
              </w:tc>
              <w:tc>
                <w:tcPr>
                  <w:tcW w:w="228" w:type="pct"/>
                  <w:vAlign w:val="center"/>
                </w:tcPr>
                <w:p w14:paraId="0B9CB7A7">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303" w:type="pct"/>
                  <w:vAlign w:val="center"/>
                </w:tcPr>
                <w:p w14:paraId="6CBBB430">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0.09</w:t>
                  </w:r>
                </w:p>
              </w:tc>
              <w:tc>
                <w:tcPr>
                  <w:tcW w:w="289" w:type="pct"/>
                  <w:vAlign w:val="center"/>
                </w:tcPr>
                <w:p w14:paraId="43383CF3">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0.019</w:t>
                  </w:r>
                </w:p>
              </w:tc>
              <w:tc>
                <w:tcPr>
                  <w:tcW w:w="307" w:type="pct"/>
                  <w:vAlign w:val="center"/>
                </w:tcPr>
                <w:p w14:paraId="06A4E1B5">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6.333</w:t>
                  </w:r>
                </w:p>
              </w:tc>
              <w:tc>
                <w:tcPr>
                  <w:tcW w:w="268" w:type="pct"/>
                  <w:vAlign w:val="center"/>
                </w:tcPr>
                <w:p w14:paraId="0C9A3836">
                  <w:pPr>
                    <w:widowControl/>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仿宋" w:cs="Times New Roman"/>
                      <w:color w:val="auto"/>
                      <w:szCs w:val="22"/>
                    </w:rPr>
                    <w:t>20</w:t>
                  </w:r>
                </w:p>
              </w:tc>
              <w:tc>
                <w:tcPr>
                  <w:tcW w:w="215" w:type="pct"/>
                  <w:vAlign w:val="center"/>
                </w:tcPr>
                <w:p w14:paraId="277C71E9">
                  <w:pPr>
                    <w:widowControl/>
                    <w:adjustRightInd w:val="0"/>
                    <w:snapToGrid w:val="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color w:val="auto"/>
                      <w:sz w:val="21"/>
                      <w:szCs w:val="21"/>
                      <w:lang w:val="en-US" w:eastAsia="zh-CN"/>
                    </w:rPr>
                    <w:t>1</w:t>
                  </w:r>
                </w:p>
              </w:tc>
              <w:tc>
                <w:tcPr>
                  <w:tcW w:w="392" w:type="pct"/>
                  <w:vAlign w:val="center"/>
                </w:tcPr>
                <w:p w14:paraId="0388353B">
                  <w:pPr>
                    <w:contextualSpacing/>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m高排气筒DA00</w:t>
                  </w:r>
                  <w:r>
                    <w:rPr>
                      <w:rFonts w:hint="default" w:ascii="Times New Roman" w:hAnsi="Times New Roman" w:eastAsia="宋体" w:cs="Times New Roman"/>
                      <w:color w:val="auto"/>
                      <w:sz w:val="21"/>
                      <w:szCs w:val="21"/>
                      <w:lang w:val="en-US" w:eastAsia="zh-CN"/>
                    </w:rPr>
                    <w:t>2</w:t>
                  </w:r>
                </w:p>
              </w:tc>
              <w:tc>
                <w:tcPr>
                  <w:tcW w:w="252" w:type="pct"/>
                  <w:vAlign w:val="center"/>
                </w:tcPr>
                <w:p w14:paraId="5FFAB5FA">
                  <w:pPr>
                    <w:contextualSpacing/>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48</w:t>
                  </w:r>
                  <w:r>
                    <w:rPr>
                      <w:rFonts w:hint="default" w:ascii="Times New Roman" w:hAnsi="Times New Roman" w:eastAsia="宋体" w:cs="Times New Roman"/>
                      <w:bCs/>
                      <w:color w:val="auto"/>
                      <w:sz w:val="21"/>
                      <w:szCs w:val="21"/>
                    </w:rPr>
                    <w:t>00h</w:t>
                  </w:r>
                </w:p>
              </w:tc>
            </w:tr>
            <w:tr w14:paraId="5CD089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547" w:type="pct"/>
                  <w:vAlign w:val="center"/>
                </w:tcPr>
                <w:p w14:paraId="01D96B39">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氮化工序</w:t>
                  </w:r>
                </w:p>
              </w:tc>
              <w:tc>
                <w:tcPr>
                  <w:tcW w:w="308" w:type="pct"/>
                  <w:vAlign w:val="center"/>
                </w:tcPr>
                <w:p w14:paraId="0ABC2D5E">
                  <w:pPr>
                    <w:contextualSpacing/>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lang w:val="en-US" w:eastAsia="zh-CN"/>
                    </w:rPr>
                    <w:t>00</w:t>
                  </w:r>
                </w:p>
              </w:tc>
              <w:tc>
                <w:tcPr>
                  <w:tcW w:w="398" w:type="pct"/>
                  <w:vAlign w:val="center"/>
                </w:tcPr>
                <w:p w14:paraId="6770AE26">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氨气</w:t>
                  </w:r>
                </w:p>
              </w:tc>
              <w:tc>
                <w:tcPr>
                  <w:tcW w:w="280" w:type="pct"/>
                  <w:tcMar>
                    <w:top w:w="0" w:type="dxa"/>
                    <w:left w:w="28" w:type="dxa"/>
                    <w:bottom w:w="0" w:type="dxa"/>
                    <w:right w:w="28" w:type="dxa"/>
                  </w:tcMar>
                  <w:vAlign w:val="center"/>
                </w:tcPr>
                <w:p w14:paraId="7D095EF0">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0.087</w:t>
                  </w:r>
                </w:p>
              </w:tc>
              <w:tc>
                <w:tcPr>
                  <w:tcW w:w="341" w:type="pct"/>
                  <w:tcMar>
                    <w:top w:w="0" w:type="dxa"/>
                    <w:left w:w="28" w:type="dxa"/>
                    <w:bottom w:w="0" w:type="dxa"/>
                    <w:right w:w="28" w:type="dxa"/>
                  </w:tcMar>
                  <w:vAlign w:val="center"/>
                </w:tcPr>
                <w:p w14:paraId="45A991B3">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0.018</w:t>
                  </w:r>
                </w:p>
              </w:tc>
              <w:tc>
                <w:tcPr>
                  <w:tcW w:w="332" w:type="pct"/>
                  <w:vAlign w:val="center"/>
                </w:tcPr>
                <w:p w14:paraId="33D55FCE">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12</w:t>
                  </w:r>
                </w:p>
              </w:tc>
              <w:tc>
                <w:tcPr>
                  <w:tcW w:w="536" w:type="pct"/>
                  <w:vAlign w:val="center"/>
                </w:tcPr>
                <w:p w14:paraId="36771541">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水喷淋塔</w:t>
                  </w:r>
                </w:p>
              </w:tc>
              <w:tc>
                <w:tcPr>
                  <w:tcW w:w="228" w:type="pct"/>
                  <w:vAlign w:val="center"/>
                </w:tcPr>
                <w:p w14:paraId="158F4397">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303" w:type="pct"/>
                  <w:vAlign w:val="center"/>
                </w:tcPr>
                <w:p w14:paraId="6D4A5058">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0.013</w:t>
                  </w:r>
                </w:p>
              </w:tc>
              <w:tc>
                <w:tcPr>
                  <w:tcW w:w="289" w:type="pct"/>
                  <w:vAlign w:val="center"/>
                </w:tcPr>
                <w:p w14:paraId="11F66073">
                  <w:pPr>
                    <w:contextualSpacing/>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0.003</w:t>
                  </w:r>
                </w:p>
              </w:tc>
              <w:tc>
                <w:tcPr>
                  <w:tcW w:w="307" w:type="pct"/>
                  <w:vAlign w:val="center"/>
                </w:tcPr>
                <w:p w14:paraId="5C152098">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w:t>
                  </w:r>
                </w:p>
              </w:tc>
              <w:tc>
                <w:tcPr>
                  <w:tcW w:w="268" w:type="pct"/>
                  <w:shd w:val="clear" w:color="auto" w:fill="auto"/>
                  <w:vAlign w:val="center"/>
                </w:tcPr>
                <w:p w14:paraId="266B6570">
                  <w:pPr>
                    <w:widowControl/>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仿宋" w:cs="Times New Roman"/>
                      <w:color w:val="auto"/>
                      <w:szCs w:val="22"/>
                      <w:lang w:val="en-US" w:eastAsia="zh-CN"/>
                    </w:rPr>
                    <w:t>/</w:t>
                  </w:r>
                </w:p>
              </w:tc>
              <w:tc>
                <w:tcPr>
                  <w:tcW w:w="215" w:type="pct"/>
                  <w:shd w:val="clear" w:color="auto" w:fill="auto"/>
                  <w:vAlign w:val="center"/>
                </w:tcPr>
                <w:p w14:paraId="69ECBBE3">
                  <w:pPr>
                    <w:widowControl/>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8.7</w:t>
                  </w:r>
                </w:p>
              </w:tc>
              <w:tc>
                <w:tcPr>
                  <w:tcW w:w="392" w:type="pct"/>
                  <w:shd w:val="clear" w:color="auto" w:fill="auto"/>
                  <w:vAlign w:val="center"/>
                </w:tcPr>
                <w:p w14:paraId="57CBFE0E">
                  <w:pPr>
                    <w:contextualSpacing/>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m高排气筒DA00</w:t>
                  </w:r>
                  <w:r>
                    <w:rPr>
                      <w:rFonts w:hint="eastAsia" w:ascii="Times New Roman" w:hAnsi="Times New Roman" w:eastAsia="宋体" w:cs="Times New Roman"/>
                      <w:color w:val="auto"/>
                      <w:sz w:val="21"/>
                      <w:szCs w:val="21"/>
                      <w:lang w:val="en-US" w:eastAsia="zh-CN"/>
                    </w:rPr>
                    <w:t>3</w:t>
                  </w:r>
                </w:p>
              </w:tc>
              <w:tc>
                <w:tcPr>
                  <w:tcW w:w="252" w:type="pct"/>
                  <w:shd w:val="clear" w:color="auto" w:fill="auto"/>
                  <w:vAlign w:val="center"/>
                </w:tcPr>
                <w:p w14:paraId="20ECB6D6">
                  <w:pPr>
                    <w:contextualSpacing/>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48</w:t>
                  </w:r>
                  <w:r>
                    <w:rPr>
                      <w:rFonts w:hint="default" w:ascii="Times New Roman" w:hAnsi="Times New Roman" w:eastAsia="宋体" w:cs="Times New Roman"/>
                      <w:bCs/>
                      <w:color w:val="auto"/>
                      <w:sz w:val="21"/>
                      <w:szCs w:val="21"/>
                    </w:rPr>
                    <w:t>00h</w:t>
                  </w:r>
                </w:p>
              </w:tc>
            </w:tr>
            <w:tr w14:paraId="0BE6B8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32" w:hRule="atLeast"/>
                <w:jc w:val="center"/>
              </w:trPr>
              <w:tc>
                <w:tcPr>
                  <w:tcW w:w="547" w:type="pct"/>
                  <w:vAlign w:val="center"/>
                </w:tcPr>
                <w:p w14:paraId="267A32DC">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喷砂工序</w:t>
                  </w:r>
                </w:p>
              </w:tc>
              <w:tc>
                <w:tcPr>
                  <w:tcW w:w="308" w:type="pct"/>
                  <w:vAlign w:val="center"/>
                </w:tcPr>
                <w:p w14:paraId="0D158A52">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1000</w:t>
                  </w:r>
                </w:p>
              </w:tc>
              <w:tc>
                <w:tcPr>
                  <w:tcW w:w="398" w:type="pct"/>
                  <w:vAlign w:val="center"/>
                </w:tcPr>
                <w:p w14:paraId="25A47454">
                  <w:pPr>
                    <w:contextualSpacing/>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颗粒物</w:t>
                  </w:r>
                </w:p>
              </w:tc>
              <w:tc>
                <w:tcPr>
                  <w:tcW w:w="280" w:type="pct"/>
                  <w:tcMar>
                    <w:top w:w="0" w:type="dxa"/>
                    <w:left w:w="28" w:type="dxa"/>
                    <w:bottom w:w="0" w:type="dxa"/>
                    <w:right w:w="28" w:type="dxa"/>
                  </w:tcMar>
                  <w:vAlign w:val="center"/>
                </w:tcPr>
                <w:p w14:paraId="61B86117">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0.105</w:t>
                  </w:r>
                </w:p>
              </w:tc>
              <w:tc>
                <w:tcPr>
                  <w:tcW w:w="341" w:type="pct"/>
                  <w:tcMar>
                    <w:top w:w="0" w:type="dxa"/>
                    <w:left w:w="28" w:type="dxa"/>
                    <w:bottom w:w="0" w:type="dxa"/>
                    <w:right w:w="28" w:type="dxa"/>
                  </w:tcMar>
                  <w:vAlign w:val="center"/>
                </w:tcPr>
                <w:p w14:paraId="420E37B4">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0.0044</w:t>
                  </w:r>
                </w:p>
              </w:tc>
              <w:tc>
                <w:tcPr>
                  <w:tcW w:w="332" w:type="pct"/>
                  <w:vAlign w:val="center"/>
                </w:tcPr>
                <w:p w14:paraId="20E6555E">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44</w:t>
                  </w:r>
                </w:p>
              </w:tc>
              <w:tc>
                <w:tcPr>
                  <w:tcW w:w="536" w:type="pct"/>
                  <w:vAlign w:val="center"/>
                </w:tcPr>
                <w:p w14:paraId="5A8F6539">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袋式除尘</w:t>
                  </w:r>
                </w:p>
              </w:tc>
              <w:tc>
                <w:tcPr>
                  <w:tcW w:w="228" w:type="pct"/>
                  <w:vAlign w:val="center"/>
                </w:tcPr>
                <w:p w14:paraId="10E16A21">
                  <w:pPr>
                    <w:contextualSpacing/>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95</w:t>
                  </w:r>
                </w:p>
              </w:tc>
              <w:tc>
                <w:tcPr>
                  <w:tcW w:w="303" w:type="pct"/>
                  <w:vAlign w:val="center"/>
                </w:tcPr>
                <w:p w14:paraId="23B1F73F">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0.005</w:t>
                  </w:r>
                </w:p>
              </w:tc>
              <w:tc>
                <w:tcPr>
                  <w:tcW w:w="289" w:type="pct"/>
                  <w:vAlign w:val="center"/>
                </w:tcPr>
                <w:p w14:paraId="31E75CC8">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0.002</w:t>
                  </w:r>
                </w:p>
              </w:tc>
              <w:tc>
                <w:tcPr>
                  <w:tcW w:w="307" w:type="pct"/>
                  <w:vAlign w:val="center"/>
                </w:tcPr>
                <w:p w14:paraId="6C3C113D">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2.0</w:t>
                  </w:r>
                </w:p>
              </w:tc>
              <w:tc>
                <w:tcPr>
                  <w:tcW w:w="268" w:type="pct"/>
                  <w:vAlign w:val="center"/>
                </w:tcPr>
                <w:p w14:paraId="4C78BC4C">
                  <w:pPr>
                    <w:widowControl/>
                    <w:adjustRightInd w:val="0"/>
                    <w:snapToGrid w:val="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仿宋" w:cs="Times New Roman"/>
                      <w:color w:val="auto"/>
                      <w:szCs w:val="22"/>
                    </w:rPr>
                    <w:t>20</w:t>
                  </w:r>
                </w:p>
              </w:tc>
              <w:tc>
                <w:tcPr>
                  <w:tcW w:w="215" w:type="pct"/>
                  <w:vAlign w:val="center"/>
                </w:tcPr>
                <w:p w14:paraId="3EBB8B8B">
                  <w:pPr>
                    <w:widowControl/>
                    <w:adjustRightInd w:val="0"/>
                    <w:snapToGrid w:val="0"/>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color w:val="auto"/>
                      <w:sz w:val="21"/>
                      <w:szCs w:val="21"/>
                      <w:lang w:val="en-US" w:eastAsia="zh-CN"/>
                    </w:rPr>
                    <w:t>1</w:t>
                  </w:r>
                </w:p>
              </w:tc>
              <w:tc>
                <w:tcPr>
                  <w:tcW w:w="392" w:type="pct"/>
                  <w:vAlign w:val="center"/>
                </w:tcPr>
                <w:p w14:paraId="342150C0">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m高排气筒DA00</w:t>
                  </w:r>
                  <w:r>
                    <w:rPr>
                      <w:rFonts w:hint="eastAsia" w:ascii="Times New Roman" w:hAnsi="Times New Roman" w:eastAsia="宋体" w:cs="Times New Roman"/>
                      <w:color w:val="auto"/>
                      <w:sz w:val="21"/>
                      <w:szCs w:val="21"/>
                      <w:lang w:val="en-US" w:eastAsia="zh-CN"/>
                    </w:rPr>
                    <w:t>4</w:t>
                  </w:r>
                </w:p>
              </w:tc>
              <w:tc>
                <w:tcPr>
                  <w:tcW w:w="252" w:type="pct"/>
                  <w:vAlign w:val="center"/>
                </w:tcPr>
                <w:p w14:paraId="5AE6FA8B">
                  <w:pPr>
                    <w:contextualSpacing/>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24</w:t>
                  </w:r>
                  <w:r>
                    <w:rPr>
                      <w:rFonts w:hint="default" w:ascii="Times New Roman" w:hAnsi="Times New Roman" w:eastAsia="宋体" w:cs="Times New Roman"/>
                      <w:bCs/>
                      <w:color w:val="auto"/>
                      <w:sz w:val="21"/>
                      <w:szCs w:val="21"/>
                    </w:rPr>
                    <w:t>00h</w:t>
                  </w:r>
                </w:p>
              </w:tc>
            </w:tr>
          </w:tbl>
          <w:p w14:paraId="6B099BCE">
            <w:pPr>
              <w:adjustRightInd w:val="0"/>
              <w:snapToGrid w:val="0"/>
              <w:spacing w:before="120" w:beforeLines="50"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由上表可知，DA00</w:t>
            </w:r>
            <w:r>
              <w:rPr>
                <w:rFonts w:hint="default" w:ascii="Times New Roman" w:hAnsi="Times New Roman" w:eastAsia="宋体" w:cs="Times New Roman"/>
                <w:bCs/>
                <w:color w:val="auto"/>
                <w:sz w:val="24"/>
                <w:lang w:val="en-US" w:eastAsia="zh-CN"/>
              </w:rPr>
              <w:t>1</w:t>
            </w:r>
            <w:r>
              <w:rPr>
                <w:rFonts w:hint="default" w:ascii="Times New Roman" w:hAnsi="Times New Roman" w:eastAsia="宋体" w:cs="Times New Roman"/>
                <w:bCs/>
                <w:color w:val="auto"/>
                <w:sz w:val="24"/>
              </w:rPr>
              <w:t>排气筒中</w:t>
            </w:r>
            <w:r>
              <w:rPr>
                <w:rFonts w:hint="default" w:ascii="Times New Roman" w:hAnsi="Times New Roman" w:eastAsia="宋体" w:cs="Times New Roman"/>
                <w:color w:val="auto"/>
                <w:spacing w:val="4"/>
                <w:sz w:val="24"/>
              </w:rPr>
              <w:t>非甲烷总烃</w:t>
            </w:r>
            <w:r>
              <w:rPr>
                <w:rFonts w:hint="eastAsia" w:ascii="Times New Roman" w:hAnsi="Times New Roman" w:eastAsia="宋体" w:cs="Times New Roman"/>
                <w:color w:val="auto"/>
                <w:spacing w:val="4"/>
                <w:sz w:val="24"/>
                <w:lang w:eastAsia="zh-CN"/>
              </w:rPr>
              <w:t>、</w:t>
            </w:r>
            <w:r>
              <w:rPr>
                <w:rFonts w:hint="default" w:ascii="Times New Roman" w:hAnsi="Times New Roman" w:eastAsia="宋体" w:cs="Times New Roman"/>
                <w:bCs/>
                <w:color w:val="auto"/>
                <w:sz w:val="24"/>
              </w:rPr>
              <w:t>DA00</w:t>
            </w:r>
            <w:r>
              <w:rPr>
                <w:rFonts w:hint="default" w:ascii="Times New Roman" w:hAnsi="Times New Roman" w:eastAsia="宋体" w:cs="Times New Roman"/>
                <w:bCs/>
                <w:color w:val="auto"/>
                <w:sz w:val="24"/>
                <w:lang w:val="en-US" w:eastAsia="zh-CN"/>
              </w:rPr>
              <w:t>2</w:t>
            </w:r>
            <w:r>
              <w:rPr>
                <w:rFonts w:hint="default" w:ascii="Times New Roman" w:hAnsi="Times New Roman" w:eastAsia="宋体" w:cs="Times New Roman"/>
                <w:bCs/>
                <w:color w:val="auto"/>
                <w:sz w:val="24"/>
              </w:rPr>
              <w:t>排气筒中</w:t>
            </w:r>
            <w:r>
              <w:rPr>
                <w:rFonts w:hint="eastAsia" w:ascii="Times New Roman" w:hAnsi="Times New Roman" w:eastAsia="宋体" w:cs="Times New Roman"/>
                <w:bCs/>
                <w:color w:val="auto"/>
                <w:sz w:val="24"/>
                <w:lang w:val="en-US" w:eastAsia="zh-CN"/>
              </w:rPr>
              <w:t>颗粒物和</w:t>
            </w:r>
            <w:r>
              <w:rPr>
                <w:rFonts w:hint="default" w:ascii="Times New Roman" w:hAnsi="Times New Roman" w:eastAsia="宋体" w:cs="Times New Roman"/>
                <w:bCs/>
                <w:color w:val="auto"/>
                <w:sz w:val="24"/>
              </w:rPr>
              <w:t>DA00</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rPr>
              <w:t>排气筒中</w:t>
            </w:r>
            <w:r>
              <w:rPr>
                <w:rFonts w:hint="eastAsia" w:ascii="Times New Roman" w:hAnsi="Times New Roman" w:eastAsia="宋体" w:cs="Times New Roman"/>
                <w:bCs/>
                <w:color w:val="auto"/>
                <w:sz w:val="24"/>
                <w:lang w:val="en-US" w:eastAsia="zh-CN"/>
              </w:rPr>
              <w:t>颗粒物</w:t>
            </w:r>
            <w:r>
              <w:rPr>
                <w:rFonts w:hint="default" w:ascii="Times New Roman" w:hAnsi="Times New Roman" w:eastAsia="宋体" w:cs="Times New Roman"/>
                <w:color w:val="auto"/>
                <w:spacing w:val="4"/>
                <w:sz w:val="24"/>
              </w:rPr>
              <w:t>排放浓度</w:t>
            </w:r>
            <w:r>
              <w:rPr>
                <w:rFonts w:hint="eastAsia" w:ascii="Times New Roman" w:hAnsi="Times New Roman" w:eastAsia="宋体" w:cs="Times New Roman"/>
                <w:color w:val="auto"/>
                <w:spacing w:val="4"/>
                <w:sz w:val="24"/>
                <w:lang w:val="en-US" w:eastAsia="zh-CN"/>
              </w:rPr>
              <w:t>均</w:t>
            </w:r>
            <w:r>
              <w:rPr>
                <w:rFonts w:hint="default" w:ascii="Times New Roman" w:hAnsi="Times New Roman" w:eastAsia="宋体" w:cs="Times New Roman"/>
                <w:color w:val="auto"/>
                <w:spacing w:val="4"/>
                <w:sz w:val="24"/>
              </w:rPr>
              <w:t>可</w:t>
            </w:r>
            <w:r>
              <w:rPr>
                <w:rFonts w:hint="default" w:ascii="Times New Roman" w:hAnsi="Times New Roman" w:eastAsia="宋体" w:cs="Times New Roman"/>
                <w:color w:val="auto"/>
                <w:sz w:val="24"/>
              </w:rPr>
              <w:t>满足</w:t>
            </w:r>
            <w:r>
              <w:rPr>
                <w:rFonts w:hint="default" w:ascii="Times New Roman" w:hAnsi="Times New Roman" w:eastAsia="宋体" w:cs="Times New Roman"/>
                <w:bCs/>
                <w:color w:val="auto"/>
                <w:sz w:val="24"/>
                <w:lang w:val="en-US" w:eastAsia="zh-CN"/>
              </w:rPr>
              <w:t>《大气污染物综合排放标准》（DB32/4041-2021）中</w:t>
            </w:r>
            <w:r>
              <w:rPr>
                <w:rFonts w:hint="default" w:ascii="Times New Roman" w:hAnsi="Times New Roman" w:eastAsia="宋体" w:cs="Times New Roman"/>
                <w:bCs/>
                <w:color w:val="auto"/>
                <w:sz w:val="24"/>
              </w:rPr>
              <w:t>标准限值，</w:t>
            </w:r>
            <w:r>
              <w:rPr>
                <w:rFonts w:hint="eastAsia" w:ascii="Times New Roman" w:hAnsi="Times New Roman" w:eastAsia="宋体" w:cs="Times New Roman"/>
                <w:bCs/>
                <w:color w:val="auto"/>
                <w:sz w:val="24"/>
                <w:lang w:val="en-US" w:eastAsia="zh-CN"/>
              </w:rPr>
              <w:t>DA003</w:t>
            </w:r>
            <w:r>
              <w:rPr>
                <w:rFonts w:hint="default" w:ascii="Times New Roman" w:hAnsi="Times New Roman" w:eastAsia="宋体" w:cs="Times New Roman"/>
                <w:bCs/>
                <w:color w:val="auto"/>
                <w:sz w:val="24"/>
              </w:rPr>
              <w:t>排气筒中</w:t>
            </w:r>
            <w:r>
              <w:rPr>
                <w:rFonts w:hint="eastAsia" w:ascii="Times New Roman" w:hAnsi="Times New Roman" w:eastAsia="宋体" w:cs="Times New Roman"/>
                <w:bCs/>
                <w:color w:val="auto"/>
                <w:sz w:val="24"/>
                <w:lang w:val="en-US" w:eastAsia="zh-CN"/>
              </w:rPr>
              <w:t>氨气</w:t>
            </w:r>
            <w:r>
              <w:rPr>
                <w:rFonts w:hint="default" w:ascii="Times New Roman" w:hAnsi="Times New Roman" w:eastAsia="宋体" w:cs="Times New Roman"/>
                <w:color w:val="auto"/>
                <w:spacing w:val="4"/>
                <w:sz w:val="24"/>
              </w:rPr>
              <w:t>排放浓度</w:t>
            </w:r>
            <w:r>
              <w:rPr>
                <w:rFonts w:hint="eastAsia" w:ascii="Times New Roman" w:hAnsi="Times New Roman" w:eastAsia="宋体" w:cs="Times New Roman"/>
                <w:color w:val="auto"/>
                <w:spacing w:val="4"/>
                <w:sz w:val="24"/>
                <w:lang w:val="en-US" w:eastAsia="zh-CN"/>
              </w:rPr>
              <w:t>均</w:t>
            </w:r>
            <w:r>
              <w:rPr>
                <w:rFonts w:hint="default" w:ascii="Times New Roman" w:hAnsi="Times New Roman" w:eastAsia="宋体" w:cs="Times New Roman"/>
                <w:color w:val="auto"/>
                <w:spacing w:val="4"/>
                <w:sz w:val="24"/>
              </w:rPr>
              <w:t>可</w:t>
            </w:r>
            <w:r>
              <w:rPr>
                <w:rFonts w:hint="default" w:ascii="Times New Roman" w:hAnsi="Times New Roman" w:eastAsia="宋体" w:cs="Times New Roman"/>
                <w:color w:val="auto"/>
                <w:sz w:val="24"/>
              </w:rPr>
              <w:t>满足</w:t>
            </w:r>
            <w:r>
              <w:rPr>
                <w:rFonts w:hint="default" w:ascii="Times New Roman" w:hAnsi="Times New Roman" w:eastAsia="宋体" w:cs="Times New Roman"/>
                <w:color w:val="auto"/>
                <w:sz w:val="24"/>
                <w:lang w:val="en-US" w:eastAsia="zh-CN"/>
              </w:rPr>
              <w:t>《恶臭污染物排放标准》（GB 14554-93）</w:t>
            </w:r>
            <w:r>
              <w:rPr>
                <w:rFonts w:hint="default" w:ascii="Times New Roman" w:hAnsi="Times New Roman" w:eastAsia="宋体" w:cs="Times New Roman"/>
                <w:bCs/>
                <w:color w:val="auto"/>
                <w:sz w:val="24"/>
                <w:lang w:val="en-US" w:eastAsia="zh-CN"/>
              </w:rPr>
              <w:t>中</w:t>
            </w:r>
            <w:r>
              <w:rPr>
                <w:rFonts w:hint="default" w:ascii="Times New Roman" w:hAnsi="Times New Roman" w:eastAsia="宋体" w:cs="Times New Roman"/>
                <w:bCs/>
                <w:color w:val="auto"/>
                <w:sz w:val="24"/>
              </w:rPr>
              <w:t>标准限值，均能达标排放。</w:t>
            </w:r>
          </w:p>
          <w:p w14:paraId="21254457">
            <w:pPr>
              <w:adjustRightInd w:val="0"/>
              <w:snapToGrid w:val="0"/>
              <w:jc w:val="center"/>
              <w:rPr>
                <w:rFonts w:hint="default" w:ascii="Times New Roman" w:hAnsi="Times New Roman" w:eastAsia="宋体" w:cs="Times New Roman"/>
                <w:b/>
                <w:bCs/>
                <w:color w:val="auto"/>
                <w:sz w:val="24"/>
              </w:rPr>
            </w:pPr>
          </w:p>
          <w:p w14:paraId="30098A9C">
            <w:pPr>
              <w:adjustRightInd w:val="0"/>
              <w:snapToGrid w:val="0"/>
              <w:jc w:val="center"/>
              <w:rPr>
                <w:rFonts w:hint="default" w:ascii="Times New Roman" w:hAnsi="Times New Roman" w:eastAsia="宋体" w:cs="Times New Roman"/>
                <w:b/>
                <w:bCs/>
                <w:color w:val="auto"/>
                <w:sz w:val="24"/>
              </w:rPr>
            </w:pPr>
          </w:p>
          <w:p w14:paraId="23156303">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 xml:space="preserve">  本排气筒参数</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563"/>
              <w:gridCol w:w="1526"/>
              <w:gridCol w:w="1626"/>
              <w:gridCol w:w="1189"/>
              <w:gridCol w:w="1618"/>
              <w:gridCol w:w="1189"/>
              <w:gridCol w:w="1769"/>
              <w:gridCol w:w="1095"/>
            </w:tblGrid>
            <w:tr w14:paraId="10EB4F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8" w:type="pct"/>
                  <w:vMerge w:val="restart"/>
                  <w:vAlign w:val="center"/>
                </w:tcPr>
                <w:p w14:paraId="3B306658">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排气筒名称</w:t>
                  </w:r>
                </w:p>
              </w:tc>
              <w:tc>
                <w:tcPr>
                  <w:tcW w:w="1166" w:type="pct"/>
                  <w:gridSpan w:val="2"/>
                  <w:vAlign w:val="center"/>
                </w:tcPr>
                <w:p w14:paraId="142CDCD7">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排气筒底部坐标</w:t>
                  </w:r>
                </w:p>
              </w:tc>
              <w:tc>
                <w:tcPr>
                  <w:tcW w:w="614" w:type="pct"/>
                  <w:vMerge w:val="restart"/>
                  <w:vAlign w:val="center"/>
                </w:tcPr>
                <w:p w14:paraId="05CFB86C">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排气筒底部海拔高度（m）</w:t>
                  </w:r>
                </w:p>
              </w:tc>
              <w:tc>
                <w:tcPr>
                  <w:tcW w:w="2177" w:type="pct"/>
                  <w:gridSpan w:val="4"/>
                  <w:vAlign w:val="center"/>
                </w:tcPr>
                <w:p w14:paraId="2C7DD755">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排气筒参数</w:t>
                  </w:r>
                </w:p>
              </w:tc>
              <w:tc>
                <w:tcPr>
                  <w:tcW w:w="413" w:type="pct"/>
                  <w:vMerge w:val="restart"/>
                  <w:vAlign w:val="center"/>
                </w:tcPr>
                <w:p w14:paraId="10D0835F">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排气筒类型</w:t>
                  </w:r>
                </w:p>
              </w:tc>
            </w:tr>
            <w:tr w14:paraId="5AE211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28" w:type="pct"/>
                  <w:vMerge w:val="continue"/>
                  <w:vAlign w:val="center"/>
                </w:tcPr>
                <w:p w14:paraId="38829473">
                  <w:pPr>
                    <w:widowControl/>
                    <w:jc w:val="left"/>
                    <w:rPr>
                      <w:rFonts w:hint="default" w:ascii="Times New Roman" w:hAnsi="Times New Roman" w:eastAsia="宋体" w:cs="Times New Roman"/>
                      <w:b/>
                      <w:bCs/>
                      <w:color w:val="auto"/>
                      <w:szCs w:val="21"/>
                    </w:rPr>
                  </w:pPr>
                </w:p>
              </w:tc>
              <w:tc>
                <w:tcPr>
                  <w:tcW w:w="590" w:type="pct"/>
                  <w:vAlign w:val="center"/>
                </w:tcPr>
                <w:p w14:paraId="2A604D96">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经度（°）</w:t>
                  </w:r>
                </w:p>
              </w:tc>
              <w:tc>
                <w:tcPr>
                  <w:tcW w:w="576" w:type="pct"/>
                  <w:vAlign w:val="center"/>
                </w:tcPr>
                <w:p w14:paraId="779A729B">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纬度（°）</w:t>
                  </w:r>
                </w:p>
              </w:tc>
              <w:tc>
                <w:tcPr>
                  <w:tcW w:w="614" w:type="pct"/>
                  <w:vMerge w:val="continue"/>
                  <w:vAlign w:val="center"/>
                </w:tcPr>
                <w:p w14:paraId="08734687">
                  <w:pPr>
                    <w:widowControl/>
                    <w:jc w:val="left"/>
                    <w:rPr>
                      <w:rFonts w:hint="default" w:ascii="Times New Roman" w:hAnsi="Times New Roman" w:eastAsia="宋体" w:cs="Times New Roman"/>
                      <w:b/>
                      <w:bCs/>
                      <w:color w:val="auto"/>
                      <w:szCs w:val="21"/>
                    </w:rPr>
                  </w:pPr>
                </w:p>
              </w:tc>
              <w:tc>
                <w:tcPr>
                  <w:tcW w:w="449" w:type="pct"/>
                  <w:vAlign w:val="center"/>
                </w:tcPr>
                <w:p w14:paraId="70776F92">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高度（m）</w:t>
                  </w:r>
                </w:p>
              </w:tc>
              <w:tc>
                <w:tcPr>
                  <w:tcW w:w="611" w:type="pct"/>
                  <w:vAlign w:val="center"/>
                </w:tcPr>
                <w:p w14:paraId="01592E6E">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出口内径（m）</w:t>
                  </w:r>
                </w:p>
              </w:tc>
              <w:tc>
                <w:tcPr>
                  <w:tcW w:w="449" w:type="pct"/>
                  <w:vAlign w:val="center"/>
                </w:tcPr>
                <w:p w14:paraId="390FECBA">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温度（</w:t>
                  </w:r>
                  <w:r>
                    <w:rPr>
                      <w:rFonts w:hint="default" w:ascii="Times New Roman" w:hAnsi="Times New Roman" w:eastAsia="宋体" w:cs="Times New Roman"/>
                      <w:b/>
                      <w:bCs/>
                      <w:color w:val="auto"/>
                      <w:sz w:val="18"/>
                      <w:szCs w:val="18"/>
                    </w:rPr>
                    <w:t>℃</w:t>
                  </w:r>
                  <w:r>
                    <w:rPr>
                      <w:rFonts w:hint="default" w:ascii="Times New Roman" w:hAnsi="Times New Roman" w:eastAsia="宋体" w:cs="Times New Roman"/>
                      <w:b/>
                      <w:bCs/>
                      <w:color w:val="auto"/>
                      <w:szCs w:val="21"/>
                    </w:rPr>
                    <w:t>）</w:t>
                  </w:r>
                </w:p>
              </w:tc>
              <w:tc>
                <w:tcPr>
                  <w:tcW w:w="668" w:type="pct"/>
                  <w:vAlign w:val="center"/>
                </w:tcPr>
                <w:p w14:paraId="0109E51B">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烟气流速（m/s）</w:t>
                  </w:r>
                </w:p>
              </w:tc>
              <w:tc>
                <w:tcPr>
                  <w:tcW w:w="413" w:type="pct"/>
                  <w:vMerge w:val="continue"/>
                  <w:vAlign w:val="center"/>
                </w:tcPr>
                <w:p w14:paraId="5E14889F">
                  <w:pPr>
                    <w:adjustRightInd w:val="0"/>
                    <w:snapToGrid w:val="0"/>
                    <w:jc w:val="center"/>
                    <w:rPr>
                      <w:rFonts w:hint="default" w:ascii="Times New Roman" w:hAnsi="Times New Roman" w:eastAsia="宋体" w:cs="Times New Roman"/>
                      <w:b/>
                      <w:bCs/>
                      <w:color w:val="auto"/>
                      <w:szCs w:val="21"/>
                    </w:rPr>
                  </w:pPr>
                </w:p>
              </w:tc>
            </w:tr>
            <w:tr w14:paraId="7BD2EB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28" w:type="pct"/>
                  <w:vAlign w:val="center"/>
                </w:tcPr>
                <w:p w14:paraId="6068254A">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DA00</w:t>
                  </w:r>
                  <w:r>
                    <w:rPr>
                      <w:rFonts w:hint="default" w:ascii="Times New Roman" w:hAnsi="Times New Roman" w:eastAsia="宋体" w:cs="Times New Roman"/>
                      <w:bCs/>
                      <w:color w:val="auto"/>
                      <w:szCs w:val="21"/>
                      <w:lang w:val="en-US" w:eastAsia="zh-CN"/>
                    </w:rPr>
                    <w:t>1</w:t>
                  </w:r>
                  <w:r>
                    <w:rPr>
                      <w:rFonts w:hint="default" w:ascii="Times New Roman" w:hAnsi="Times New Roman" w:eastAsia="宋体" w:cs="Times New Roman"/>
                      <w:bCs/>
                      <w:color w:val="auto"/>
                      <w:szCs w:val="21"/>
                    </w:rPr>
                    <w:t>排气筒</w:t>
                  </w:r>
                </w:p>
              </w:tc>
              <w:tc>
                <w:tcPr>
                  <w:tcW w:w="590" w:type="pct"/>
                  <w:vAlign w:val="center"/>
                </w:tcPr>
                <w:p w14:paraId="4EAB3D86">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119.6743903</w:t>
                  </w:r>
                </w:p>
              </w:tc>
              <w:tc>
                <w:tcPr>
                  <w:tcW w:w="576" w:type="pct"/>
                  <w:vAlign w:val="center"/>
                </w:tcPr>
                <w:p w14:paraId="1A752699">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31.7286407</w:t>
                  </w:r>
                </w:p>
              </w:tc>
              <w:tc>
                <w:tcPr>
                  <w:tcW w:w="614" w:type="pct"/>
                  <w:vAlign w:val="center"/>
                </w:tcPr>
                <w:p w14:paraId="657602D6">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5.636</w:t>
                  </w:r>
                </w:p>
              </w:tc>
              <w:tc>
                <w:tcPr>
                  <w:tcW w:w="449" w:type="pct"/>
                  <w:vAlign w:val="center"/>
                </w:tcPr>
                <w:p w14:paraId="0D40B13A">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r>
                    <w:rPr>
                      <w:rFonts w:hint="default" w:ascii="Times New Roman" w:hAnsi="Times New Roman" w:eastAsia="宋体" w:cs="Times New Roman"/>
                      <w:bCs/>
                      <w:color w:val="auto"/>
                      <w:szCs w:val="21"/>
                      <w:lang w:val="en-US" w:eastAsia="zh-CN"/>
                    </w:rPr>
                    <w:t>0</w:t>
                  </w:r>
                </w:p>
              </w:tc>
              <w:tc>
                <w:tcPr>
                  <w:tcW w:w="611" w:type="pct"/>
                  <w:vAlign w:val="center"/>
                </w:tcPr>
                <w:p w14:paraId="594D016C">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0.45</w:t>
                  </w:r>
                </w:p>
              </w:tc>
              <w:tc>
                <w:tcPr>
                  <w:tcW w:w="449" w:type="pct"/>
                  <w:vAlign w:val="center"/>
                </w:tcPr>
                <w:p w14:paraId="61FB84DE">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25</w:t>
                  </w:r>
                </w:p>
              </w:tc>
              <w:tc>
                <w:tcPr>
                  <w:tcW w:w="668" w:type="pct"/>
                  <w:vAlign w:val="center"/>
                </w:tcPr>
                <w:p w14:paraId="1B85CC74">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15.25</w:t>
                  </w:r>
                </w:p>
              </w:tc>
              <w:tc>
                <w:tcPr>
                  <w:tcW w:w="413" w:type="pct"/>
                  <w:vAlign w:val="center"/>
                </w:tcPr>
                <w:p w14:paraId="17B8F61F">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一般排放口</w:t>
                  </w:r>
                </w:p>
              </w:tc>
            </w:tr>
            <w:tr w14:paraId="0C6CF2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28" w:type="pct"/>
                  <w:vAlign w:val="center"/>
                </w:tcPr>
                <w:p w14:paraId="57B4A79A">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DA00</w:t>
                  </w:r>
                  <w:r>
                    <w:rPr>
                      <w:rFonts w:hint="default" w:ascii="Times New Roman" w:hAnsi="Times New Roman" w:eastAsia="宋体" w:cs="Times New Roman"/>
                      <w:bCs/>
                      <w:color w:val="auto"/>
                      <w:szCs w:val="21"/>
                      <w:lang w:val="en-US" w:eastAsia="zh-CN"/>
                    </w:rPr>
                    <w:t>2</w:t>
                  </w:r>
                  <w:r>
                    <w:rPr>
                      <w:rFonts w:hint="default" w:ascii="Times New Roman" w:hAnsi="Times New Roman" w:eastAsia="宋体" w:cs="Times New Roman"/>
                      <w:bCs/>
                      <w:color w:val="auto"/>
                      <w:szCs w:val="21"/>
                    </w:rPr>
                    <w:t>排气筒</w:t>
                  </w:r>
                </w:p>
              </w:tc>
              <w:tc>
                <w:tcPr>
                  <w:tcW w:w="590" w:type="pct"/>
                  <w:vAlign w:val="center"/>
                </w:tcPr>
                <w:p w14:paraId="0A7BBE52">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119.6746687</w:t>
                  </w:r>
                </w:p>
              </w:tc>
              <w:tc>
                <w:tcPr>
                  <w:tcW w:w="576" w:type="pct"/>
                  <w:vAlign w:val="center"/>
                </w:tcPr>
                <w:p w14:paraId="3421EB5B">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31.7286407</w:t>
                  </w:r>
                </w:p>
              </w:tc>
              <w:tc>
                <w:tcPr>
                  <w:tcW w:w="614" w:type="pct"/>
                  <w:vAlign w:val="center"/>
                </w:tcPr>
                <w:p w14:paraId="64E8FBFA">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5.636</w:t>
                  </w:r>
                </w:p>
              </w:tc>
              <w:tc>
                <w:tcPr>
                  <w:tcW w:w="449" w:type="pct"/>
                  <w:vAlign w:val="center"/>
                </w:tcPr>
                <w:p w14:paraId="1BCB9919">
                  <w:pPr>
                    <w:adjustRightInd w:val="0"/>
                    <w:snapToGrid w:val="0"/>
                    <w:jc w:val="center"/>
                    <w:rPr>
                      <w:rFonts w:hint="default" w:ascii="Times New Roman" w:hAnsi="Times New Roman" w:eastAsia="宋体" w:cs="Times New Roman"/>
                      <w:bCs/>
                      <w:color w:val="auto"/>
                      <w:szCs w:val="21"/>
                      <w:lang w:eastAsia="zh-CN"/>
                    </w:rPr>
                  </w:pPr>
                  <w:r>
                    <w:rPr>
                      <w:rFonts w:hint="default" w:ascii="Times New Roman" w:hAnsi="Times New Roman" w:eastAsia="宋体" w:cs="Times New Roman"/>
                      <w:bCs/>
                      <w:color w:val="auto"/>
                      <w:szCs w:val="21"/>
                    </w:rPr>
                    <w:t>2</w:t>
                  </w:r>
                  <w:r>
                    <w:rPr>
                      <w:rFonts w:hint="default" w:ascii="Times New Roman" w:hAnsi="Times New Roman" w:eastAsia="宋体" w:cs="Times New Roman"/>
                      <w:bCs/>
                      <w:color w:val="auto"/>
                      <w:szCs w:val="21"/>
                      <w:lang w:val="en-US" w:eastAsia="zh-CN"/>
                    </w:rPr>
                    <w:t>0</w:t>
                  </w:r>
                </w:p>
              </w:tc>
              <w:tc>
                <w:tcPr>
                  <w:tcW w:w="611" w:type="pct"/>
                  <w:vAlign w:val="center"/>
                </w:tcPr>
                <w:p w14:paraId="656F55E1">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0.4</w:t>
                  </w:r>
                </w:p>
              </w:tc>
              <w:tc>
                <w:tcPr>
                  <w:tcW w:w="449" w:type="pct"/>
                  <w:vAlign w:val="center"/>
                </w:tcPr>
                <w:p w14:paraId="5109BC04">
                  <w:pPr>
                    <w:adjustRightInd w:val="0"/>
                    <w:snapToGrid w:val="0"/>
                    <w:jc w:val="center"/>
                    <w:rPr>
                      <w:rFonts w:hint="default" w:ascii="Times New Roman" w:hAnsi="Times New Roman" w:eastAsia="宋体" w:cs="Times New Roman"/>
                      <w:bCs/>
                      <w:color w:val="auto"/>
                      <w:szCs w:val="21"/>
                      <w:lang w:val="en-US"/>
                    </w:rPr>
                  </w:pPr>
                  <w:r>
                    <w:rPr>
                      <w:rFonts w:hint="eastAsia" w:ascii="Times New Roman" w:hAnsi="Times New Roman" w:eastAsia="宋体" w:cs="Times New Roman"/>
                      <w:bCs/>
                      <w:color w:val="auto"/>
                      <w:szCs w:val="21"/>
                      <w:lang w:val="en-US" w:eastAsia="zh-CN"/>
                    </w:rPr>
                    <w:t>25</w:t>
                  </w:r>
                </w:p>
              </w:tc>
              <w:tc>
                <w:tcPr>
                  <w:tcW w:w="668" w:type="pct"/>
                  <w:vAlign w:val="center"/>
                </w:tcPr>
                <w:p w14:paraId="336B18E8">
                  <w:pPr>
                    <w:adjustRightInd w:val="0"/>
                    <w:snapToGrid w:val="0"/>
                    <w:jc w:val="center"/>
                    <w:rPr>
                      <w:rFonts w:hint="default" w:ascii="Times New Roman" w:hAnsi="Times New Roman" w:eastAsia="宋体" w:cs="Times New Roman"/>
                      <w:bCs/>
                      <w:color w:val="auto"/>
                      <w:szCs w:val="21"/>
                      <w:highlight w:val="none"/>
                      <w:lang w:val="en-US" w:eastAsia="zh-CN"/>
                    </w:rPr>
                  </w:pPr>
                  <w:r>
                    <w:rPr>
                      <w:rFonts w:hint="eastAsia" w:ascii="Times New Roman" w:hAnsi="Times New Roman" w:eastAsia="宋体" w:cs="Times New Roman"/>
                      <w:bCs/>
                      <w:color w:val="auto"/>
                      <w:szCs w:val="21"/>
                      <w:highlight w:val="none"/>
                      <w:lang w:val="en-US" w:eastAsia="zh-CN"/>
                    </w:rPr>
                    <w:t>14.23</w:t>
                  </w:r>
                </w:p>
              </w:tc>
              <w:tc>
                <w:tcPr>
                  <w:tcW w:w="413" w:type="pct"/>
                  <w:vAlign w:val="center"/>
                </w:tcPr>
                <w:p w14:paraId="5E742E94">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一般排放口</w:t>
                  </w:r>
                </w:p>
              </w:tc>
            </w:tr>
            <w:tr w14:paraId="4B6C5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28" w:type="pct"/>
                  <w:vAlign w:val="center"/>
                </w:tcPr>
                <w:p w14:paraId="569B5A6A">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DA00</w:t>
                  </w:r>
                  <w:r>
                    <w:rPr>
                      <w:rFonts w:hint="eastAsia" w:ascii="Times New Roman" w:hAnsi="Times New Roman" w:eastAsia="宋体" w:cs="Times New Roman"/>
                      <w:bCs/>
                      <w:color w:val="auto"/>
                      <w:szCs w:val="21"/>
                      <w:lang w:val="en-US" w:eastAsia="zh-CN"/>
                    </w:rPr>
                    <w:t>3</w:t>
                  </w:r>
                  <w:r>
                    <w:rPr>
                      <w:rFonts w:hint="default" w:ascii="Times New Roman" w:hAnsi="Times New Roman" w:eastAsia="宋体" w:cs="Times New Roman"/>
                      <w:bCs/>
                      <w:color w:val="auto"/>
                      <w:szCs w:val="21"/>
                    </w:rPr>
                    <w:t>排气筒</w:t>
                  </w:r>
                </w:p>
              </w:tc>
              <w:tc>
                <w:tcPr>
                  <w:tcW w:w="590" w:type="pct"/>
                  <w:vAlign w:val="center"/>
                </w:tcPr>
                <w:p w14:paraId="385FF476">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119.6597254</w:t>
                  </w:r>
                </w:p>
              </w:tc>
              <w:tc>
                <w:tcPr>
                  <w:tcW w:w="576" w:type="pct"/>
                  <w:vAlign w:val="center"/>
                </w:tcPr>
                <w:p w14:paraId="3E1713BB">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31.7624492</w:t>
                  </w:r>
                </w:p>
              </w:tc>
              <w:tc>
                <w:tcPr>
                  <w:tcW w:w="614" w:type="pct"/>
                  <w:vAlign w:val="center"/>
                </w:tcPr>
                <w:p w14:paraId="211EB6B0">
                  <w:pPr>
                    <w:adjustRightInd w:val="0"/>
                    <w:snapToGrid w:val="0"/>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5.636</w:t>
                  </w:r>
                </w:p>
              </w:tc>
              <w:tc>
                <w:tcPr>
                  <w:tcW w:w="449" w:type="pct"/>
                  <w:vAlign w:val="center"/>
                </w:tcPr>
                <w:p w14:paraId="77549B68">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2</w:t>
                  </w:r>
                  <w:r>
                    <w:rPr>
                      <w:rFonts w:hint="default" w:ascii="Times New Roman" w:hAnsi="Times New Roman" w:eastAsia="宋体" w:cs="Times New Roman"/>
                      <w:bCs/>
                      <w:color w:val="auto"/>
                      <w:szCs w:val="21"/>
                      <w:lang w:val="en-US" w:eastAsia="zh-CN"/>
                    </w:rPr>
                    <w:t>0</w:t>
                  </w:r>
                </w:p>
              </w:tc>
              <w:tc>
                <w:tcPr>
                  <w:tcW w:w="611" w:type="pct"/>
                  <w:shd w:val="clear" w:color="auto" w:fill="auto"/>
                  <w:vAlign w:val="center"/>
                </w:tcPr>
                <w:p w14:paraId="496202D1">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0.3</w:t>
                  </w:r>
                </w:p>
              </w:tc>
              <w:tc>
                <w:tcPr>
                  <w:tcW w:w="449" w:type="pct"/>
                  <w:shd w:val="clear" w:color="auto" w:fill="auto"/>
                  <w:vAlign w:val="center"/>
                </w:tcPr>
                <w:p w14:paraId="3EC9C338">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25</w:t>
                  </w:r>
                </w:p>
              </w:tc>
              <w:tc>
                <w:tcPr>
                  <w:tcW w:w="668" w:type="pct"/>
                  <w:shd w:val="clear" w:color="auto" w:fill="auto"/>
                  <w:vAlign w:val="center"/>
                </w:tcPr>
                <w:p w14:paraId="4C3D2A09">
                  <w:pPr>
                    <w:adjustRightInd w:val="0"/>
                    <w:snapToGrid w:val="0"/>
                    <w:jc w:val="center"/>
                    <w:rPr>
                      <w:rFonts w:hint="default"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12.87</w:t>
                  </w:r>
                </w:p>
              </w:tc>
              <w:tc>
                <w:tcPr>
                  <w:tcW w:w="413" w:type="pct"/>
                  <w:vAlign w:val="center"/>
                </w:tcPr>
                <w:p w14:paraId="6233EFEB">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一般排放口</w:t>
                  </w:r>
                </w:p>
              </w:tc>
            </w:tr>
            <w:tr w14:paraId="5BFCFC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628" w:type="pct"/>
                  <w:shd w:val="clear" w:color="auto" w:fill="auto"/>
                  <w:vAlign w:val="center"/>
                </w:tcPr>
                <w:p w14:paraId="7C0AD3FA">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DA00</w:t>
                  </w:r>
                  <w:r>
                    <w:rPr>
                      <w:rFonts w:hint="eastAsia" w:ascii="Times New Roman" w:hAnsi="Times New Roman" w:eastAsia="宋体" w:cs="Times New Roman"/>
                      <w:bCs/>
                      <w:color w:val="auto"/>
                      <w:szCs w:val="21"/>
                      <w:lang w:val="en-US" w:eastAsia="zh-CN"/>
                    </w:rPr>
                    <w:t>4</w:t>
                  </w:r>
                  <w:r>
                    <w:rPr>
                      <w:rFonts w:hint="default" w:ascii="Times New Roman" w:hAnsi="Times New Roman" w:eastAsia="宋体" w:cs="Times New Roman"/>
                      <w:bCs/>
                      <w:color w:val="auto"/>
                      <w:szCs w:val="21"/>
                    </w:rPr>
                    <w:t>排气筒</w:t>
                  </w:r>
                </w:p>
              </w:tc>
              <w:tc>
                <w:tcPr>
                  <w:tcW w:w="590" w:type="pct"/>
                  <w:shd w:val="clear" w:color="auto" w:fill="auto"/>
                  <w:vAlign w:val="center"/>
                </w:tcPr>
                <w:p w14:paraId="25042588">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119.6746957</w:t>
                  </w:r>
                </w:p>
              </w:tc>
              <w:tc>
                <w:tcPr>
                  <w:tcW w:w="576" w:type="pct"/>
                  <w:shd w:val="clear" w:color="auto" w:fill="auto"/>
                  <w:vAlign w:val="center"/>
                </w:tcPr>
                <w:p w14:paraId="40BDC9DA">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31.7284641</w:t>
                  </w:r>
                </w:p>
              </w:tc>
              <w:tc>
                <w:tcPr>
                  <w:tcW w:w="614" w:type="pct"/>
                  <w:shd w:val="clear" w:color="auto" w:fill="auto"/>
                  <w:vAlign w:val="center"/>
                </w:tcPr>
                <w:p w14:paraId="7A704433">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5.636</w:t>
                  </w:r>
                </w:p>
              </w:tc>
              <w:tc>
                <w:tcPr>
                  <w:tcW w:w="449" w:type="pct"/>
                  <w:shd w:val="clear" w:color="auto" w:fill="auto"/>
                  <w:vAlign w:val="center"/>
                </w:tcPr>
                <w:p w14:paraId="4CBFDC6D">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2</w:t>
                  </w:r>
                  <w:r>
                    <w:rPr>
                      <w:rFonts w:hint="default" w:ascii="Times New Roman" w:hAnsi="Times New Roman" w:eastAsia="宋体" w:cs="Times New Roman"/>
                      <w:bCs/>
                      <w:color w:val="auto"/>
                      <w:szCs w:val="21"/>
                      <w:lang w:val="en-US" w:eastAsia="zh-CN"/>
                    </w:rPr>
                    <w:t>0</w:t>
                  </w:r>
                </w:p>
              </w:tc>
              <w:tc>
                <w:tcPr>
                  <w:tcW w:w="611" w:type="pct"/>
                  <w:shd w:val="clear" w:color="auto" w:fill="auto"/>
                  <w:vAlign w:val="center"/>
                </w:tcPr>
                <w:p w14:paraId="74DE14C1">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0.2</w:t>
                  </w:r>
                </w:p>
              </w:tc>
              <w:tc>
                <w:tcPr>
                  <w:tcW w:w="449" w:type="pct"/>
                  <w:shd w:val="clear" w:color="auto" w:fill="auto"/>
                  <w:vAlign w:val="center"/>
                </w:tcPr>
                <w:p w14:paraId="27C7ADC1">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25</w:t>
                  </w:r>
                </w:p>
              </w:tc>
              <w:tc>
                <w:tcPr>
                  <w:tcW w:w="668" w:type="pct"/>
                  <w:shd w:val="clear" w:color="auto" w:fill="auto"/>
                  <w:vAlign w:val="center"/>
                </w:tcPr>
                <w:p w14:paraId="12528D3F">
                  <w:pPr>
                    <w:adjustRightInd w:val="0"/>
                    <w:snapToGrid w:val="0"/>
                    <w:jc w:val="center"/>
                    <w:rPr>
                      <w:rFonts w:hint="eastAsia" w:ascii="Times New Roman" w:hAnsi="Times New Roman" w:eastAsia="宋体" w:cs="Times New Roman"/>
                      <w:bCs/>
                      <w:color w:val="auto"/>
                      <w:kern w:val="2"/>
                      <w:sz w:val="21"/>
                      <w:szCs w:val="21"/>
                      <w:highlight w:val="none"/>
                      <w:lang w:val="en-US" w:eastAsia="zh-CN" w:bidi="ar-SA"/>
                    </w:rPr>
                  </w:pPr>
                  <w:r>
                    <w:rPr>
                      <w:rFonts w:hint="eastAsia" w:ascii="Times New Roman" w:hAnsi="Times New Roman" w:eastAsia="宋体" w:cs="Times New Roman"/>
                      <w:bCs/>
                      <w:color w:val="auto"/>
                      <w:szCs w:val="21"/>
                      <w:highlight w:val="none"/>
                      <w:lang w:val="en-US" w:eastAsia="zh-CN"/>
                    </w:rPr>
                    <w:t>9.49</w:t>
                  </w:r>
                </w:p>
              </w:tc>
              <w:tc>
                <w:tcPr>
                  <w:tcW w:w="413" w:type="pct"/>
                  <w:shd w:val="clear" w:color="auto" w:fill="auto"/>
                  <w:vAlign w:val="center"/>
                </w:tcPr>
                <w:p w14:paraId="28D941ED">
                  <w:pPr>
                    <w:adjustRightInd w:val="0"/>
                    <w:snapToGrid w:val="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一般排放口</w:t>
                  </w:r>
                </w:p>
              </w:tc>
            </w:tr>
          </w:tbl>
          <w:p w14:paraId="31E3D7E2">
            <w:pPr>
              <w:adjustRightInd w:val="0"/>
              <w:snapToGrid w:val="0"/>
              <w:spacing w:before="120" w:beforeLines="50" w:line="30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（2）无组织废气</w:t>
            </w:r>
          </w:p>
          <w:p w14:paraId="2436B34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本项目无组织废气排放情况见表4-</w:t>
            </w:r>
            <w:r>
              <w:rPr>
                <w:rFonts w:hint="eastAsia" w:ascii="Times New Roman" w:hAnsi="Times New Roman" w:eastAsia="宋体" w:cs="Times New Roman"/>
                <w:bCs/>
                <w:color w:val="auto"/>
                <w:sz w:val="24"/>
                <w:lang w:val="en-US" w:eastAsia="zh-CN"/>
              </w:rPr>
              <w:t>6</w:t>
            </w:r>
            <w:r>
              <w:rPr>
                <w:rFonts w:hint="default" w:ascii="Times New Roman" w:hAnsi="Times New Roman" w:eastAsia="宋体" w:cs="Times New Roman"/>
                <w:bCs/>
                <w:color w:val="auto"/>
                <w:sz w:val="24"/>
              </w:rPr>
              <w:t>。</w:t>
            </w:r>
          </w:p>
          <w:p w14:paraId="707A5971">
            <w:pPr>
              <w:adjustRightInd w:val="0"/>
              <w:snapToGrid w:val="0"/>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6</w:t>
            </w:r>
            <w:r>
              <w:rPr>
                <w:rFonts w:hint="default" w:ascii="Times New Roman" w:hAnsi="Times New Roman" w:eastAsia="宋体" w:cs="Times New Roman"/>
                <w:b/>
                <w:bCs/>
                <w:color w:val="auto"/>
                <w:sz w:val="24"/>
              </w:rPr>
              <w:t xml:space="preserve">  本项目无组织废气产生及排放情况表</w:t>
            </w:r>
          </w:p>
          <w:tbl>
            <w:tblPr>
              <w:tblStyle w:val="2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1129"/>
              <w:gridCol w:w="1906"/>
              <w:gridCol w:w="1296"/>
              <w:gridCol w:w="1524"/>
              <w:gridCol w:w="1455"/>
              <w:gridCol w:w="1349"/>
              <w:gridCol w:w="1530"/>
              <w:gridCol w:w="1524"/>
              <w:gridCol w:w="1525"/>
            </w:tblGrid>
            <w:tr w14:paraId="75DF2B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654" w:hRule="atLeast"/>
              </w:trPr>
              <w:tc>
                <w:tcPr>
                  <w:tcW w:w="426" w:type="pct"/>
                  <w:vAlign w:val="center"/>
                </w:tcPr>
                <w:p w14:paraId="470E8925">
                  <w:pPr>
                    <w:spacing w:line="276" w:lineRule="auto"/>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面源名称</w:t>
                  </w:r>
                </w:p>
              </w:tc>
              <w:tc>
                <w:tcPr>
                  <w:tcW w:w="719" w:type="pct"/>
                  <w:vAlign w:val="center"/>
                </w:tcPr>
                <w:p w14:paraId="7992A068">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污染物产生环节</w:t>
                  </w:r>
                </w:p>
              </w:tc>
              <w:tc>
                <w:tcPr>
                  <w:tcW w:w="489" w:type="pct"/>
                  <w:vAlign w:val="center"/>
                </w:tcPr>
                <w:p w14:paraId="62BB9FE7">
                  <w:pPr>
                    <w:spacing w:line="276" w:lineRule="auto"/>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w:t>
                  </w:r>
                </w:p>
                <w:p w14:paraId="61E50A66">
                  <w:pPr>
                    <w:spacing w:line="276" w:lineRule="auto"/>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名称</w:t>
                  </w:r>
                </w:p>
              </w:tc>
              <w:tc>
                <w:tcPr>
                  <w:tcW w:w="575" w:type="pct"/>
                  <w:vAlign w:val="center"/>
                </w:tcPr>
                <w:p w14:paraId="367E1C6A">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污染物产生量t/a</w:t>
                  </w:r>
                </w:p>
              </w:tc>
              <w:tc>
                <w:tcPr>
                  <w:tcW w:w="549" w:type="pct"/>
                  <w:vAlign w:val="center"/>
                </w:tcPr>
                <w:p w14:paraId="42472BCC">
                  <w:pPr>
                    <w:spacing w:line="276" w:lineRule="auto"/>
                    <w:ind w:left="-105" w:leftChars="-50" w:right="-105" w:rightChars="-5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治理措施</w:t>
                  </w:r>
                </w:p>
              </w:tc>
              <w:tc>
                <w:tcPr>
                  <w:tcW w:w="509" w:type="pct"/>
                  <w:vAlign w:val="center"/>
                </w:tcPr>
                <w:p w14:paraId="657AA6E1">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污染物排放量t/a</w:t>
                  </w:r>
                </w:p>
              </w:tc>
              <w:tc>
                <w:tcPr>
                  <w:tcW w:w="577" w:type="pct"/>
                  <w:vAlign w:val="center"/>
                </w:tcPr>
                <w:p w14:paraId="5ED2B4B7">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排放速率kg/h</w:t>
                  </w:r>
                </w:p>
              </w:tc>
              <w:tc>
                <w:tcPr>
                  <w:tcW w:w="575" w:type="pct"/>
                  <w:vAlign w:val="center"/>
                </w:tcPr>
                <w:p w14:paraId="6B37F4D0">
                  <w:pPr>
                    <w:spacing w:line="276"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面源面积（m</w:t>
                  </w:r>
                  <w:r>
                    <w:rPr>
                      <w:rFonts w:hint="default" w:ascii="Times New Roman" w:hAnsi="Times New Roman" w:eastAsia="宋体" w:cs="Times New Roman"/>
                      <w:b/>
                      <w:bCs/>
                      <w:color w:val="auto"/>
                      <w:szCs w:val="21"/>
                      <w:vertAlign w:val="superscript"/>
                    </w:rPr>
                    <w:t>2</w:t>
                  </w:r>
                  <w:r>
                    <w:rPr>
                      <w:rFonts w:hint="default" w:ascii="Times New Roman" w:hAnsi="Times New Roman" w:eastAsia="宋体" w:cs="Times New Roman"/>
                      <w:b/>
                      <w:bCs/>
                      <w:color w:val="auto"/>
                      <w:szCs w:val="21"/>
                    </w:rPr>
                    <w:t>）</w:t>
                  </w:r>
                </w:p>
              </w:tc>
              <w:tc>
                <w:tcPr>
                  <w:tcW w:w="575" w:type="pct"/>
                  <w:vAlign w:val="center"/>
                </w:tcPr>
                <w:p w14:paraId="38DA3C17">
                  <w:pPr>
                    <w:spacing w:line="276" w:lineRule="auto"/>
                    <w:jc w:val="center"/>
                    <w:rPr>
                      <w:rFonts w:hint="default"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面源高度</w:t>
                  </w:r>
                </w:p>
              </w:tc>
            </w:tr>
            <w:tr w14:paraId="548952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37" w:hRule="atLeast"/>
              </w:trPr>
              <w:tc>
                <w:tcPr>
                  <w:tcW w:w="426" w:type="pct"/>
                  <w:vMerge w:val="restart"/>
                  <w:vAlign w:val="center"/>
                </w:tcPr>
                <w:p w14:paraId="708B6325">
                  <w:pPr>
                    <w:spacing w:line="276" w:lineRule="auto"/>
                    <w:ind w:left="-105" w:leftChars="-50" w:right="-105" w:rightChars="-5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生产车间</w:t>
                  </w:r>
                </w:p>
              </w:tc>
              <w:tc>
                <w:tcPr>
                  <w:tcW w:w="719" w:type="pct"/>
                  <w:vMerge w:val="restart"/>
                  <w:vAlign w:val="center"/>
                </w:tcPr>
                <w:p w14:paraId="7FF50E88">
                  <w:pPr>
                    <w:adjustRightInd w:val="0"/>
                    <w:snapToGrid w:val="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清洗工序</w:t>
                  </w:r>
                  <w:r>
                    <w:rPr>
                      <w:rFonts w:hint="eastAsia" w:ascii="Times New Roman" w:hAnsi="Times New Roman" w:eastAsia="宋体" w:cs="Times New Roman"/>
                      <w:color w:val="auto"/>
                      <w:szCs w:val="21"/>
                      <w:lang w:val="en-US" w:eastAsia="zh-CN"/>
                    </w:rPr>
                    <w:t>、淬火工序、氮化工序、喷砂工序</w:t>
                  </w:r>
                </w:p>
              </w:tc>
              <w:tc>
                <w:tcPr>
                  <w:tcW w:w="489" w:type="pct"/>
                  <w:vAlign w:val="center"/>
                </w:tcPr>
                <w:p w14:paraId="444A104D">
                  <w:pPr>
                    <w:adjustRightInd w:val="0"/>
                    <w:snapToGrid w:val="0"/>
                    <w:spacing w:line="276" w:lineRule="auto"/>
                    <w:ind w:left="-105" w:leftChars="-50" w:right="-105" w:rightChars="-5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非甲烷总烃</w:t>
                  </w:r>
                </w:p>
              </w:tc>
              <w:tc>
                <w:tcPr>
                  <w:tcW w:w="575" w:type="pct"/>
                  <w:vAlign w:val="center"/>
                </w:tcPr>
                <w:p w14:paraId="7F71FA3F">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0.03</w:t>
                  </w:r>
                </w:p>
              </w:tc>
              <w:tc>
                <w:tcPr>
                  <w:tcW w:w="549" w:type="pct"/>
                  <w:vAlign w:val="center"/>
                </w:tcPr>
                <w:p w14:paraId="417E2116">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车间通风</w:t>
                  </w:r>
                </w:p>
              </w:tc>
              <w:tc>
                <w:tcPr>
                  <w:tcW w:w="509" w:type="pct"/>
                  <w:vAlign w:val="center"/>
                </w:tcPr>
                <w:p w14:paraId="7BB79A93">
                  <w:pPr>
                    <w:spacing w:line="276" w:lineRule="auto"/>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0.03</w:t>
                  </w:r>
                </w:p>
              </w:tc>
              <w:tc>
                <w:tcPr>
                  <w:tcW w:w="577" w:type="pct"/>
                  <w:vAlign w:val="center"/>
                </w:tcPr>
                <w:p w14:paraId="35E3A58B">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0.006</w:t>
                  </w:r>
                </w:p>
              </w:tc>
              <w:tc>
                <w:tcPr>
                  <w:tcW w:w="575" w:type="pct"/>
                  <w:vMerge w:val="restart"/>
                  <w:vAlign w:val="center"/>
                </w:tcPr>
                <w:p w14:paraId="2B1CCBA8">
                  <w:pPr>
                    <w:spacing w:line="276"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1439.97</w:t>
                  </w:r>
                </w:p>
              </w:tc>
              <w:tc>
                <w:tcPr>
                  <w:tcW w:w="575" w:type="pct"/>
                  <w:vMerge w:val="restart"/>
                  <w:vAlign w:val="center"/>
                </w:tcPr>
                <w:p w14:paraId="6C181331">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15</w:t>
                  </w:r>
                </w:p>
              </w:tc>
            </w:tr>
            <w:tr w14:paraId="6C098E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37" w:hRule="atLeast"/>
              </w:trPr>
              <w:tc>
                <w:tcPr>
                  <w:tcW w:w="426" w:type="pct"/>
                  <w:vMerge w:val="continue"/>
                  <w:vAlign w:val="center"/>
                </w:tcPr>
                <w:p w14:paraId="1F19241F">
                  <w:pPr>
                    <w:spacing w:line="276" w:lineRule="auto"/>
                    <w:ind w:left="-105" w:leftChars="-50" w:right="-105" w:rightChars="-50"/>
                    <w:jc w:val="center"/>
                    <w:rPr>
                      <w:rFonts w:hint="default" w:ascii="Times New Roman" w:hAnsi="Times New Roman" w:eastAsia="宋体" w:cs="Times New Roman"/>
                      <w:color w:val="auto"/>
                      <w:szCs w:val="21"/>
                      <w:lang w:val="en-US" w:eastAsia="zh-CN"/>
                    </w:rPr>
                  </w:pPr>
                </w:p>
              </w:tc>
              <w:tc>
                <w:tcPr>
                  <w:tcW w:w="719" w:type="pct"/>
                  <w:vMerge w:val="continue"/>
                  <w:vAlign w:val="center"/>
                </w:tcPr>
                <w:p w14:paraId="4EE2B3BE">
                  <w:pPr>
                    <w:adjustRightInd w:val="0"/>
                    <w:snapToGrid w:val="0"/>
                    <w:jc w:val="center"/>
                    <w:rPr>
                      <w:rFonts w:hint="default" w:ascii="Times New Roman" w:hAnsi="Times New Roman" w:eastAsia="宋体" w:cs="Times New Roman"/>
                      <w:color w:val="auto"/>
                      <w:szCs w:val="21"/>
                      <w:lang w:val="en-US" w:eastAsia="zh-CN"/>
                    </w:rPr>
                  </w:pPr>
                </w:p>
              </w:tc>
              <w:tc>
                <w:tcPr>
                  <w:tcW w:w="489" w:type="pct"/>
                  <w:vAlign w:val="center"/>
                </w:tcPr>
                <w:p w14:paraId="7DF7F662">
                  <w:pPr>
                    <w:adjustRightInd w:val="0"/>
                    <w:snapToGrid w:val="0"/>
                    <w:spacing w:line="276" w:lineRule="auto"/>
                    <w:ind w:left="-105" w:leftChars="-50" w:right="-105" w:rightChars="-50"/>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氨气</w:t>
                  </w:r>
                </w:p>
              </w:tc>
              <w:tc>
                <w:tcPr>
                  <w:tcW w:w="575" w:type="pct"/>
                  <w:vAlign w:val="center"/>
                </w:tcPr>
                <w:p w14:paraId="4E91C510">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w:t>
                  </w:r>
                </w:p>
              </w:tc>
              <w:tc>
                <w:tcPr>
                  <w:tcW w:w="549" w:type="pct"/>
                  <w:vAlign w:val="center"/>
                </w:tcPr>
                <w:p w14:paraId="223BB631">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车间通风</w:t>
                  </w:r>
                </w:p>
              </w:tc>
              <w:tc>
                <w:tcPr>
                  <w:tcW w:w="509" w:type="pct"/>
                  <w:vAlign w:val="center"/>
                </w:tcPr>
                <w:p w14:paraId="57BE9A13">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w:t>
                  </w:r>
                </w:p>
              </w:tc>
              <w:tc>
                <w:tcPr>
                  <w:tcW w:w="577" w:type="pct"/>
                  <w:vAlign w:val="center"/>
                </w:tcPr>
                <w:p w14:paraId="11B9C5CC">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0.004</w:t>
                  </w:r>
                </w:p>
              </w:tc>
              <w:tc>
                <w:tcPr>
                  <w:tcW w:w="575" w:type="pct"/>
                  <w:vMerge w:val="continue"/>
                  <w:vAlign w:val="center"/>
                </w:tcPr>
                <w:p w14:paraId="71817C2A">
                  <w:pPr>
                    <w:spacing w:line="276" w:lineRule="auto"/>
                    <w:jc w:val="center"/>
                    <w:rPr>
                      <w:rFonts w:hint="default" w:ascii="Times New Roman" w:hAnsi="Times New Roman" w:eastAsia="宋体" w:cs="Times New Roman"/>
                      <w:color w:val="auto"/>
                      <w:szCs w:val="21"/>
                      <w:lang w:val="en-US" w:eastAsia="zh-CN"/>
                    </w:rPr>
                  </w:pPr>
                </w:p>
              </w:tc>
              <w:tc>
                <w:tcPr>
                  <w:tcW w:w="575" w:type="pct"/>
                  <w:vMerge w:val="continue"/>
                  <w:vAlign w:val="center"/>
                </w:tcPr>
                <w:p w14:paraId="7E269CCD">
                  <w:pPr>
                    <w:spacing w:line="276" w:lineRule="auto"/>
                    <w:jc w:val="center"/>
                    <w:rPr>
                      <w:rFonts w:hint="eastAsia" w:ascii="Times New Roman" w:hAnsi="Times New Roman" w:eastAsia="宋体" w:cs="Times New Roman"/>
                      <w:color w:val="auto"/>
                      <w:szCs w:val="21"/>
                      <w:lang w:val="en-US" w:eastAsia="zh-CN"/>
                    </w:rPr>
                  </w:pPr>
                </w:p>
              </w:tc>
            </w:tr>
            <w:tr w14:paraId="79DEEB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68" w:hRule="atLeast"/>
              </w:trPr>
              <w:tc>
                <w:tcPr>
                  <w:tcW w:w="426" w:type="pct"/>
                  <w:vMerge w:val="continue"/>
                  <w:vAlign w:val="center"/>
                </w:tcPr>
                <w:p w14:paraId="7961307A">
                  <w:pPr>
                    <w:spacing w:line="276" w:lineRule="auto"/>
                    <w:ind w:left="-105" w:leftChars="-50" w:right="-105" w:rightChars="-50"/>
                    <w:jc w:val="center"/>
                    <w:rPr>
                      <w:rFonts w:hint="default" w:ascii="Times New Roman" w:hAnsi="Times New Roman" w:eastAsia="宋体" w:cs="Times New Roman"/>
                      <w:color w:val="auto"/>
                      <w:szCs w:val="21"/>
                      <w:lang w:val="en-US" w:eastAsia="zh-CN"/>
                    </w:rPr>
                  </w:pPr>
                </w:p>
              </w:tc>
              <w:tc>
                <w:tcPr>
                  <w:tcW w:w="719" w:type="pct"/>
                  <w:vMerge w:val="continue"/>
                  <w:vAlign w:val="center"/>
                </w:tcPr>
                <w:p w14:paraId="17470DC3">
                  <w:pPr>
                    <w:adjustRightInd w:val="0"/>
                    <w:snapToGrid w:val="0"/>
                    <w:jc w:val="center"/>
                    <w:rPr>
                      <w:rFonts w:hint="default" w:ascii="Times New Roman" w:hAnsi="Times New Roman" w:eastAsia="宋体" w:cs="Times New Roman"/>
                      <w:color w:val="auto"/>
                      <w:szCs w:val="21"/>
                      <w:lang w:val="en-US" w:eastAsia="zh-CN"/>
                    </w:rPr>
                  </w:pPr>
                </w:p>
              </w:tc>
              <w:tc>
                <w:tcPr>
                  <w:tcW w:w="489" w:type="pct"/>
                  <w:vAlign w:val="center"/>
                </w:tcPr>
                <w:p w14:paraId="36023331">
                  <w:pPr>
                    <w:adjustRightInd w:val="0"/>
                    <w:snapToGrid w:val="0"/>
                    <w:spacing w:line="276" w:lineRule="auto"/>
                    <w:ind w:left="-105" w:leftChars="-50" w:right="-105" w:rightChars="-5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575" w:type="pct"/>
                  <w:vAlign w:val="center"/>
                </w:tcPr>
                <w:p w14:paraId="47DFD65A">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0.105</w:t>
                  </w:r>
                </w:p>
              </w:tc>
              <w:tc>
                <w:tcPr>
                  <w:tcW w:w="549" w:type="pct"/>
                  <w:vAlign w:val="center"/>
                </w:tcPr>
                <w:p w14:paraId="5343E3D3">
                  <w:pPr>
                    <w:spacing w:line="276" w:lineRule="auto"/>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车间通风</w:t>
                  </w:r>
                </w:p>
              </w:tc>
              <w:tc>
                <w:tcPr>
                  <w:tcW w:w="509" w:type="pct"/>
                  <w:vAlign w:val="center"/>
                </w:tcPr>
                <w:p w14:paraId="05E1774B">
                  <w:pPr>
                    <w:spacing w:line="276" w:lineRule="auto"/>
                    <w:jc w:val="center"/>
                    <w:rPr>
                      <w:rFonts w:hint="default" w:ascii="Times New Roman" w:hAnsi="Times New Roman" w:eastAsia="宋体" w:cs="Times New Roman"/>
                      <w:color w:val="auto"/>
                      <w:szCs w:val="21"/>
                    </w:rPr>
                  </w:pPr>
                  <w:r>
                    <w:rPr>
                      <w:rFonts w:hint="eastAsia" w:ascii="Times New Roman" w:hAnsi="Times New Roman" w:eastAsia="宋体" w:cs="Times New Roman"/>
                      <w:color w:val="auto"/>
                      <w:szCs w:val="21"/>
                      <w:lang w:val="en-US" w:eastAsia="zh-CN"/>
                    </w:rPr>
                    <w:t>0.105</w:t>
                  </w:r>
                </w:p>
              </w:tc>
              <w:tc>
                <w:tcPr>
                  <w:tcW w:w="577" w:type="pct"/>
                  <w:vAlign w:val="center"/>
                </w:tcPr>
                <w:p w14:paraId="43ADC9BB">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0.023</w:t>
                  </w:r>
                </w:p>
              </w:tc>
              <w:tc>
                <w:tcPr>
                  <w:tcW w:w="575" w:type="pct"/>
                  <w:vMerge w:val="continue"/>
                  <w:vAlign w:val="center"/>
                </w:tcPr>
                <w:p w14:paraId="01683558">
                  <w:pPr>
                    <w:spacing w:line="276" w:lineRule="auto"/>
                    <w:jc w:val="center"/>
                    <w:rPr>
                      <w:rFonts w:hint="default" w:ascii="Times New Roman" w:hAnsi="Times New Roman" w:eastAsia="宋体" w:cs="Times New Roman"/>
                      <w:color w:val="auto"/>
                      <w:szCs w:val="21"/>
                    </w:rPr>
                  </w:pPr>
                </w:p>
              </w:tc>
              <w:tc>
                <w:tcPr>
                  <w:tcW w:w="575" w:type="pct"/>
                  <w:vMerge w:val="continue"/>
                  <w:vAlign w:val="center"/>
                </w:tcPr>
                <w:p w14:paraId="5471D1EB">
                  <w:pPr>
                    <w:spacing w:line="276" w:lineRule="auto"/>
                    <w:jc w:val="center"/>
                    <w:rPr>
                      <w:rFonts w:hint="default" w:ascii="Times New Roman" w:hAnsi="Times New Roman" w:eastAsia="宋体" w:cs="Times New Roman"/>
                      <w:color w:val="auto"/>
                      <w:szCs w:val="21"/>
                    </w:rPr>
                  </w:pPr>
                </w:p>
              </w:tc>
            </w:tr>
          </w:tbl>
          <w:p w14:paraId="5DA2DA75">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4.非正常排放</w:t>
            </w:r>
          </w:p>
          <w:p w14:paraId="66752CC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276A958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15分钟。本项目非正常工况大气污染物排放情况见下表。</w:t>
            </w:r>
          </w:p>
          <w:p w14:paraId="3C420520">
            <w:pPr>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lang w:val="en-US" w:eastAsia="zh-CN"/>
              </w:rPr>
              <w:t>表4-</w:t>
            </w:r>
            <w:r>
              <w:rPr>
                <w:rFonts w:hint="eastAsia" w:ascii="Times New Roman" w:hAnsi="Times New Roman" w:eastAsia="宋体" w:cs="Times New Roman"/>
                <w:b/>
                <w:color w:val="auto"/>
                <w:sz w:val="24"/>
                <w:szCs w:val="24"/>
                <w:lang w:val="en-US" w:eastAsia="zh-CN"/>
              </w:rPr>
              <w:t>7</w:t>
            </w:r>
            <w:r>
              <w:rPr>
                <w:rFonts w:hint="default" w:ascii="Times New Roman" w:hAnsi="Times New Roman" w:eastAsia="宋体" w:cs="Times New Roman"/>
                <w:b/>
                <w:color w:val="auto"/>
                <w:sz w:val="24"/>
                <w:szCs w:val="24"/>
                <w:lang w:val="en-US" w:eastAsia="zh-CN"/>
              </w:rPr>
              <w:t xml:space="preserve">  </w:t>
            </w:r>
            <w:r>
              <w:rPr>
                <w:rFonts w:hint="default" w:ascii="Times New Roman" w:hAnsi="Times New Roman" w:eastAsia="宋体" w:cs="Times New Roman"/>
                <w:b/>
                <w:color w:val="auto"/>
                <w:sz w:val="24"/>
                <w:szCs w:val="24"/>
              </w:rPr>
              <w:t>非正常工况有组织废气源强表</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1162"/>
              <w:gridCol w:w="2855"/>
              <w:gridCol w:w="1374"/>
              <w:gridCol w:w="1941"/>
              <w:gridCol w:w="1700"/>
              <w:gridCol w:w="1520"/>
              <w:gridCol w:w="1388"/>
              <w:gridCol w:w="1290"/>
            </w:tblGrid>
            <w:tr w14:paraId="2BF2AB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56" w:hRule="atLeast"/>
                <w:jc w:val="center"/>
              </w:trPr>
              <w:tc>
                <w:tcPr>
                  <w:tcW w:w="439" w:type="pct"/>
                  <w:tcBorders>
                    <w:tl2br w:val="nil"/>
                    <w:tr2bl w:val="nil"/>
                  </w:tcBorders>
                  <w:shd w:val="clear" w:color="auto" w:fill="auto"/>
                  <w:vAlign w:val="center"/>
                </w:tcPr>
                <w:p w14:paraId="7D867FE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污染源</w:t>
                  </w:r>
                </w:p>
              </w:tc>
              <w:tc>
                <w:tcPr>
                  <w:tcW w:w="1078" w:type="pct"/>
                  <w:tcBorders>
                    <w:tl2br w:val="nil"/>
                    <w:tr2bl w:val="nil"/>
                  </w:tcBorders>
                  <w:shd w:val="clear" w:color="auto" w:fill="auto"/>
                  <w:vAlign w:val="center"/>
                </w:tcPr>
                <w:p w14:paraId="41C90AF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非正常排放原因</w:t>
                  </w:r>
                </w:p>
              </w:tc>
              <w:tc>
                <w:tcPr>
                  <w:tcW w:w="519" w:type="pct"/>
                  <w:tcBorders>
                    <w:tl2br w:val="nil"/>
                    <w:tr2bl w:val="nil"/>
                  </w:tcBorders>
                  <w:shd w:val="clear" w:color="auto" w:fill="auto"/>
                  <w:noWrap/>
                  <w:vAlign w:val="center"/>
                </w:tcPr>
                <w:p w14:paraId="5446EFD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733" w:type="pct"/>
                  <w:tcBorders>
                    <w:tl2br w:val="nil"/>
                    <w:tr2bl w:val="nil"/>
                  </w:tcBorders>
                  <w:shd w:val="clear" w:color="auto" w:fill="auto"/>
                  <w:vAlign w:val="center"/>
                </w:tcPr>
                <w:p w14:paraId="2110CD4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非正常排放浓度</w:t>
                  </w:r>
                </w:p>
                <w:p w14:paraId="33CECCC8">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（mg/m</w:t>
                  </w:r>
                  <w:r>
                    <w:rPr>
                      <w:rFonts w:hint="default" w:ascii="Times New Roman" w:hAnsi="Times New Roman" w:eastAsia="宋体" w:cs="Times New Roman"/>
                      <w:b/>
                      <w:bCs/>
                      <w:i w:val="0"/>
                      <w:iCs w:val="0"/>
                      <w:color w:val="auto"/>
                      <w:kern w:val="0"/>
                      <w:sz w:val="21"/>
                      <w:szCs w:val="21"/>
                      <w:u w:val="none"/>
                      <w:vertAlign w:val="superscript"/>
                      <w:lang w:val="en-US" w:eastAsia="zh-CN" w:bidi="ar"/>
                    </w:rPr>
                    <w:t>3</w:t>
                  </w:r>
                  <w:r>
                    <w:rPr>
                      <w:rFonts w:hint="default" w:ascii="Times New Roman" w:hAnsi="Times New Roman" w:eastAsia="宋体" w:cs="Times New Roman"/>
                      <w:b/>
                      <w:bCs/>
                      <w:i w:val="0"/>
                      <w:iCs w:val="0"/>
                      <w:color w:val="auto"/>
                      <w:kern w:val="0"/>
                      <w:sz w:val="21"/>
                      <w:szCs w:val="21"/>
                      <w:u w:val="none"/>
                      <w:lang w:val="en-US" w:eastAsia="zh-CN" w:bidi="ar"/>
                    </w:rPr>
                    <w:t>）</w:t>
                  </w:r>
                </w:p>
              </w:tc>
              <w:tc>
                <w:tcPr>
                  <w:tcW w:w="642" w:type="pct"/>
                  <w:tcBorders>
                    <w:tl2br w:val="nil"/>
                    <w:tr2bl w:val="nil"/>
                  </w:tcBorders>
                  <w:shd w:val="clear" w:color="auto" w:fill="auto"/>
                  <w:vAlign w:val="center"/>
                </w:tcPr>
                <w:p w14:paraId="12F4989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非正常排放速率（kg/h）</w:t>
                  </w:r>
                </w:p>
              </w:tc>
              <w:tc>
                <w:tcPr>
                  <w:tcW w:w="574" w:type="pct"/>
                  <w:tcBorders>
                    <w:tl2br w:val="nil"/>
                    <w:tr2bl w:val="nil"/>
                  </w:tcBorders>
                  <w:shd w:val="clear" w:color="auto" w:fill="auto"/>
                  <w:vAlign w:val="center"/>
                </w:tcPr>
                <w:p w14:paraId="2060C88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非正常排放量（kg）</w:t>
                  </w:r>
                </w:p>
              </w:tc>
              <w:tc>
                <w:tcPr>
                  <w:tcW w:w="524" w:type="pct"/>
                  <w:tcBorders>
                    <w:tl2br w:val="nil"/>
                    <w:tr2bl w:val="nil"/>
                  </w:tcBorders>
                  <w:shd w:val="clear" w:color="auto" w:fill="auto"/>
                  <w:vAlign w:val="center"/>
                </w:tcPr>
                <w:p w14:paraId="543BDAB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单次持续时间（h）</w:t>
                  </w:r>
                </w:p>
              </w:tc>
              <w:tc>
                <w:tcPr>
                  <w:tcW w:w="487" w:type="pct"/>
                  <w:tcBorders>
                    <w:tl2br w:val="nil"/>
                    <w:tr2bl w:val="nil"/>
                  </w:tcBorders>
                  <w:shd w:val="clear" w:color="auto" w:fill="auto"/>
                  <w:vAlign w:val="center"/>
                </w:tcPr>
                <w:p w14:paraId="5E1AF0AA">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年发生频次</w:t>
                  </w:r>
                </w:p>
                <w:p w14:paraId="43B73A0E">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（次）</w:t>
                  </w:r>
                </w:p>
              </w:tc>
            </w:tr>
            <w:tr w14:paraId="676ED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tcBorders>
                    <w:tl2br w:val="nil"/>
                    <w:tr2bl w:val="nil"/>
                  </w:tcBorders>
                  <w:shd w:val="clear" w:color="auto" w:fill="auto"/>
                  <w:vAlign w:val="center"/>
                </w:tcPr>
                <w:p w14:paraId="28C1CB5A">
                  <w:pPr>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DA001</w:t>
                  </w:r>
                </w:p>
              </w:tc>
              <w:tc>
                <w:tcPr>
                  <w:tcW w:w="1078" w:type="pct"/>
                  <w:vMerge w:val="restart"/>
                  <w:tcBorders>
                    <w:tl2br w:val="nil"/>
                    <w:tr2bl w:val="nil"/>
                  </w:tcBorders>
                  <w:shd w:val="clear" w:color="auto" w:fill="auto"/>
                  <w:vAlign w:val="center"/>
                </w:tcPr>
                <w:p w14:paraId="3F9C8139">
                  <w:pPr>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废气处理装置出现故障</w:t>
                  </w:r>
                </w:p>
              </w:tc>
              <w:tc>
                <w:tcPr>
                  <w:tcW w:w="519" w:type="pct"/>
                  <w:tcBorders>
                    <w:tl2br w:val="nil"/>
                    <w:tr2bl w:val="nil"/>
                  </w:tcBorders>
                  <w:shd w:val="clear" w:color="auto" w:fill="auto"/>
                  <w:noWrap/>
                  <w:vAlign w:val="center"/>
                </w:tcPr>
                <w:p w14:paraId="4E446D5D">
                  <w:pPr>
                    <w:contextualSpacing/>
                    <w:jc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bCs/>
                      <w:color w:val="auto"/>
                      <w:sz w:val="21"/>
                      <w:szCs w:val="21"/>
                    </w:rPr>
                    <w:t>非甲烷总烃</w:t>
                  </w:r>
                </w:p>
              </w:tc>
              <w:tc>
                <w:tcPr>
                  <w:tcW w:w="733" w:type="pct"/>
                  <w:tcBorders>
                    <w:tl2br w:val="nil"/>
                    <w:tr2bl w:val="nil"/>
                  </w:tcBorders>
                  <w:shd w:val="clear" w:color="auto" w:fill="auto"/>
                  <w:vAlign w:val="center"/>
                </w:tcPr>
                <w:p w14:paraId="0D99F754">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28.5</w:t>
                  </w:r>
                </w:p>
              </w:tc>
              <w:tc>
                <w:tcPr>
                  <w:tcW w:w="642" w:type="pct"/>
                  <w:tcBorders>
                    <w:tl2br w:val="nil"/>
                    <w:tr2bl w:val="nil"/>
                  </w:tcBorders>
                  <w:shd w:val="clear" w:color="auto" w:fill="auto"/>
                  <w:vAlign w:val="center"/>
                </w:tcPr>
                <w:p w14:paraId="19336A72">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0.057</w:t>
                  </w:r>
                </w:p>
              </w:tc>
              <w:tc>
                <w:tcPr>
                  <w:tcW w:w="574" w:type="pct"/>
                  <w:tcBorders>
                    <w:tl2br w:val="nil"/>
                    <w:tr2bl w:val="nil"/>
                  </w:tcBorders>
                  <w:shd w:val="clear" w:color="auto" w:fill="auto"/>
                  <w:vAlign w:val="center"/>
                </w:tcPr>
                <w:p w14:paraId="649320F5">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0.014</w:t>
                  </w:r>
                </w:p>
              </w:tc>
              <w:tc>
                <w:tcPr>
                  <w:tcW w:w="524" w:type="pct"/>
                  <w:tcBorders>
                    <w:tl2br w:val="nil"/>
                    <w:tr2bl w:val="nil"/>
                  </w:tcBorders>
                  <w:shd w:val="clear" w:color="auto" w:fill="auto"/>
                  <w:noWrap/>
                  <w:vAlign w:val="center"/>
                </w:tcPr>
                <w:p w14:paraId="4BBF0DD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487" w:type="pct"/>
                  <w:tcBorders>
                    <w:tl2br w:val="nil"/>
                    <w:tr2bl w:val="nil"/>
                  </w:tcBorders>
                  <w:shd w:val="clear" w:color="auto" w:fill="auto"/>
                  <w:noWrap/>
                  <w:vAlign w:val="center"/>
                </w:tcPr>
                <w:p w14:paraId="362352D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r>
            <w:tr w14:paraId="6B015B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tcBorders>
                    <w:tl2br w:val="nil"/>
                    <w:tr2bl w:val="nil"/>
                  </w:tcBorders>
                  <w:shd w:val="clear" w:color="auto" w:fill="auto"/>
                  <w:vAlign w:val="center"/>
                </w:tcPr>
                <w:p w14:paraId="37CCE3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DA002</w:t>
                  </w:r>
                </w:p>
              </w:tc>
              <w:tc>
                <w:tcPr>
                  <w:tcW w:w="1078" w:type="pct"/>
                  <w:vMerge w:val="continue"/>
                  <w:tcBorders>
                    <w:tl2br w:val="nil"/>
                    <w:tr2bl w:val="nil"/>
                  </w:tcBorders>
                  <w:shd w:val="clear" w:color="auto" w:fill="auto"/>
                  <w:vAlign w:val="center"/>
                </w:tcPr>
                <w:p w14:paraId="78C3D1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519" w:type="pct"/>
                  <w:tcBorders>
                    <w:tl2br w:val="nil"/>
                    <w:tr2bl w:val="nil"/>
                  </w:tcBorders>
                  <w:shd w:val="clear" w:color="auto" w:fill="auto"/>
                  <w:noWrap/>
                  <w:vAlign w:val="center"/>
                </w:tcPr>
                <w:p w14:paraId="66516227">
                  <w:pPr>
                    <w:contextualSpacing/>
                    <w:jc w:val="center"/>
                    <w:rPr>
                      <w:rFonts w:hint="default" w:ascii="Times New Roman" w:hAnsi="Times New Roman" w:eastAsia="宋体" w:cs="Times New Roman"/>
                      <w:i w:val="0"/>
                      <w:iCs w:val="0"/>
                      <w:color w:val="auto"/>
                      <w:kern w:val="2"/>
                      <w:sz w:val="21"/>
                      <w:szCs w:val="21"/>
                      <w:u w:val="none"/>
                      <w:lang w:val="en-US" w:eastAsia="zh-CN" w:bidi="ar-SA"/>
                    </w:rPr>
                  </w:pPr>
                  <w:r>
                    <w:rPr>
                      <w:rFonts w:hint="eastAsia" w:ascii="Times New Roman" w:hAnsi="Times New Roman" w:eastAsia="宋体" w:cs="Times New Roman"/>
                      <w:bCs/>
                      <w:color w:val="auto"/>
                      <w:sz w:val="21"/>
                      <w:szCs w:val="21"/>
                      <w:lang w:val="en-US" w:eastAsia="zh-CN"/>
                    </w:rPr>
                    <w:t>颗粒物</w:t>
                  </w:r>
                </w:p>
              </w:tc>
              <w:tc>
                <w:tcPr>
                  <w:tcW w:w="733" w:type="pct"/>
                  <w:tcBorders>
                    <w:tl2br w:val="nil"/>
                    <w:tr2bl w:val="nil"/>
                  </w:tcBorders>
                  <w:shd w:val="clear" w:color="auto" w:fill="auto"/>
                  <w:vAlign w:val="center"/>
                </w:tcPr>
                <w:p w14:paraId="5CC74237">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62.5</w:t>
                  </w:r>
                </w:p>
              </w:tc>
              <w:tc>
                <w:tcPr>
                  <w:tcW w:w="642" w:type="pct"/>
                  <w:tcBorders>
                    <w:tl2br w:val="nil"/>
                    <w:tr2bl w:val="nil"/>
                  </w:tcBorders>
                  <w:shd w:val="clear" w:color="auto" w:fill="auto"/>
                  <w:vAlign w:val="center"/>
                </w:tcPr>
                <w:p w14:paraId="2B5524DF">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0.1875</w:t>
                  </w:r>
                </w:p>
              </w:tc>
              <w:tc>
                <w:tcPr>
                  <w:tcW w:w="574" w:type="pct"/>
                  <w:tcBorders>
                    <w:tl2br w:val="nil"/>
                    <w:tr2bl w:val="nil"/>
                  </w:tcBorders>
                  <w:shd w:val="clear" w:color="auto" w:fill="auto"/>
                  <w:vAlign w:val="center"/>
                </w:tcPr>
                <w:p w14:paraId="15667107">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0.047</w:t>
                  </w:r>
                </w:p>
              </w:tc>
              <w:tc>
                <w:tcPr>
                  <w:tcW w:w="524" w:type="pct"/>
                  <w:tcBorders>
                    <w:tl2br w:val="nil"/>
                    <w:tr2bl w:val="nil"/>
                  </w:tcBorders>
                  <w:shd w:val="clear" w:color="auto" w:fill="auto"/>
                  <w:noWrap/>
                  <w:vAlign w:val="center"/>
                </w:tcPr>
                <w:p w14:paraId="7C9CB9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487" w:type="pct"/>
                  <w:tcBorders>
                    <w:tl2br w:val="nil"/>
                    <w:tr2bl w:val="nil"/>
                  </w:tcBorders>
                  <w:shd w:val="clear" w:color="auto" w:fill="auto"/>
                  <w:noWrap/>
                  <w:vAlign w:val="center"/>
                </w:tcPr>
                <w:p w14:paraId="78F9D8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92AFF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tcBorders>
                    <w:tl2br w:val="nil"/>
                    <w:tr2bl w:val="nil"/>
                  </w:tcBorders>
                  <w:shd w:val="clear" w:color="auto" w:fill="auto"/>
                  <w:vAlign w:val="center"/>
                </w:tcPr>
                <w:p w14:paraId="01285DD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DA00</w:t>
                  </w:r>
                  <w:r>
                    <w:rPr>
                      <w:rFonts w:hint="eastAsia" w:ascii="Times New Roman" w:hAnsi="Times New Roman" w:eastAsia="宋体" w:cs="Times New Roman"/>
                      <w:i w:val="0"/>
                      <w:iCs w:val="0"/>
                      <w:color w:val="auto"/>
                      <w:kern w:val="0"/>
                      <w:sz w:val="21"/>
                      <w:szCs w:val="21"/>
                      <w:u w:val="none"/>
                      <w:lang w:val="en-US" w:eastAsia="zh-CN" w:bidi="ar"/>
                    </w:rPr>
                    <w:t>3</w:t>
                  </w:r>
                </w:p>
              </w:tc>
              <w:tc>
                <w:tcPr>
                  <w:tcW w:w="1078" w:type="pct"/>
                  <w:vMerge w:val="continue"/>
                  <w:tcBorders>
                    <w:tl2br w:val="nil"/>
                    <w:tr2bl w:val="nil"/>
                  </w:tcBorders>
                  <w:shd w:val="clear" w:color="auto" w:fill="auto"/>
                  <w:vAlign w:val="center"/>
                </w:tcPr>
                <w:p w14:paraId="34680F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519" w:type="pct"/>
                  <w:tcBorders>
                    <w:tl2br w:val="nil"/>
                    <w:tr2bl w:val="nil"/>
                  </w:tcBorders>
                  <w:shd w:val="clear" w:color="auto" w:fill="auto"/>
                  <w:noWrap/>
                  <w:vAlign w:val="center"/>
                </w:tcPr>
                <w:p w14:paraId="0E10AF6E">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氨气</w:t>
                  </w:r>
                </w:p>
              </w:tc>
              <w:tc>
                <w:tcPr>
                  <w:tcW w:w="733" w:type="pct"/>
                  <w:tcBorders>
                    <w:tl2br w:val="nil"/>
                    <w:tr2bl w:val="nil"/>
                  </w:tcBorders>
                  <w:shd w:val="clear" w:color="auto" w:fill="auto"/>
                  <w:vAlign w:val="center"/>
                </w:tcPr>
                <w:p w14:paraId="70419222">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12</w:t>
                  </w:r>
                </w:p>
              </w:tc>
              <w:tc>
                <w:tcPr>
                  <w:tcW w:w="642" w:type="pct"/>
                  <w:tcBorders>
                    <w:tl2br w:val="nil"/>
                    <w:tr2bl w:val="nil"/>
                  </w:tcBorders>
                  <w:shd w:val="clear" w:color="auto" w:fill="auto"/>
                  <w:vAlign w:val="center"/>
                </w:tcPr>
                <w:p w14:paraId="7CAB0457">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0.018</w:t>
                  </w:r>
                </w:p>
              </w:tc>
              <w:tc>
                <w:tcPr>
                  <w:tcW w:w="574" w:type="pct"/>
                  <w:tcBorders>
                    <w:tl2br w:val="nil"/>
                    <w:tr2bl w:val="nil"/>
                  </w:tcBorders>
                  <w:shd w:val="clear" w:color="auto" w:fill="auto"/>
                  <w:vAlign w:val="center"/>
                </w:tcPr>
                <w:p w14:paraId="76D9BB15">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0.0045</w:t>
                  </w:r>
                </w:p>
              </w:tc>
              <w:tc>
                <w:tcPr>
                  <w:tcW w:w="524" w:type="pct"/>
                  <w:tcBorders>
                    <w:tl2br w:val="nil"/>
                    <w:tr2bl w:val="nil"/>
                  </w:tcBorders>
                  <w:shd w:val="clear" w:color="auto" w:fill="auto"/>
                  <w:noWrap/>
                  <w:vAlign w:val="center"/>
                </w:tcPr>
                <w:p w14:paraId="27E970B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487" w:type="pct"/>
                  <w:tcBorders>
                    <w:tl2br w:val="nil"/>
                    <w:tr2bl w:val="nil"/>
                  </w:tcBorders>
                  <w:shd w:val="clear" w:color="auto" w:fill="auto"/>
                  <w:noWrap/>
                  <w:vAlign w:val="center"/>
                </w:tcPr>
                <w:p w14:paraId="3D57E036">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w:t>
                  </w:r>
                </w:p>
              </w:tc>
            </w:tr>
            <w:tr w14:paraId="7CB1DE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9" w:type="pct"/>
                  <w:tcBorders>
                    <w:tl2br w:val="nil"/>
                    <w:tr2bl w:val="nil"/>
                  </w:tcBorders>
                  <w:shd w:val="clear" w:color="auto" w:fill="auto"/>
                  <w:vAlign w:val="center"/>
                </w:tcPr>
                <w:p w14:paraId="529DF2F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DA00</w:t>
                  </w:r>
                  <w:r>
                    <w:rPr>
                      <w:rFonts w:hint="eastAsia" w:ascii="Times New Roman" w:hAnsi="Times New Roman" w:eastAsia="宋体" w:cs="Times New Roman"/>
                      <w:i w:val="0"/>
                      <w:iCs w:val="0"/>
                      <w:color w:val="auto"/>
                      <w:kern w:val="0"/>
                      <w:sz w:val="21"/>
                      <w:szCs w:val="21"/>
                      <w:u w:val="none"/>
                      <w:lang w:val="en-US" w:eastAsia="zh-CN" w:bidi="ar"/>
                    </w:rPr>
                    <w:t>4</w:t>
                  </w:r>
                </w:p>
              </w:tc>
              <w:tc>
                <w:tcPr>
                  <w:tcW w:w="1078" w:type="pct"/>
                  <w:vMerge w:val="continue"/>
                  <w:tcBorders>
                    <w:tl2br w:val="nil"/>
                    <w:tr2bl w:val="nil"/>
                  </w:tcBorders>
                  <w:shd w:val="clear" w:color="auto" w:fill="auto"/>
                  <w:vAlign w:val="center"/>
                </w:tcPr>
                <w:p w14:paraId="33480BC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519" w:type="pct"/>
                  <w:tcBorders>
                    <w:tl2br w:val="nil"/>
                    <w:tr2bl w:val="nil"/>
                  </w:tcBorders>
                  <w:shd w:val="clear" w:color="auto" w:fill="auto"/>
                  <w:noWrap/>
                  <w:vAlign w:val="center"/>
                </w:tcPr>
                <w:p w14:paraId="3D691F42">
                  <w:pPr>
                    <w:contextualSpacing/>
                    <w:jc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bCs/>
                      <w:color w:val="auto"/>
                      <w:sz w:val="21"/>
                      <w:szCs w:val="21"/>
                      <w:lang w:val="en-US" w:eastAsia="zh-CN"/>
                    </w:rPr>
                    <w:t>颗粒物</w:t>
                  </w:r>
                </w:p>
              </w:tc>
              <w:tc>
                <w:tcPr>
                  <w:tcW w:w="733" w:type="pct"/>
                  <w:tcBorders>
                    <w:tl2br w:val="nil"/>
                    <w:tr2bl w:val="nil"/>
                  </w:tcBorders>
                  <w:shd w:val="clear" w:color="auto" w:fill="auto"/>
                  <w:vAlign w:val="center"/>
                </w:tcPr>
                <w:p w14:paraId="01021D02">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44</w:t>
                  </w:r>
                </w:p>
              </w:tc>
              <w:tc>
                <w:tcPr>
                  <w:tcW w:w="642" w:type="pct"/>
                  <w:tcBorders>
                    <w:tl2br w:val="nil"/>
                    <w:tr2bl w:val="nil"/>
                  </w:tcBorders>
                  <w:shd w:val="clear" w:color="auto" w:fill="auto"/>
                  <w:vAlign w:val="center"/>
                </w:tcPr>
                <w:p w14:paraId="1F2CD360">
                  <w:pPr>
                    <w:contextualSpacing/>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0.044</w:t>
                  </w:r>
                </w:p>
              </w:tc>
              <w:tc>
                <w:tcPr>
                  <w:tcW w:w="574" w:type="pct"/>
                  <w:tcBorders>
                    <w:tl2br w:val="nil"/>
                    <w:tr2bl w:val="nil"/>
                  </w:tcBorders>
                  <w:shd w:val="clear" w:color="auto" w:fill="auto"/>
                  <w:vAlign w:val="center"/>
                </w:tcPr>
                <w:p w14:paraId="19051353">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0.011</w:t>
                  </w:r>
                </w:p>
              </w:tc>
              <w:tc>
                <w:tcPr>
                  <w:tcW w:w="524" w:type="pct"/>
                  <w:tcBorders>
                    <w:tl2br w:val="nil"/>
                    <w:tr2bl w:val="nil"/>
                  </w:tcBorders>
                  <w:shd w:val="clear" w:color="auto" w:fill="auto"/>
                  <w:noWrap/>
                  <w:vAlign w:val="center"/>
                </w:tcPr>
                <w:p w14:paraId="3F10748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0.25</w:t>
                  </w:r>
                </w:p>
              </w:tc>
              <w:tc>
                <w:tcPr>
                  <w:tcW w:w="487" w:type="pct"/>
                  <w:tcBorders>
                    <w:tl2br w:val="nil"/>
                    <w:tr2bl w:val="nil"/>
                  </w:tcBorders>
                  <w:shd w:val="clear" w:color="auto" w:fill="auto"/>
                  <w:noWrap/>
                  <w:vAlign w:val="center"/>
                </w:tcPr>
                <w:p w14:paraId="5F8A2168">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r>
          </w:tbl>
          <w:p w14:paraId="624E97BD">
            <w:pPr>
              <w:adjustRightInd w:val="0"/>
              <w:snapToGrid w:val="0"/>
              <w:spacing w:before="120" w:beforeLines="50" w:line="360" w:lineRule="auto"/>
              <w:rPr>
                <w:rFonts w:hint="default" w:ascii="Times New Roman" w:hAnsi="Times New Roman" w:eastAsia="宋体" w:cs="Times New Roman"/>
                <w:bCs/>
                <w:color w:val="auto"/>
                <w:sz w:val="24"/>
              </w:rPr>
            </w:pPr>
          </w:p>
        </w:tc>
      </w:tr>
    </w:tbl>
    <w:p w14:paraId="632DC64E">
      <w:pPr>
        <w:numPr>
          <w:ilvl w:val="0"/>
          <w:numId w:val="0"/>
        </w:numPr>
        <w:rPr>
          <w:rFonts w:hint="default" w:ascii="Times New Roman" w:hAnsi="Times New Roman" w:cs="Times New Roman"/>
          <w:color w:val="auto"/>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530"/>
      </w:tblGrid>
      <w:tr w14:paraId="2637D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5" w:hRule="atLeast"/>
        </w:trPr>
        <w:tc>
          <w:tcPr>
            <w:tcW w:w="407" w:type="pct"/>
            <w:vAlign w:val="center"/>
          </w:tcPr>
          <w:p w14:paraId="592AC846">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运营期环境影响和保护措施</w:t>
            </w:r>
          </w:p>
        </w:tc>
        <w:tc>
          <w:tcPr>
            <w:tcW w:w="4592" w:type="pct"/>
          </w:tcPr>
          <w:p w14:paraId="5B8B8860">
            <w:pPr>
              <w:keepNext w:val="0"/>
              <w:keepLines w:val="0"/>
              <w:pageBreakBefore w:val="0"/>
              <w:widowControl w:val="0"/>
              <w:numPr>
                <w:ilvl w:val="0"/>
                <w:numId w:val="0"/>
              </w:numPr>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lang w:val="en-US" w:eastAsia="zh-CN"/>
              </w:rPr>
              <w:t>5.</w:t>
            </w:r>
            <w:r>
              <w:rPr>
                <w:rFonts w:hint="default" w:ascii="Times New Roman" w:hAnsi="Times New Roman" w:eastAsia="宋体" w:cs="Times New Roman"/>
                <w:b/>
                <w:bCs w:val="0"/>
                <w:color w:val="auto"/>
                <w:sz w:val="24"/>
              </w:rPr>
              <w:t>监测计划</w:t>
            </w:r>
          </w:p>
          <w:p w14:paraId="0D4B4EA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bCs/>
                <w:color w:val="auto"/>
                <w:sz w:val="28"/>
                <w:szCs w:val="28"/>
              </w:rPr>
            </w:pPr>
            <w:r>
              <w:rPr>
                <w:rFonts w:hint="default" w:ascii="Times New Roman" w:hAnsi="Times New Roman" w:eastAsia="宋体" w:cs="Times New Roman"/>
                <w:color w:val="auto"/>
                <w:sz w:val="24"/>
                <w:highlight w:val="none"/>
                <w:lang w:val="en-US" w:eastAsia="zh-CN"/>
              </w:rPr>
              <w:t>参照《排污单位自行监测技术指南总则》（HJ819-2017）中相关要求，项目废气自行监测方案见下表。</w:t>
            </w:r>
          </w:p>
          <w:p w14:paraId="190774BA">
            <w:pPr>
              <w:adjustRightInd w:val="0"/>
              <w:snapToGrid w:val="0"/>
              <w:jc w:val="center"/>
              <w:rPr>
                <w:rFonts w:hint="default" w:ascii="Times New Roman" w:hAnsi="Times New Roman" w:eastAsia="宋体" w:cs="Times New Roman"/>
                <w:b/>
                <w:bCs/>
                <w:color w:val="auto"/>
                <w:sz w:val="28"/>
                <w:szCs w:val="28"/>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8</w:t>
            </w:r>
            <w:r>
              <w:rPr>
                <w:rFonts w:hint="default" w:ascii="Times New Roman" w:hAnsi="Times New Roman" w:eastAsia="宋体" w:cs="Times New Roman"/>
                <w:b/>
                <w:bCs/>
                <w:color w:val="auto"/>
                <w:sz w:val="24"/>
              </w:rPr>
              <w:t xml:space="preserve">  建设项目运营期废气监测计划表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338"/>
              <w:gridCol w:w="468"/>
              <w:gridCol w:w="1501"/>
              <w:gridCol w:w="1358"/>
              <w:gridCol w:w="1084"/>
              <w:gridCol w:w="1483"/>
              <w:gridCol w:w="804"/>
              <w:gridCol w:w="1278"/>
            </w:tblGrid>
            <w:tr w14:paraId="70162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c>
                <w:tcPr>
                  <w:tcW w:w="203" w:type="pct"/>
                  <w:tcBorders>
                    <w:tl2br w:val="nil"/>
                    <w:tr2bl w:val="nil"/>
                  </w:tcBorders>
                  <w:vAlign w:val="center"/>
                </w:tcPr>
                <w:p w14:paraId="3F243CF3">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时段</w:t>
                  </w:r>
                </w:p>
              </w:tc>
              <w:tc>
                <w:tcPr>
                  <w:tcW w:w="281" w:type="pct"/>
                  <w:tcBorders>
                    <w:tl2br w:val="nil"/>
                    <w:tr2bl w:val="nil"/>
                  </w:tcBorders>
                  <w:shd w:val="clear" w:color="auto" w:fill="auto"/>
                  <w:vAlign w:val="center"/>
                </w:tcPr>
                <w:p w14:paraId="29AF90BB">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902" w:type="pct"/>
                  <w:tcBorders>
                    <w:tl2br w:val="nil"/>
                    <w:tr2bl w:val="nil"/>
                  </w:tcBorders>
                  <w:shd w:val="clear" w:color="auto" w:fill="auto"/>
                  <w:vAlign w:val="center"/>
                </w:tcPr>
                <w:p w14:paraId="5B1A424D">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监测位置</w:t>
                  </w:r>
                </w:p>
              </w:tc>
              <w:tc>
                <w:tcPr>
                  <w:tcW w:w="816" w:type="pct"/>
                  <w:tcBorders>
                    <w:tl2br w:val="nil"/>
                    <w:tr2bl w:val="nil"/>
                  </w:tcBorders>
                  <w:shd w:val="clear" w:color="auto" w:fill="auto"/>
                  <w:vAlign w:val="center"/>
                </w:tcPr>
                <w:p w14:paraId="3C650A48">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监测项目</w:t>
                  </w:r>
                </w:p>
              </w:tc>
              <w:tc>
                <w:tcPr>
                  <w:tcW w:w="651" w:type="pct"/>
                  <w:tcBorders>
                    <w:tl2br w:val="nil"/>
                    <w:tr2bl w:val="nil"/>
                  </w:tcBorders>
                  <w:shd w:val="clear" w:color="auto" w:fill="auto"/>
                  <w:vAlign w:val="center"/>
                </w:tcPr>
                <w:p w14:paraId="0C35F90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监测频率</w:t>
                  </w:r>
                </w:p>
              </w:tc>
              <w:tc>
                <w:tcPr>
                  <w:tcW w:w="891" w:type="pct"/>
                  <w:tcBorders>
                    <w:tl2br w:val="nil"/>
                    <w:tr2bl w:val="nil"/>
                  </w:tcBorders>
                  <w:vAlign w:val="center"/>
                </w:tcPr>
                <w:p w14:paraId="2C734805">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执行标准</w:t>
                  </w:r>
                </w:p>
              </w:tc>
              <w:tc>
                <w:tcPr>
                  <w:tcW w:w="483" w:type="pct"/>
                  <w:tcBorders>
                    <w:tl2br w:val="nil"/>
                    <w:tr2bl w:val="nil"/>
                  </w:tcBorders>
                  <w:shd w:val="clear" w:color="auto" w:fill="auto"/>
                  <w:vAlign w:val="center"/>
                </w:tcPr>
                <w:p w14:paraId="4343799C">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监测方法</w:t>
                  </w:r>
                </w:p>
              </w:tc>
              <w:tc>
                <w:tcPr>
                  <w:tcW w:w="768" w:type="pct"/>
                  <w:tcBorders>
                    <w:tl2br w:val="nil"/>
                    <w:tr2bl w:val="nil"/>
                  </w:tcBorders>
                  <w:vAlign w:val="center"/>
                </w:tcPr>
                <w:p w14:paraId="5382F658">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依据</w:t>
                  </w:r>
                </w:p>
              </w:tc>
            </w:tr>
            <w:tr w14:paraId="6155D8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restart"/>
                  <w:tcBorders>
                    <w:tl2br w:val="nil"/>
                    <w:tr2bl w:val="nil"/>
                  </w:tcBorders>
                  <w:vAlign w:val="center"/>
                </w:tcPr>
                <w:p w14:paraId="10A2F261">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营运期</w:t>
                  </w:r>
                </w:p>
              </w:tc>
              <w:tc>
                <w:tcPr>
                  <w:tcW w:w="281" w:type="pct"/>
                  <w:vMerge w:val="restart"/>
                  <w:tcBorders>
                    <w:tl2br w:val="nil"/>
                    <w:tr2bl w:val="nil"/>
                  </w:tcBorders>
                  <w:shd w:val="clear" w:color="auto" w:fill="auto"/>
                  <w:vAlign w:val="center"/>
                </w:tcPr>
                <w:p w14:paraId="1BB0921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902" w:type="pct"/>
                  <w:tcBorders>
                    <w:tl2br w:val="nil"/>
                    <w:tr2bl w:val="nil"/>
                  </w:tcBorders>
                  <w:shd w:val="clear" w:color="auto" w:fill="auto"/>
                  <w:vAlign w:val="center"/>
                </w:tcPr>
                <w:p w14:paraId="3D361AE1">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DA00</w:t>
                  </w:r>
                  <w:r>
                    <w:rPr>
                      <w:rFonts w:hint="default"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排气筒</w:t>
                  </w:r>
                </w:p>
              </w:tc>
              <w:tc>
                <w:tcPr>
                  <w:tcW w:w="816" w:type="pct"/>
                  <w:tcBorders>
                    <w:tl2br w:val="nil"/>
                    <w:tr2bl w:val="nil"/>
                  </w:tcBorders>
                  <w:shd w:val="clear" w:color="auto" w:fill="auto"/>
                  <w:vAlign w:val="center"/>
                </w:tcPr>
                <w:p w14:paraId="20016A7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651" w:type="pct"/>
                  <w:tcBorders>
                    <w:tl2br w:val="nil"/>
                    <w:tr2bl w:val="nil"/>
                  </w:tcBorders>
                  <w:shd w:val="clear" w:color="auto" w:fill="auto"/>
                  <w:vAlign w:val="center"/>
                </w:tcPr>
                <w:p w14:paraId="33C1E8A7">
                  <w:pPr>
                    <w:spacing w:line="24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891" w:type="pct"/>
                  <w:vMerge w:val="restart"/>
                  <w:tcBorders>
                    <w:tl2br w:val="nil"/>
                    <w:tr2bl w:val="nil"/>
                  </w:tcBorders>
                  <w:vAlign w:val="center"/>
                </w:tcPr>
                <w:p w14:paraId="74493EB6">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《大气污染物综合排放标准》（DB32/4041-2021）</w:t>
                  </w:r>
                </w:p>
              </w:tc>
              <w:tc>
                <w:tcPr>
                  <w:tcW w:w="483" w:type="pct"/>
                  <w:vMerge w:val="restart"/>
                  <w:tcBorders>
                    <w:tl2br w:val="nil"/>
                    <w:tr2bl w:val="nil"/>
                  </w:tcBorders>
                  <w:shd w:val="clear" w:color="auto" w:fill="auto"/>
                  <w:vAlign w:val="center"/>
                </w:tcPr>
                <w:p w14:paraId="183ED536">
                  <w:pPr>
                    <w:spacing w:line="24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Cs/>
                      <w:color w:val="auto"/>
                      <w:sz w:val="21"/>
                      <w:szCs w:val="21"/>
                    </w:rPr>
                    <w:t>采用国家规定最新监测方法与标准</w:t>
                  </w:r>
                </w:p>
              </w:tc>
              <w:tc>
                <w:tcPr>
                  <w:tcW w:w="768" w:type="pct"/>
                  <w:vMerge w:val="restart"/>
                  <w:tcBorders>
                    <w:tl2br w:val="nil"/>
                    <w:tr2bl w:val="nil"/>
                  </w:tcBorders>
                  <w:vAlign w:val="center"/>
                </w:tcPr>
                <w:p w14:paraId="36B85632">
                  <w:pPr>
                    <w:spacing w:line="240" w:lineRule="exact"/>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《排污单位自行监测技术指南 总则》（HJ942-2017）</w:t>
                  </w:r>
                </w:p>
              </w:tc>
            </w:tr>
            <w:tr w14:paraId="4F8472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0" w:hRule="atLeast"/>
              </w:trPr>
              <w:tc>
                <w:tcPr>
                  <w:tcW w:w="203" w:type="pct"/>
                  <w:vMerge w:val="continue"/>
                  <w:tcBorders>
                    <w:tl2br w:val="nil"/>
                    <w:tr2bl w:val="nil"/>
                  </w:tcBorders>
                  <w:vAlign w:val="center"/>
                </w:tcPr>
                <w:p w14:paraId="4A4EF0D3">
                  <w:pPr>
                    <w:jc w:val="center"/>
                    <w:rPr>
                      <w:rFonts w:hint="default" w:ascii="Times New Roman" w:hAnsi="Times New Roman" w:eastAsia="宋体" w:cs="Times New Roman"/>
                      <w:bCs/>
                      <w:color w:val="auto"/>
                      <w:sz w:val="21"/>
                      <w:szCs w:val="21"/>
                    </w:rPr>
                  </w:pPr>
                </w:p>
              </w:tc>
              <w:tc>
                <w:tcPr>
                  <w:tcW w:w="281" w:type="pct"/>
                  <w:vMerge w:val="continue"/>
                  <w:tcBorders>
                    <w:tl2br w:val="nil"/>
                    <w:tr2bl w:val="nil"/>
                  </w:tcBorders>
                  <w:shd w:val="clear" w:color="auto" w:fill="auto"/>
                  <w:vAlign w:val="center"/>
                </w:tcPr>
                <w:p w14:paraId="09708663">
                  <w:pPr>
                    <w:jc w:val="center"/>
                    <w:rPr>
                      <w:rFonts w:hint="default" w:ascii="Times New Roman" w:hAnsi="Times New Roman" w:eastAsia="宋体" w:cs="Times New Roman"/>
                      <w:color w:val="auto"/>
                      <w:sz w:val="21"/>
                      <w:szCs w:val="21"/>
                    </w:rPr>
                  </w:pPr>
                </w:p>
              </w:tc>
              <w:tc>
                <w:tcPr>
                  <w:tcW w:w="902" w:type="pct"/>
                  <w:tcBorders>
                    <w:tl2br w:val="nil"/>
                    <w:tr2bl w:val="nil"/>
                  </w:tcBorders>
                  <w:shd w:val="clear" w:color="auto" w:fill="auto"/>
                  <w:vAlign w:val="center"/>
                </w:tcPr>
                <w:p w14:paraId="6EF26664">
                  <w:pPr>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bCs/>
                      <w:color w:val="auto"/>
                      <w:sz w:val="21"/>
                      <w:szCs w:val="21"/>
                    </w:rPr>
                    <w:t>DA00</w:t>
                  </w:r>
                  <w:r>
                    <w:rPr>
                      <w:rFonts w:hint="default"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排气筒</w:t>
                  </w:r>
                </w:p>
              </w:tc>
              <w:tc>
                <w:tcPr>
                  <w:tcW w:w="816" w:type="pct"/>
                  <w:tcBorders>
                    <w:tl2br w:val="nil"/>
                    <w:tr2bl w:val="nil"/>
                  </w:tcBorders>
                  <w:shd w:val="clear" w:color="auto" w:fill="auto"/>
                  <w:vAlign w:val="center"/>
                </w:tcPr>
                <w:p w14:paraId="1D1D6083">
                  <w:pPr>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颗粒物</w:t>
                  </w:r>
                </w:p>
              </w:tc>
              <w:tc>
                <w:tcPr>
                  <w:tcW w:w="651" w:type="pct"/>
                  <w:tcBorders>
                    <w:tl2br w:val="nil"/>
                    <w:tr2bl w:val="nil"/>
                  </w:tcBorders>
                  <w:shd w:val="clear" w:color="auto" w:fill="auto"/>
                  <w:vAlign w:val="center"/>
                </w:tcPr>
                <w:p w14:paraId="6AC9DCF3">
                  <w:pPr>
                    <w:spacing w:line="24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1次/年</w:t>
                  </w:r>
                </w:p>
              </w:tc>
              <w:tc>
                <w:tcPr>
                  <w:tcW w:w="891" w:type="pct"/>
                  <w:vMerge w:val="continue"/>
                  <w:tcBorders>
                    <w:tl2br w:val="nil"/>
                    <w:tr2bl w:val="nil"/>
                  </w:tcBorders>
                  <w:vAlign w:val="center"/>
                </w:tcPr>
                <w:p w14:paraId="0A2A72E6">
                  <w:pPr>
                    <w:snapToGrid w:val="0"/>
                    <w:jc w:val="center"/>
                    <w:rPr>
                      <w:rFonts w:hint="default" w:ascii="Times New Roman" w:hAnsi="Times New Roman" w:eastAsia="宋体" w:cs="Times New Roman"/>
                      <w:color w:val="auto"/>
                      <w:sz w:val="21"/>
                      <w:szCs w:val="21"/>
                    </w:rPr>
                  </w:pPr>
                </w:p>
              </w:tc>
              <w:tc>
                <w:tcPr>
                  <w:tcW w:w="483" w:type="pct"/>
                  <w:vMerge w:val="continue"/>
                  <w:tcBorders>
                    <w:tl2br w:val="nil"/>
                    <w:tr2bl w:val="nil"/>
                  </w:tcBorders>
                  <w:shd w:val="clear" w:color="auto" w:fill="auto"/>
                  <w:vAlign w:val="center"/>
                </w:tcPr>
                <w:p w14:paraId="0149EE94">
                  <w:pPr>
                    <w:spacing w:line="240" w:lineRule="exact"/>
                    <w:jc w:val="center"/>
                    <w:rPr>
                      <w:rFonts w:hint="default" w:ascii="Times New Roman" w:hAnsi="Times New Roman" w:eastAsia="宋体" w:cs="Times New Roman"/>
                      <w:b/>
                      <w:color w:val="auto"/>
                      <w:sz w:val="21"/>
                      <w:szCs w:val="21"/>
                    </w:rPr>
                  </w:pPr>
                </w:p>
              </w:tc>
              <w:tc>
                <w:tcPr>
                  <w:tcW w:w="768" w:type="pct"/>
                  <w:vMerge w:val="continue"/>
                  <w:tcBorders>
                    <w:tl2br w:val="nil"/>
                    <w:tr2bl w:val="nil"/>
                  </w:tcBorders>
                  <w:vAlign w:val="center"/>
                </w:tcPr>
                <w:p w14:paraId="3267F227">
                  <w:pPr>
                    <w:spacing w:line="240" w:lineRule="exact"/>
                    <w:jc w:val="center"/>
                    <w:rPr>
                      <w:rFonts w:hint="default" w:ascii="Times New Roman" w:hAnsi="Times New Roman" w:eastAsia="宋体" w:cs="Times New Roman"/>
                      <w:b/>
                      <w:color w:val="auto"/>
                      <w:sz w:val="21"/>
                      <w:szCs w:val="21"/>
                    </w:rPr>
                  </w:pPr>
                </w:p>
              </w:tc>
            </w:tr>
            <w:tr w14:paraId="2560B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80" w:hRule="atLeast"/>
              </w:trPr>
              <w:tc>
                <w:tcPr>
                  <w:tcW w:w="203" w:type="pct"/>
                  <w:vMerge w:val="continue"/>
                  <w:tcBorders>
                    <w:tl2br w:val="nil"/>
                    <w:tr2bl w:val="nil"/>
                  </w:tcBorders>
                  <w:vAlign w:val="center"/>
                </w:tcPr>
                <w:p w14:paraId="512ADFA8">
                  <w:pPr>
                    <w:jc w:val="center"/>
                    <w:rPr>
                      <w:rFonts w:hint="default" w:ascii="Times New Roman" w:hAnsi="Times New Roman" w:eastAsia="宋体" w:cs="Times New Roman"/>
                      <w:bCs/>
                      <w:color w:val="auto"/>
                      <w:sz w:val="21"/>
                      <w:szCs w:val="21"/>
                    </w:rPr>
                  </w:pPr>
                </w:p>
              </w:tc>
              <w:tc>
                <w:tcPr>
                  <w:tcW w:w="281" w:type="pct"/>
                  <w:vMerge w:val="continue"/>
                  <w:tcBorders>
                    <w:tl2br w:val="nil"/>
                    <w:tr2bl w:val="nil"/>
                  </w:tcBorders>
                  <w:shd w:val="clear" w:color="auto" w:fill="auto"/>
                  <w:vAlign w:val="center"/>
                </w:tcPr>
                <w:p w14:paraId="50075F39">
                  <w:pPr>
                    <w:jc w:val="center"/>
                    <w:rPr>
                      <w:rFonts w:hint="default" w:ascii="Times New Roman" w:hAnsi="Times New Roman" w:eastAsia="宋体" w:cs="Times New Roman"/>
                      <w:color w:val="auto"/>
                      <w:sz w:val="21"/>
                      <w:szCs w:val="21"/>
                    </w:rPr>
                  </w:pPr>
                </w:p>
              </w:tc>
              <w:tc>
                <w:tcPr>
                  <w:tcW w:w="902" w:type="pct"/>
                  <w:tcBorders>
                    <w:tl2br w:val="nil"/>
                    <w:tr2bl w:val="nil"/>
                  </w:tcBorders>
                  <w:shd w:val="clear" w:color="auto" w:fill="auto"/>
                  <w:vAlign w:val="center"/>
                </w:tcPr>
                <w:p w14:paraId="3293BFC3">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DA00</w:t>
                  </w:r>
                  <w:r>
                    <w:rPr>
                      <w:rFonts w:hint="eastAsia" w:ascii="Times New Roman" w:hAnsi="Times New Roman" w:eastAsia="宋体" w:cs="Times New Roman"/>
                      <w:bCs/>
                      <w:color w:val="auto"/>
                      <w:sz w:val="21"/>
                      <w:szCs w:val="21"/>
                      <w:lang w:val="en-US" w:eastAsia="zh-CN"/>
                    </w:rPr>
                    <w:t>3</w:t>
                  </w:r>
                  <w:r>
                    <w:rPr>
                      <w:rFonts w:hint="default" w:ascii="Times New Roman" w:hAnsi="Times New Roman" w:eastAsia="宋体" w:cs="Times New Roman"/>
                      <w:bCs/>
                      <w:color w:val="auto"/>
                      <w:sz w:val="21"/>
                      <w:szCs w:val="21"/>
                    </w:rPr>
                    <w:t>排气筒</w:t>
                  </w:r>
                </w:p>
              </w:tc>
              <w:tc>
                <w:tcPr>
                  <w:tcW w:w="816" w:type="pct"/>
                  <w:tcBorders>
                    <w:tl2br w:val="nil"/>
                    <w:tr2bl w:val="nil"/>
                  </w:tcBorders>
                  <w:shd w:val="clear" w:color="auto" w:fill="auto"/>
                  <w:vAlign w:val="center"/>
                </w:tcPr>
                <w:p w14:paraId="244A4FD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氨气</w:t>
                  </w:r>
                </w:p>
              </w:tc>
              <w:tc>
                <w:tcPr>
                  <w:tcW w:w="651" w:type="pct"/>
                  <w:tcBorders>
                    <w:tl2br w:val="nil"/>
                    <w:tr2bl w:val="nil"/>
                  </w:tcBorders>
                  <w:shd w:val="clear" w:color="auto" w:fill="auto"/>
                  <w:vAlign w:val="center"/>
                </w:tcPr>
                <w:p w14:paraId="32C02F98">
                  <w:pPr>
                    <w:spacing w:line="24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1次/年</w:t>
                  </w:r>
                </w:p>
              </w:tc>
              <w:tc>
                <w:tcPr>
                  <w:tcW w:w="891" w:type="pct"/>
                  <w:tcBorders>
                    <w:tl2br w:val="nil"/>
                    <w:tr2bl w:val="nil"/>
                  </w:tcBorders>
                  <w:vAlign w:val="center"/>
                </w:tcPr>
                <w:p w14:paraId="4E20F315">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lang w:val="en-US" w:eastAsia="zh-CN"/>
                    </w:rPr>
                    <w:t>《恶臭污染物排放标准》（GB 14554-93）</w:t>
                  </w:r>
                </w:p>
              </w:tc>
              <w:tc>
                <w:tcPr>
                  <w:tcW w:w="483" w:type="pct"/>
                  <w:vMerge w:val="continue"/>
                  <w:tcBorders>
                    <w:tl2br w:val="nil"/>
                    <w:tr2bl w:val="nil"/>
                  </w:tcBorders>
                  <w:shd w:val="clear" w:color="auto" w:fill="auto"/>
                  <w:vAlign w:val="center"/>
                </w:tcPr>
                <w:p w14:paraId="12FD68E8">
                  <w:pPr>
                    <w:spacing w:line="240" w:lineRule="exact"/>
                    <w:jc w:val="center"/>
                    <w:rPr>
                      <w:rFonts w:hint="default" w:ascii="Times New Roman" w:hAnsi="Times New Roman" w:eastAsia="宋体" w:cs="Times New Roman"/>
                      <w:b/>
                      <w:color w:val="auto"/>
                      <w:sz w:val="21"/>
                      <w:szCs w:val="21"/>
                    </w:rPr>
                  </w:pPr>
                </w:p>
              </w:tc>
              <w:tc>
                <w:tcPr>
                  <w:tcW w:w="768" w:type="pct"/>
                  <w:vMerge w:val="continue"/>
                  <w:tcBorders>
                    <w:tl2br w:val="nil"/>
                    <w:tr2bl w:val="nil"/>
                  </w:tcBorders>
                  <w:vAlign w:val="center"/>
                </w:tcPr>
                <w:p w14:paraId="118740F1">
                  <w:pPr>
                    <w:spacing w:line="240" w:lineRule="exact"/>
                    <w:jc w:val="center"/>
                    <w:rPr>
                      <w:rFonts w:hint="default" w:ascii="Times New Roman" w:hAnsi="Times New Roman" w:eastAsia="宋体" w:cs="Times New Roman"/>
                      <w:b/>
                      <w:color w:val="auto"/>
                      <w:sz w:val="21"/>
                      <w:szCs w:val="21"/>
                    </w:rPr>
                  </w:pPr>
                </w:p>
              </w:tc>
            </w:tr>
            <w:tr w14:paraId="43CBD6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65D673CA">
                  <w:pPr>
                    <w:jc w:val="center"/>
                    <w:rPr>
                      <w:rFonts w:hint="default" w:ascii="Times New Roman" w:hAnsi="Times New Roman" w:eastAsia="宋体" w:cs="Times New Roman"/>
                      <w:bCs/>
                      <w:color w:val="auto"/>
                      <w:sz w:val="21"/>
                      <w:szCs w:val="21"/>
                    </w:rPr>
                  </w:pPr>
                </w:p>
              </w:tc>
              <w:tc>
                <w:tcPr>
                  <w:tcW w:w="281" w:type="pct"/>
                  <w:vMerge w:val="continue"/>
                  <w:tcBorders>
                    <w:tl2br w:val="nil"/>
                    <w:tr2bl w:val="nil"/>
                  </w:tcBorders>
                  <w:shd w:val="clear" w:color="auto" w:fill="auto"/>
                  <w:vAlign w:val="center"/>
                </w:tcPr>
                <w:p w14:paraId="55560A76">
                  <w:pPr>
                    <w:jc w:val="center"/>
                    <w:rPr>
                      <w:rFonts w:hint="default" w:ascii="Times New Roman" w:hAnsi="Times New Roman" w:eastAsia="宋体" w:cs="Times New Roman"/>
                      <w:color w:val="auto"/>
                      <w:sz w:val="21"/>
                      <w:szCs w:val="21"/>
                    </w:rPr>
                  </w:pPr>
                </w:p>
              </w:tc>
              <w:tc>
                <w:tcPr>
                  <w:tcW w:w="902" w:type="pct"/>
                  <w:tcBorders>
                    <w:tl2br w:val="nil"/>
                    <w:tr2bl w:val="nil"/>
                  </w:tcBorders>
                  <w:shd w:val="clear" w:color="auto" w:fill="auto"/>
                  <w:vAlign w:val="center"/>
                </w:tcPr>
                <w:p w14:paraId="12572C92">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DA00</w:t>
                  </w:r>
                  <w:r>
                    <w:rPr>
                      <w:rFonts w:hint="eastAsia" w:ascii="Times New Roman" w:hAnsi="Times New Roman" w:eastAsia="宋体" w:cs="Times New Roman"/>
                      <w:bCs/>
                      <w:color w:val="auto"/>
                      <w:sz w:val="21"/>
                      <w:szCs w:val="21"/>
                      <w:lang w:val="en-US" w:eastAsia="zh-CN"/>
                    </w:rPr>
                    <w:t>4</w:t>
                  </w:r>
                  <w:r>
                    <w:rPr>
                      <w:rFonts w:hint="default" w:ascii="Times New Roman" w:hAnsi="Times New Roman" w:eastAsia="宋体" w:cs="Times New Roman"/>
                      <w:bCs/>
                      <w:color w:val="auto"/>
                      <w:sz w:val="21"/>
                      <w:szCs w:val="21"/>
                    </w:rPr>
                    <w:t>排气筒</w:t>
                  </w:r>
                </w:p>
              </w:tc>
              <w:tc>
                <w:tcPr>
                  <w:tcW w:w="816" w:type="pct"/>
                  <w:tcBorders>
                    <w:tl2br w:val="nil"/>
                    <w:tr2bl w:val="nil"/>
                  </w:tcBorders>
                  <w:shd w:val="clear" w:color="auto" w:fill="auto"/>
                  <w:vAlign w:val="center"/>
                </w:tcPr>
                <w:p w14:paraId="3AF25A92">
                  <w:pPr>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颗粒物</w:t>
                  </w:r>
                </w:p>
              </w:tc>
              <w:tc>
                <w:tcPr>
                  <w:tcW w:w="651" w:type="pct"/>
                  <w:tcBorders>
                    <w:tl2br w:val="nil"/>
                    <w:tr2bl w:val="nil"/>
                  </w:tcBorders>
                  <w:shd w:val="clear" w:color="auto" w:fill="auto"/>
                  <w:vAlign w:val="center"/>
                </w:tcPr>
                <w:p w14:paraId="698D7EB5">
                  <w:pPr>
                    <w:spacing w:line="240" w:lineRule="exact"/>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1次/年</w:t>
                  </w:r>
                </w:p>
              </w:tc>
              <w:tc>
                <w:tcPr>
                  <w:tcW w:w="891" w:type="pct"/>
                  <w:tcBorders>
                    <w:tl2br w:val="nil"/>
                    <w:tr2bl w:val="nil"/>
                  </w:tcBorders>
                  <w:vAlign w:val="center"/>
                </w:tcPr>
                <w:p w14:paraId="24DAA60E">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《大气污染物综合排放标准》（DB32/4041-2021）</w:t>
                  </w:r>
                </w:p>
              </w:tc>
              <w:tc>
                <w:tcPr>
                  <w:tcW w:w="483" w:type="pct"/>
                  <w:vMerge w:val="continue"/>
                  <w:tcBorders>
                    <w:tl2br w:val="nil"/>
                    <w:tr2bl w:val="nil"/>
                  </w:tcBorders>
                  <w:shd w:val="clear" w:color="auto" w:fill="auto"/>
                  <w:vAlign w:val="center"/>
                </w:tcPr>
                <w:p w14:paraId="63AF0F15">
                  <w:pPr>
                    <w:spacing w:line="240" w:lineRule="exact"/>
                    <w:jc w:val="center"/>
                    <w:rPr>
                      <w:rFonts w:hint="default" w:ascii="Times New Roman" w:hAnsi="Times New Roman" w:eastAsia="宋体" w:cs="Times New Roman"/>
                      <w:b/>
                      <w:color w:val="auto"/>
                      <w:sz w:val="21"/>
                      <w:szCs w:val="21"/>
                    </w:rPr>
                  </w:pPr>
                </w:p>
              </w:tc>
              <w:tc>
                <w:tcPr>
                  <w:tcW w:w="768" w:type="pct"/>
                  <w:vMerge w:val="continue"/>
                  <w:tcBorders>
                    <w:tl2br w:val="nil"/>
                    <w:tr2bl w:val="nil"/>
                  </w:tcBorders>
                  <w:vAlign w:val="center"/>
                </w:tcPr>
                <w:p w14:paraId="2BEB5D46">
                  <w:pPr>
                    <w:spacing w:line="240" w:lineRule="exact"/>
                    <w:jc w:val="center"/>
                    <w:rPr>
                      <w:rFonts w:hint="default" w:ascii="Times New Roman" w:hAnsi="Times New Roman" w:eastAsia="宋体" w:cs="Times New Roman"/>
                      <w:b/>
                      <w:color w:val="auto"/>
                      <w:sz w:val="21"/>
                      <w:szCs w:val="21"/>
                    </w:rPr>
                  </w:pPr>
                </w:p>
              </w:tc>
            </w:tr>
            <w:tr w14:paraId="070DC5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570FB308">
                  <w:pPr>
                    <w:jc w:val="center"/>
                    <w:rPr>
                      <w:rFonts w:hint="default" w:ascii="Times New Roman" w:hAnsi="Times New Roman" w:eastAsia="宋体" w:cs="Times New Roman"/>
                      <w:bCs/>
                      <w:color w:val="auto"/>
                      <w:sz w:val="21"/>
                      <w:szCs w:val="21"/>
                    </w:rPr>
                  </w:pPr>
                </w:p>
              </w:tc>
              <w:tc>
                <w:tcPr>
                  <w:tcW w:w="281" w:type="pct"/>
                  <w:vMerge w:val="continue"/>
                  <w:tcBorders>
                    <w:tl2br w:val="nil"/>
                    <w:tr2bl w:val="nil"/>
                  </w:tcBorders>
                  <w:shd w:val="clear" w:color="auto" w:fill="auto"/>
                  <w:vAlign w:val="center"/>
                </w:tcPr>
                <w:p w14:paraId="271142A9">
                  <w:pPr>
                    <w:jc w:val="center"/>
                    <w:rPr>
                      <w:rFonts w:hint="default" w:ascii="Times New Roman" w:hAnsi="Times New Roman" w:eastAsia="宋体" w:cs="Times New Roman"/>
                      <w:color w:val="auto"/>
                      <w:sz w:val="21"/>
                      <w:szCs w:val="21"/>
                    </w:rPr>
                  </w:pPr>
                </w:p>
              </w:tc>
              <w:tc>
                <w:tcPr>
                  <w:tcW w:w="902" w:type="pct"/>
                  <w:tcBorders>
                    <w:tl2br w:val="nil"/>
                    <w:tr2bl w:val="nil"/>
                  </w:tcBorders>
                  <w:shd w:val="clear" w:color="auto" w:fill="auto"/>
                  <w:vAlign w:val="center"/>
                </w:tcPr>
                <w:p w14:paraId="2E6DB11E">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rPr>
                    <w:t>厂界外1m范围内上风向1个点，下风向3个点</w:t>
                  </w:r>
                </w:p>
              </w:tc>
              <w:tc>
                <w:tcPr>
                  <w:tcW w:w="816" w:type="pct"/>
                  <w:tcBorders>
                    <w:tl2br w:val="nil"/>
                    <w:tr2bl w:val="nil"/>
                  </w:tcBorders>
                  <w:shd w:val="clear" w:color="auto" w:fill="auto"/>
                  <w:vAlign w:val="center"/>
                </w:tcPr>
                <w:p w14:paraId="09B9EC3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颗粒物、氨气</w:t>
                  </w:r>
                </w:p>
              </w:tc>
              <w:tc>
                <w:tcPr>
                  <w:tcW w:w="651" w:type="pct"/>
                  <w:tcBorders>
                    <w:tl2br w:val="nil"/>
                    <w:tr2bl w:val="nil"/>
                  </w:tcBorders>
                  <w:shd w:val="clear" w:color="auto" w:fill="auto"/>
                  <w:vAlign w:val="center"/>
                </w:tcPr>
                <w:p w14:paraId="04F4F051">
                  <w:pPr>
                    <w:spacing w:line="24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891" w:type="pct"/>
                  <w:tcBorders>
                    <w:tl2br w:val="nil"/>
                    <w:tr2bl w:val="nil"/>
                  </w:tcBorders>
                  <w:vAlign w:val="center"/>
                </w:tcPr>
                <w:p w14:paraId="47301253">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《大气污染物综合排放标准》（DB32/4041-2021）</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bCs/>
                      <w:color w:val="auto"/>
                      <w:sz w:val="21"/>
                      <w:szCs w:val="21"/>
                      <w:lang w:val="en-US" w:eastAsia="zh-CN"/>
                    </w:rPr>
                    <w:t>《恶臭污染物排放标准》（GB 14554-93）</w:t>
                  </w:r>
                </w:p>
              </w:tc>
              <w:tc>
                <w:tcPr>
                  <w:tcW w:w="483" w:type="pct"/>
                  <w:vMerge w:val="continue"/>
                  <w:tcBorders>
                    <w:tl2br w:val="nil"/>
                    <w:tr2bl w:val="nil"/>
                  </w:tcBorders>
                  <w:shd w:val="clear" w:color="auto" w:fill="auto"/>
                  <w:vAlign w:val="center"/>
                </w:tcPr>
                <w:p w14:paraId="0A17B1EA">
                  <w:pPr>
                    <w:spacing w:line="240" w:lineRule="exact"/>
                    <w:jc w:val="center"/>
                    <w:rPr>
                      <w:rFonts w:hint="default" w:ascii="Times New Roman" w:hAnsi="Times New Roman" w:eastAsia="宋体" w:cs="Times New Roman"/>
                      <w:bCs/>
                      <w:color w:val="auto"/>
                      <w:sz w:val="21"/>
                      <w:szCs w:val="21"/>
                    </w:rPr>
                  </w:pPr>
                </w:p>
              </w:tc>
              <w:tc>
                <w:tcPr>
                  <w:tcW w:w="768" w:type="pct"/>
                  <w:vMerge w:val="continue"/>
                  <w:tcBorders>
                    <w:tl2br w:val="nil"/>
                    <w:tr2bl w:val="nil"/>
                  </w:tcBorders>
                  <w:vAlign w:val="center"/>
                </w:tcPr>
                <w:p w14:paraId="75EF1F14">
                  <w:pPr>
                    <w:spacing w:line="240" w:lineRule="exact"/>
                    <w:jc w:val="center"/>
                    <w:rPr>
                      <w:rFonts w:hint="default" w:ascii="Times New Roman" w:hAnsi="Times New Roman" w:eastAsia="宋体" w:cs="Times New Roman"/>
                      <w:bCs/>
                      <w:color w:val="auto"/>
                      <w:sz w:val="21"/>
                      <w:szCs w:val="21"/>
                    </w:rPr>
                  </w:pPr>
                </w:p>
              </w:tc>
            </w:tr>
            <w:tr w14:paraId="52DC89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04" w:hRule="atLeast"/>
              </w:trPr>
              <w:tc>
                <w:tcPr>
                  <w:tcW w:w="203" w:type="pct"/>
                  <w:vMerge w:val="continue"/>
                  <w:tcBorders>
                    <w:tl2br w:val="nil"/>
                    <w:tr2bl w:val="nil"/>
                  </w:tcBorders>
                  <w:vAlign w:val="center"/>
                </w:tcPr>
                <w:p w14:paraId="31C90CB1">
                  <w:pPr>
                    <w:jc w:val="center"/>
                    <w:rPr>
                      <w:rFonts w:hint="default" w:ascii="Times New Roman" w:hAnsi="Times New Roman" w:eastAsia="宋体" w:cs="Times New Roman"/>
                      <w:bCs/>
                      <w:color w:val="auto"/>
                      <w:sz w:val="21"/>
                      <w:szCs w:val="21"/>
                    </w:rPr>
                  </w:pPr>
                </w:p>
              </w:tc>
              <w:tc>
                <w:tcPr>
                  <w:tcW w:w="281" w:type="pct"/>
                  <w:vMerge w:val="continue"/>
                  <w:tcBorders>
                    <w:tl2br w:val="nil"/>
                    <w:tr2bl w:val="nil"/>
                  </w:tcBorders>
                  <w:shd w:val="clear" w:color="auto" w:fill="auto"/>
                  <w:vAlign w:val="center"/>
                </w:tcPr>
                <w:p w14:paraId="7881D35E">
                  <w:pPr>
                    <w:jc w:val="center"/>
                    <w:rPr>
                      <w:rFonts w:hint="default" w:ascii="Times New Roman" w:hAnsi="Times New Roman" w:eastAsia="宋体" w:cs="Times New Roman"/>
                      <w:color w:val="auto"/>
                      <w:sz w:val="21"/>
                      <w:szCs w:val="21"/>
                    </w:rPr>
                  </w:pPr>
                </w:p>
              </w:tc>
              <w:tc>
                <w:tcPr>
                  <w:tcW w:w="902" w:type="pct"/>
                  <w:tcBorders>
                    <w:tl2br w:val="nil"/>
                    <w:tr2bl w:val="nil"/>
                  </w:tcBorders>
                  <w:shd w:val="clear" w:color="auto" w:fill="auto"/>
                  <w:vAlign w:val="center"/>
                </w:tcPr>
                <w:p w14:paraId="7740409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厂房外设置监控点</w:t>
                  </w:r>
                </w:p>
              </w:tc>
              <w:tc>
                <w:tcPr>
                  <w:tcW w:w="816" w:type="pct"/>
                  <w:tcBorders>
                    <w:tl2br w:val="nil"/>
                    <w:tr2bl w:val="nil"/>
                  </w:tcBorders>
                  <w:shd w:val="clear" w:color="auto" w:fill="auto"/>
                  <w:vAlign w:val="center"/>
                </w:tcPr>
                <w:p w14:paraId="733C765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非甲烷总烃</w:t>
                  </w:r>
                </w:p>
              </w:tc>
              <w:tc>
                <w:tcPr>
                  <w:tcW w:w="651" w:type="pct"/>
                  <w:tcBorders>
                    <w:tl2br w:val="nil"/>
                    <w:tr2bl w:val="nil"/>
                  </w:tcBorders>
                  <w:shd w:val="clear" w:color="auto" w:fill="auto"/>
                  <w:vAlign w:val="center"/>
                </w:tcPr>
                <w:p w14:paraId="505B2349">
                  <w:pPr>
                    <w:spacing w:line="240" w:lineRule="exact"/>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1次/年</w:t>
                  </w:r>
                </w:p>
              </w:tc>
              <w:tc>
                <w:tcPr>
                  <w:tcW w:w="891" w:type="pct"/>
                  <w:tcBorders>
                    <w:tl2br w:val="nil"/>
                    <w:tr2bl w:val="nil"/>
                  </w:tcBorders>
                  <w:vAlign w:val="center"/>
                </w:tcPr>
                <w:p w14:paraId="4B138122">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《大气污染物综合排放标准》（DB32/4041-2021）</w:t>
                  </w:r>
                </w:p>
              </w:tc>
              <w:tc>
                <w:tcPr>
                  <w:tcW w:w="483" w:type="pct"/>
                  <w:vMerge w:val="continue"/>
                  <w:tcBorders>
                    <w:tl2br w:val="nil"/>
                    <w:tr2bl w:val="nil"/>
                  </w:tcBorders>
                  <w:shd w:val="clear" w:color="auto" w:fill="auto"/>
                  <w:vAlign w:val="center"/>
                </w:tcPr>
                <w:p w14:paraId="62456641">
                  <w:pPr>
                    <w:spacing w:line="240" w:lineRule="exact"/>
                    <w:jc w:val="center"/>
                    <w:rPr>
                      <w:rFonts w:hint="default" w:ascii="Times New Roman" w:hAnsi="Times New Roman" w:eastAsia="宋体" w:cs="Times New Roman"/>
                      <w:bCs/>
                      <w:color w:val="auto"/>
                      <w:sz w:val="21"/>
                      <w:szCs w:val="21"/>
                    </w:rPr>
                  </w:pPr>
                </w:p>
              </w:tc>
              <w:tc>
                <w:tcPr>
                  <w:tcW w:w="768" w:type="pct"/>
                  <w:vMerge w:val="continue"/>
                  <w:tcBorders>
                    <w:tl2br w:val="nil"/>
                    <w:tr2bl w:val="nil"/>
                  </w:tcBorders>
                  <w:vAlign w:val="center"/>
                </w:tcPr>
                <w:p w14:paraId="09EBF4FA">
                  <w:pPr>
                    <w:spacing w:line="240" w:lineRule="exact"/>
                    <w:jc w:val="center"/>
                    <w:rPr>
                      <w:rFonts w:hint="default" w:ascii="Times New Roman" w:hAnsi="Times New Roman" w:eastAsia="宋体" w:cs="Times New Roman"/>
                      <w:bCs/>
                      <w:color w:val="auto"/>
                      <w:sz w:val="21"/>
                      <w:szCs w:val="21"/>
                    </w:rPr>
                  </w:pPr>
                </w:p>
              </w:tc>
            </w:tr>
          </w:tbl>
          <w:p w14:paraId="6AE08743">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rPr>
              <w:t>6.</w:t>
            </w:r>
            <w:r>
              <w:rPr>
                <w:rFonts w:hint="default" w:ascii="Times New Roman" w:hAnsi="Times New Roman" w:eastAsia="宋体" w:cs="Times New Roman"/>
                <w:b/>
                <w:bCs/>
                <w:color w:val="auto"/>
                <w:kern w:val="2"/>
                <w:sz w:val="24"/>
                <w:szCs w:val="24"/>
              </w:rPr>
              <w:t>大气环境影响分析</w:t>
            </w:r>
          </w:p>
          <w:p w14:paraId="2DB96572">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rPr>
              <w:t>①区域环境质量现状</w:t>
            </w:r>
          </w:p>
          <w:p w14:paraId="0B13FD2F">
            <w:pPr>
              <w:pStyle w:val="2"/>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根据《202</w:t>
            </w:r>
            <w:r>
              <w:rPr>
                <w:rFonts w:hint="default"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年常州市生态环境质量报告》，本项目所在地属于非达标区，常州市人民政府制定了《2023年常州市生态文明建设工作方案》，预期常州市大气环境空气质量将得到进一步改善。</w:t>
            </w:r>
          </w:p>
          <w:p w14:paraId="07FED0D4">
            <w:pPr>
              <w:pStyle w:val="2"/>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本项目废气经处理后排放浓度、排放速率等均满足相关标准限值，对周围空 气环境影响较小。结合项目所在地环境质量现状特征因子补充监测报告，本项目 的建设符合大气环境质量底线要求。</w:t>
            </w:r>
          </w:p>
          <w:p w14:paraId="529131AF">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 xml:space="preserve">②敏感保护目标 </w:t>
            </w:r>
          </w:p>
          <w:p w14:paraId="57A8C41A">
            <w:pPr>
              <w:pStyle w:val="2"/>
              <w:keepNext w:val="0"/>
              <w:keepLines w:val="0"/>
              <w:pageBreakBefore w:val="0"/>
              <w:widowControl w:val="0"/>
              <w:kinsoku/>
              <w:wordWrap/>
              <w:overflowPunct/>
              <w:topLinePunct w:val="0"/>
              <w:bidi w:val="0"/>
              <w:adjustRightInd/>
              <w:snapToGrid/>
              <w:spacing w:after="0" w:line="360" w:lineRule="auto"/>
              <w:ind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项目周边500m范围内</w:t>
            </w:r>
            <w:r>
              <w:rPr>
                <w:rFonts w:hint="eastAsia" w:ascii="Times New Roman" w:hAnsi="Times New Roman" w:eastAsia="宋体" w:cs="Times New Roman"/>
                <w:color w:val="auto"/>
                <w:sz w:val="24"/>
                <w:szCs w:val="24"/>
                <w:lang w:val="en-US" w:eastAsia="zh-CN"/>
              </w:rPr>
              <w:t>无</w:t>
            </w:r>
            <w:r>
              <w:rPr>
                <w:rFonts w:hint="default" w:ascii="Times New Roman" w:hAnsi="Times New Roman" w:eastAsia="宋体" w:cs="Times New Roman"/>
                <w:color w:val="auto"/>
                <w:sz w:val="24"/>
                <w:szCs w:val="24"/>
              </w:rPr>
              <w:t>敏感点。</w:t>
            </w:r>
          </w:p>
          <w:p w14:paraId="77559080">
            <w:pPr>
              <w:pStyle w:val="2"/>
              <w:keepNext w:val="0"/>
              <w:keepLines w:val="0"/>
              <w:pageBreakBefore w:val="0"/>
              <w:widowControl w:val="0"/>
              <w:kinsoku/>
              <w:wordWrap/>
              <w:overflowPunct/>
              <w:topLinePunct w:val="0"/>
              <w:bidi w:val="0"/>
              <w:adjustRightInd/>
              <w:snapToGrid/>
              <w:spacing w:after="0" w:line="360" w:lineRule="auto"/>
              <w:ind w:right="0" w:firstLine="482" w:firstLineChars="200"/>
              <w:textAlignment w:val="auto"/>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sz w:val="24"/>
                <w:szCs w:val="24"/>
              </w:rPr>
              <w:t>③大气排放影响分析</w:t>
            </w:r>
          </w:p>
          <w:p w14:paraId="04FE896B">
            <w:pPr>
              <w:pStyle w:val="60"/>
              <w:keepNext w:val="0"/>
              <w:keepLines w:val="0"/>
              <w:pageBreakBefore w:val="0"/>
              <w:widowControl w:val="0"/>
              <w:kinsoku/>
              <w:wordWrap/>
              <w:overflowPunct/>
              <w:topLinePunct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snapToGrid w:val="0"/>
                <w:color w:val="auto"/>
                <w:spacing w:val="0"/>
                <w:szCs w:val="24"/>
              </w:rPr>
            </w:pPr>
            <w:r>
              <w:rPr>
                <w:rFonts w:hint="default" w:ascii="Times New Roman" w:hAnsi="Times New Roman" w:eastAsia="宋体" w:cs="Times New Roman"/>
                <w:snapToGrid w:val="0"/>
                <w:color w:val="auto"/>
                <w:spacing w:val="0"/>
                <w:szCs w:val="24"/>
              </w:rPr>
              <w:t>本项目排放的大气污染物为非甲烷总烃</w:t>
            </w:r>
            <w:r>
              <w:rPr>
                <w:rFonts w:hint="default" w:ascii="Times New Roman" w:hAnsi="Times New Roman" w:eastAsia="宋体" w:cs="Times New Roman"/>
                <w:snapToGrid w:val="0"/>
                <w:color w:val="auto"/>
                <w:spacing w:val="0"/>
                <w:szCs w:val="24"/>
                <w:lang w:eastAsia="zh-CN"/>
              </w:rPr>
              <w:t>、</w:t>
            </w:r>
            <w:r>
              <w:rPr>
                <w:rFonts w:hint="eastAsia" w:ascii="Times New Roman" w:hAnsi="Times New Roman" w:eastAsia="宋体" w:cs="Times New Roman"/>
                <w:snapToGrid w:val="0"/>
                <w:color w:val="auto"/>
                <w:spacing w:val="0"/>
                <w:szCs w:val="24"/>
                <w:lang w:val="en-US" w:eastAsia="zh-CN"/>
              </w:rPr>
              <w:t>氨气、颗粒物</w:t>
            </w:r>
            <w:r>
              <w:rPr>
                <w:rFonts w:hint="default" w:ascii="Times New Roman" w:hAnsi="Times New Roman" w:eastAsia="宋体" w:cs="Times New Roman"/>
                <w:snapToGrid w:val="0"/>
                <w:color w:val="auto"/>
                <w:spacing w:val="0"/>
                <w:szCs w:val="24"/>
                <w:lang w:val="en-US" w:eastAsia="zh-CN"/>
              </w:rPr>
              <w:t>等</w:t>
            </w:r>
            <w:r>
              <w:rPr>
                <w:rFonts w:hint="default" w:ascii="Times New Roman" w:hAnsi="Times New Roman" w:eastAsia="宋体" w:cs="Times New Roman"/>
                <w:snapToGrid w:val="0"/>
                <w:color w:val="auto"/>
                <w:spacing w:val="0"/>
                <w:szCs w:val="24"/>
              </w:rPr>
              <w:t>，针对各产污环节，均采取了可行的污染治理措施，经处理后均达标排放，排放强度较低；且本项目卫生防护距离内无各类敏感目标，因此本项目不会对周边敏感目标造成影响。</w:t>
            </w:r>
          </w:p>
          <w:p w14:paraId="0BD6E8EB">
            <w:pPr>
              <w:pStyle w:val="60"/>
              <w:keepNext w:val="0"/>
              <w:keepLines w:val="0"/>
              <w:pageBreakBefore w:val="0"/>
              <w:widowControl w:val="0"/>
              <w:kinsoku/>
              <w:wordWrap/>
              <w:overflowPunct/>
              <w:topLinePunct w:val="0"/>
              <w:bidi w:val="0"/>
              <w:adjustRightInd/>
              <w:snapToGrid/>
              <w:spacing w:before="0" w:beforeLines="0" w:after="0" w:afterLines="0" w:line="360" w:lineRule="auto"/>
              <w:ind w:firstLine="480" w:firstLineChars="200"/>
              <w:textAlignment w:val="auto"/>
              <w:rPr>
                <w:rFonts w:hint="default" w:ascii="Times New Roman" w:hAnsi="Times New Roman" w:eastAsia="宋体" w:cs="Times New Roman"/>
                <w:snapToGrid w:val="0"/>
                <w:color w:val="auto"/>
                <w:spacing w:val="0"/>
                <w:szCs w:val="24"/>
              </w:rPr>
            </w:pPr>
            <w:r>
              <w:rPr>
                <w:rFonts w:hint="default" w:ascii="Times New Roman" w:hAnsi="Times New Roman" w:eastAsia="宋体" w:cs="Times New Roman"/>
                <w:snapToGrid w:val="0"/>
                <w:color w:val="auto"/>
                <w:spacing w:val="0"/>
                <w:szCs w:val="24"/>
              </w:rPr>
              <w:t>综上所述，本项目废气污染物经处理后排放对周围环境影响较小。本评价认为，从大气环境影响的角度来讲，建设项目在拟建地建设是可行的。</w:t>
            </w:r>
          </w:p>
          <w:p w14:paraId="482237C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7</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卫生防护距离</w:t>
            </w:r>
          </w:p>
          <w:p w14:paraId="6FE20E6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根据《大气有害物质无组织排放卫生防护距离推导技术导则》（GB/T39499-2020）规定中制定的卫生防护距离制定方法，计算本项目卫生防护距离。卫生防护距离按下式计算：</w:t>
            </w:r>
          </w:p>
          <w:p w14:paraId="56BB529A">
            <w:pPr>
              <w:spacing w:line="360" w:lineRule="auto"/>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object>
                <v:shape id="_x0000_i1025" o:spt="75" type="#_x0000_t75" style="height:34.4pt;width:143.2pt;" o:ole="t" filled="f" o:preferrelative="t" stroked="f" coordsize="21600,21600">
                  <v:path/>
                  <v:fill on="f" focussize="0,0"/>
                  <v:stroke on="f"/>
                  <v:imagedata r:id="rId24" o:title=""/>
                  <o:lock v:ext="edit" aspectratio="t"/>
                  <w10:wrap type="none"/>
                  <w10:anchorlock/>
                </v:shape>
                <o:OLEObject Type="Embed" ProgID="Equation.2" ShapeID="_x0000_i1025" DrawAspect="Content" ObjectID="_1468075725" r:id="rId23">
                  <o:LockedField>false</o:LockedField>
                </o:OLEObject>
              </w:object>
            </w:r>
          </w:p>
          <w:p w14:paraId="6FD71BE5">
            <w:pPr>
              <w:spacing w:line="360" w:lineRule="auto"/>
              <w:ind w:firstLine="42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式中：Cm—环境一次浓度标准限值（mg/m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19C8CA55">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L—工业企业所需的防护距离（m）；</w:t>
            </w:r>
          </w:p>
          <w:p w14:paraId="688DA170">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Qc—有害气体无组织排放量可以达到的控制水平（kg/h）；</w:t>
            </w:r>
          </w:p>
          <w:p w14:paraId="58382977">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r—有害气体无组织排放源所在生产单元的等效半径（m）；根据生产单元的占地面积S</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计算，r=</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S/</w:t>
            </w:r>
            <w:r>
              <w:rPr>
                <w:rFonts w:hint="default" w:ascii="Times New Roman" w:hAnsi="Times New Roman" w:eastAsia="宋体" w:cs="Times New Roman"/>
                <w:color w:val="auto"/>
                <w:sz w:val="24"/>
                <w:lang w:val="en-US" w:eastAsia="zh-CN"/>
              </w:rPr>
              <w:t>Π</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vertAlign w:val="superscript"/>
              </w:rPr>
              <w:t>0.5</w:t>
            </w:r>
            <w:r>
              <w:rPr>
                <w:rFonts w:hint="default" w:ascii="Times New Roman" w:hAnsi="Times New Roman" w:eastAsia="宋体" w:cs="Times New Roman"/>
                <w:color w:val="auto"/>
                <w:sz w:val="24"/>
              </w:rPr>
              <w:t>。</w:t>
            </w:r>
          </w:p>
          <w:p w14:paraId="701EC170">
            <w:pPr>
              <w:spacing w:line="360" w:lineRule="auto"/>
              <w:ind w:firstLine="1200" w:firstLineChars="5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A、B、C、D—卫生防护距离计算系数。</w:t>
            </w:r>
          </w:p>
          <w:p w14:paraId="0D0686E0">
            <w:pPr>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9</w:t>
            </w:r>
            <w:r>
              <w:rPr>
                <w:rFonts w:hint="default" w:ascii="Times New Roman" w:hAnsi="Times New Roman" w:eastAsia="宋体" w:cs="Times New Roman"/>
                <w:b/>
                <w:bCs/>
                <w:color w:val="auto"/>
                <w:sz w:val="24"/>
              </w:rPr>
              <w:t xml:space="preserve">  卫生防护距离初值计算系数</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353"/>
              <w:gridCol w:w="1292"/>
              <w:gridCol w:w="629"/>
              <w:gridCol w:w="629"/>
              <w:gridCol w:w="632"/>
              <w:gridCol w:w="630"/>
              <w:gridCol w:w="630"/>
              <w:gridCol w:w="632"/>
              <w:gridCol w:w="630"/>
              <w:gridCol w:w="630"/>
              <w:gridCol w:w="627"/>
            </w:tblGrid>
            <w:tr w14:paraId="731743A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12" w:space="0"/>
                    <w:left w:val="nil"/>
                    <w:bottom w:val="single" w:color="auto" w:sz="2" w:space="0"/>
                    <w:right w:val="single" w:color="auto" w:sz="2" w:space="0"/>
                  </w:tcBorders>
                  <w:vAlign w:val="center"/>
                </w:tcPr>
                <w:p w14:paraId="30D41EF5">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计算系数</w:t>
                  </w:r>
                </w:p>
              </w:tc>
              <w:tc>
                <w:tcPr>
                  <w:tcW w:w="777" w:type="pct"/>
                  <w:vMerge w:val="restart"/>
                  <w:tcBorders>
                    <w:top w:val="single" w:color="auto" w:sz="12" w:space="0"/>
                    <w:left w:val="single" w:color="auto" w:sz="2" w:space="0"/>
                    <w:bottom w:val="single" w:color="auto" w:sz="2" w:space="0"/>
                    <w:right w:val="single" w:color="auto" w:sz="2" w:space="0"/>
                  </w:tcBorders>
                  <w:vAlign w:val="center"/>
                </w:tcPr>
                <w:p w14:paraId="0D1B0CDB">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5年平均风速，m/s</w:t>
                  </w:r>
                </w:p>
              </w:tc>
              <w:tc>
                <w:tcPr>
                  <w:tcW w:w="3410" w:type="pct"/>
                  <w:gridSpan w:val="9"/>
                  <w:tcBorders>
                    <w:top w:val="single" w:color="auto" w:sz="12" w:space="0"/>
                    <w:left w:val="single" w:color="auto" w:sz="2" w:space="0"/>
                    <w:bottom w:val="single" w:color="auto" w:sz="2" w:space="0"/>
                    <w:right w:val="nil"/>
                  </w:tcBorders>
                  <w:vAlign w:val="center"/>
                </w:tcPr>
                <w:p w14:paraId="2ED3F459">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卫生防护距离L（m）</w:t>
                  </w:r>
                </w:p>
              </w:tc>
            </w:tr>
            <w:tr w14:paraId="284B6BB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49EDE76E">
                  <w:pPr>
                    <w:rPr>
                      <w:rFonts w:hint="default" w:ascii="Times New Roman" w:hAnsi="Times New Roman" w:eastAsia="宋体" w:cs="Times New Roman"/>
                      <w:b/>
                      <w:bCs/>
                      <w:color w:val="auto"/>
                      <w:szCs w:val="21"/>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3864BE60">
                  <w:pPr>
                    <w:rPr>
                      <w:rFonts w:hint="default" w:ascii="Times New Roman" w:hAnsi="Times New Roman" w:eastAsia="宋体" w:cs="Times New Roman"/>
                      <w:b/>
                      <w:bCs/>
                      <w:color w:val="auto"/>
                      <w:szCs w:val="21"/>
                    </w:rPr>
                  </w:pP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1C52215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L≤1000</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CE7247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1000＜L≤2000</w:t>
                  </w:r>
                </w:p>
              </w:tc>
              <w:tc>
                <w:tcPr>
                  <w:tcW w:w="1136" w:type="pct"/>
                  <w:gridSpan w:val="3"/>
                  <w:tcBorders>
                    <w:top w:val="single" w:color="auto" w:sz="2" w:space="0"/>
                    <w:left w:val="single" w:color="auto" w:sz="2" w:space="0"/>
                    <w:bottom w:val="single" w:color="auto" w:sz="2" w:space="0"/>
                    <w:right w:val="nil"/>
                  </w:tcBorders>
                  <w:vAlign w:val="center"/>
                </w:tcPr>
                <w:p w14:paraId="6CB01F7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L＞2000</w:t>
                  </w:r>
                </w:p>
              </w:tc>
            </w:tr>
            <w:tr w14:paraId="0571934F">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784C63C3">
                  <w:pPr>
                    <w:rPr>
                      <w:rFonts w:hint="default" w:ascii="Times New Roman" w:hAnsi="Times New Roman" w:eastAsia="宋体" w:cs="Times New Roman"/>
                      <w:b/>
                      <w:bCs/>
                      <w:color w:val="auto"/>
                      <w:szCs w:val="21"/>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2F22C78D">
                  <w:pPr>
                    <w:rPr>
                      <w:rFonts w:hint="default" w:ascii="Times New Roman" w:hAnsi="Times New Roman" w:eastAsia="宋体" w:cs="Times New Roman"/>
                      <w:b/>
                      <w:bCs/>
                      <w:color w:val="auto"/>
                      <w:szCs w:val="21"/>
                    </w:rPr>
                  </w:pPr>
                </w:p>
              </w:tc>
              <w:tc>
                <w:tcPr>
                  <w:tcW w:w="3410" w:type="pct"/>
                  <w:gridSpan w:val="9"/>
                  <w:tcBorders>
                    <w:top w:val="single" w:color="auto" w:sz="2" w:space="0"/>
                    <w:left w:val="single" w:color="auto" w:sz="2" w:space="0"/>
                    <w:bottom w:val="single" w:color="auto" w:sz="2" w:space="0"/>
                    <w:right w:val="nil"/>
                  </w:tcBorders>
                  <w:vAlign w:val="center"/>
                </w:tcPr>
                <w:p w14:paraId="793AF4D3">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工业企业大气污染源构成类型</w:t>
                  </w:r>
                </w:p>
              </w:tc>
            </w:tr>
            <w:tr w14:paraId="1DAFAB1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12" w:space="0"/>
                    <w:left w:val="nil"/>
                    <w:bottom w:val="single" w:color="auto" w:sz="2" w:space="0"/>
                    <w:right w:val="single" w:color="auto" w:sz="2" w:space="0"/>
                  </w:tcBorders>
                  <w:vAlign w:val="center"/>
                </w:tcPr>
                <w:p w14:paraId="27044595">
                  <w:pPr>
                    <w:rPr>
                      <w:rFonts w:hint="default" w:ascii="Times New Roman" w:hAnsi="Times New Roman" w:eastAsia="宋体" w:cs="Times New Roman"/>
                      <w:b/>
                      <w:bCs/>
                      <w:color w:val="auto"/>
                      <w:szCs w:val="21"/>
                    </w:rPr>
                  </w:pPr>
                </w:p>
              </w:tc>
              <w:tc>
                <w:tcPr>
                  <w:tcW w:w="777" w:type="pct"/>
                  <w:vMerge w:val="continue"/>
                  <w:tcBorders>
                    <w:top w:val="single" w:color="auto" w:sz="12" w:space="0"/>
                    <w:left w:val="single" w:color="auto" w:sz="2" w:space="0"/>
                    <w:bottom w:val="single" w:color="auto" w:sz="2" w:space="0"/>
                    <w:right w:val="single" w:color="auto" w:sz="2" w:space="0"/>
                  </w:tcBorders>
                  <w:vAlign w:val="center"/>
                </w:tcPr>
                <w:p w14:paraId="7C844B49">
                  <w:pPr>
                    <w:rPr>
                      <w:rFonts w:hint="default" w:ascii="Times New Roman" w:hAnsi="Times New Roman" w:eastAsia="宋体" w:cs="Times New Roman"/>
                      <w:b/>
                      <w:bCs/>
                      <w:color w:val="auto"/>
                      <w:szCs w:val="21"/>
                    </w:rPr>
                  </w:pPr>
                </w:p>
              </w:tc>
              <w:tc>
                <w:tcPr>
                  <w:tcW w:w="378" w:type="pct"/>
                  <w:tcBorders>
                    <w:top w:val="single" w:color="auto" w:sz="2" w:space="0"/>
                    <w:left w:val="single" w:color="auto" w:sz="2" w:space="0"/>
                    <w:bottom w:val="single" w:color="auto" w:sz="2" w:space="0"/>
                    <w:right w:val="single" w:color="auto" w:sz="2" w:space="0"/>
                  </w:tcBorders>
                  <w:vAlign w:val="center"/>
                </w:tcPr>
                <w:p w14:paraId="7D73044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Ⅰ</w:t>
                  </w:r>
                </w:p>
              </w:tc>
              <w:tc>
                <w:tcPr>
                  <w:tcW w:w="378" w:type="pct"/>
                  <w:tcBorders>
                    <w:top w:val="single" w:color="auto" w:sz="2" w:space="0"/>
                    <w:left w:val="single" w:color="auto" w:sz="2" w:space="0"/>
                    <w:bottom w:val="single" w:color="auto" w:sz="2" w:space="0"/>
                    <w:right w:val="single" w:color="auto" w:sz="2" w:space="0"/>
                  </w:tcBorders>
                  <w:vAlign w:val="center"/>
                </w:tcPr>
                <w:p w14:paraId="22B9A7C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Ⅱ</w:t>
                  </w:r>
                </w:p>
              </w:tc>
              <w:tc>
                <w:tcPr>
                  <w:tcW w:w="380" w:type="pct"/>
                  <w:tcBorders>
                    <w:top w:val="single" w:color="auto" w:sz="2" w:space="0"/>
                    <w:left w:val="single" w:color="auto" w:sz="2" w:space="0"/>
                    <w:bottom w:val="single" w:color="auto" w:sz="2" w:space="0"/>
                    <w:right w:val="single" w:color="auto" w:sz="2" w:space="0"/>
                  </w:tcBorders>
                  <w:vAlign w:val="center"/>
                </w:tcPr>
                <w:p w14:paraId="2FAAAE9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Ⅲ</w:t>
                  </w:r>
                </w:p>
              </w:tc>
              <w:tc>
                <w:tcPr>
                  <w:tcW w:w="379" w:type="pct"/>
                  <w:tcBorders>
                    <w:top w:val="single" w:color="auto" w:sz="2" w:space="0"/>
                    <w:left w:val="single" w:color="auto" w:sz="2" w:space="0"/>
                    <w:bottom w:val="single" w:color="auto" w:sz="2" w:space="0"/>
                    <w:right w:val="single" w:color="auto" w:sz="2" w:space="0"/>
                  </w:tcBorders>
                  <w:vAlign w:val="center"/>
                </w:tcPr>
                <w:p w14:paraId="375C462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Ⅰ</w:t>
                  </w:r>
                </w:p>
              </w:tc>
              <w:tc>
                <w:tcPr>
                  <w:tcW w:w="379" w:type="pct"/>
                  <w:tcBorders>
                    <w:top w:val="single" w:color="auto" w:sz="2" w:space="0"/>
                    <w:left w:val="single" w:color="auto" w:sz="2" w:space="0"/>
                    <w:bottom w:val="single" w:color="auto" w:sz="2" w:space="0"/>
                    <w:right w:val="single" w:color="auto" w:sz="2" w:space="0"/>
                  </w:tcBorders>
                  <w:vAlign w:val="center"/>
                </w:tcPr>
                <w:p w14:paraId="12A9979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Ⅱ</w:t>
                  </w:r>
                </w:p>
              </w:tc>
              <w:tc>
                <w:tcPr>
                  <w:tcW w:w="379" w:type="pct"/>
                  <w:tcBorders>
                    <w:top w:val="single" w:color="auto" w:sz="2" w:space="0"/>
                    <w:left w:val="single" w:color="auto" w:sz="2" w:space="0"/>
                    <w:bottom w:val="single" w:color="auto" w:sz="2" w:space="0"/>
                    <w:right w:val="single" w:color="auto" w:sz="2" w:space="0"/>
                  </w:tcBorders>
                  <w:vAlign w:val="center"/>
                </w:tcPr>
                <w:p w14:paraId="1BEF62D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Ⅲ</w:t>
                  </w:r>
                </w:p>
              </w:tc>
              <w:tc>
                <w:tcPr>
                  <w:tcW w:w="379" w:type="pct"/>
                  <w:tcBorders>
                    <w:top w:val="single" w:color="auto" w:sz="2" w:space="0"/>
                    <w:left w:val="single" w:color="auto" w:sz="2" w:space="0"/>
                    <w:bottom w:val="single" w:color="auto" w:sz="2" w:space="0"/>
                    <w:right w:val="single" w:color="auto" w:sz="2" w:space="0"/>
                  </w:tcBorders>
                  <w:vAlign w:val="center"/>
                </w:tcPr>
                <w:p w14:paraId="1D05CEF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Ⅰ</w:t>
                  </w:r>
                </w:p>
              </w:tc>
              <w:tc>
                <w:tcPr>
                  <w:tcW w:w="379" w:type="pct"/>
                  <w:tcBorders>
                    <w:top w:val="single" w:color="auto" w:sz="2" w:space="0"/>
                    <w:left w:val="single" w:color="auto" w:sz="2" w:space="0"/>
                    <w:bottom w:val="single" w:color="auto" w:sz="2" w:space="0"/>
                    <w:right w:val="single" w:color="auto" w:sz="2" w:space="0"/>
                  </w:tcBorders>
                  <w:vAlign w:val="center"/>
                </w:tcPr>
                <w:p w14:paraId="3515A75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Ⅱ</w:t>
                  </w:r>
                </w:p>
              </w:tc>
              <w:tc>
                <w:tcPr>
                  <w:tcW w:w="378" w:type="pct"/>
                  <w:tcBorders>
                    <w:top w:val="single" w:color="auto" w:sz="2" w:space="0"/>
                    <w:left w:val="single" w:color="auto" w:sz="2" w:space="0"/>
                    <w:bottom w:val="single" w:color="auto" w:sz="2" w:space="0"/>
                    <w:right w:val="nil"/>
                  </w:tcBorders>
                  <w:vAlign w:val="center"/>
                </w:tcPr>
                <w:p w14:paraId="68CE06B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Ⅲ</w:t>
                  </w:r>
                </w:p>
              </w:tc>
            </w:tr>
            <w:tr w14:paraId="2EA9DE3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1CEFC65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A</w:t>
                  </w:r>
                </w:p>
              </w:tc>
              <w:tc>
                <w:tcPr>
                  <w:tcW w:w="777" w:type="pct"/>
                  <w:tcBorders>
                    <w:top w:val="single" w:color="auto" w:sz="2" w:space="0"/>
                    <w:left w:val="single" w:color="auto" w:sz="2" w:space="0"/>
                    <w:bottom w:val="single" w:color="auto" w:sz="2" w:space="0"/>
                    <w:right w:val="single" w:color="auto" w:sz="2" w:space="0"/>
                  </w:tcBorders>
                  <w:vAlign w:val="center"/>
                </w:tcPr>
                <w:p w14:paraId="0925ED2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378" w:type="pct"/>
                  <w:tcBorders>
                    <w:top w:val="single" w:color="auto" w:sz="2" w:space="0"/>
                    <w:left w:val="single" w:color="auto" w:sz="2" w:space="0"/>
                    <w:bottom w:val="single" w:color="auto" w:sz="2" w:space="0"/>
                    <w:right w:val="single" w:color="auto" w:sz="2" w:space="0"/>
                  </w:tcBorders>
                  <w:vAlign w:val="center"/>
                </w:tcPr>
                <w:p w14:paraId="28A6153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8" w:type="pct"/>
                  <w:tcBorders>
                    <w:top w:val="single" w:color="auto" w:sz="2" w:space="0"/>
                    <w:left w:val="single" w:color="auto" w:sz="2" w:space="0"/>
                    <w:bottom w:val="single" w:color="auto" w:sz="2" w:space="0"/>
                    <w:right w:val="single" w:color="auto" w:sz="2" w:space="0"/>
                  </w:tcBorders>
                  <w:vAlign w:val="center"/>
                </w:tcPr>
                <w:p w14:paraId="2CB402F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80" w:type="pct"/>
                  <w:tcBorders>
                    <w:top w:val="single" w:color="auto" w:sz="2" w:space="0"/>
                    <w:left w:val="single" w:color="auto" w:sz="2" w:space="0"/>
                    <w:bottom w:val="single" w:color="auto" w:sz="2" w:space="0"/>
                    <w:right w:val="single" w:color="auto" w:sz="2" w:space="0"/>
                  </w:tcBorders>
                  <w:vAlign w:val="center"/>
                </w:tcPr>
                <w:p w14:paraId="109797D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5AF8EDA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4EAB88E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7D9D423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400</w:t>
                  </w:r>
                </w:p>
              </w:tc>
              <w:tc>
                <w:tcPr>
                  <w:tcW w:w="379" w:type="pct"/>
                  <w:tcBorders>
                    <w:top w:val="single" w:color="auto" w:sz="2" w:space="0"/>
                    <w:left w:val="single" w:color="auto" w:sz="2" w:space="0"/>
                    <w:bottom w:val="single" w:color="auto" w:sz="2" w:space="0"/>
                    <w:right w:val="single" w:color="auto" w:sz="2" w:space="0"/>
                  </w:tcBorders>
                  <w:vAlign w:val="center"/>
                </w:tcPr>
                <w:p w14:paraId="0294C94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80</w:t>
                  </w:r>
                </w:p>
              </w:tc>
              <w:tc>
                <w:tcPr>
                  <w:tcW w:w="379" w:type="pct"/>
                  <w:tcBorders>
                    <w:top w:val="single" w:color="auto" w:sz="2" w:space="0"/>
                    <w:left w:val="single" w:color="auto" w:sz="2" w:space="0"/>
                    <w:bottom w:val="single" w:color="auto" w:sz="2" w:space="0"/>
                    <w:right w:val="single" w:color="auto" w:sz="2" w:space="0"/>
                  </w:tcBorders>
                  <w:vAlign w:val="center"/>
                </w:tcPr>
                <w:p w14:paraId="3D10E07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80</w:t>
                  </w:r>
                </w:p>
              </w:tc>
              <w:tc>
                <w:tcPr>
                  <w:tcW w:w="378" w:type="pct"/>
                  <w:tcBorders>
                    <w:top w:val="single" w:color="auto" w:sz="2" w:space="0"/>
                    <w:left w:val="single" w:color="auto" w:sz="2" w:space="0"/>
                    <w:bottom w:val="single" w:color="auto" w:sz="2" w:space="0"/>
                    <w:right w:val="nil"/>
                  </w:tcBorders>
                  <w:vAlign w:val="center"/>
                </w:tcPr>
                <w:p w14:paraId="00B0AD2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80</w:t>
                  </w:r>
                </w:p>
              </w:tc>
            </w:tr>
            <w:tr w14:paraId="146AA9FB">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16C0EBC2">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0CF4A9F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2-4</w:t>
                  </w:r>
                </w:p>
              </w:tc>
              <w:tc>
                <w:tcPr>
                  <w:tcW w:w="378" w:type="pct"/>
                  <w:tcBorders>
                    <w:top w:val="single" w:color="auto" w:sz="2" w:space="0"/>
                    <w:left w:val="single" w:color="auto" w:sz="2" w:space="0"/>
                    <w:bottom w:val="single" w:color="auto" w:sz="2" w:space="0"/>
                    <w:right w:val="single" w:color="auto" w:sz="2" w:space="0"/>
                  </w:tcBorders>
                  <w:vAlign w:val="center"/>
                </w:tcPr>
                <w:p w14:paraId="41843EA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700</w:t>
                  </w:r>
                </w:p>
              </w:tc>
              <w:tc>
                <w:tcPr>
                  <w:tcW w:w="378" w:type="pct"/>
                  <w:tcBorders>
                    <w:top w:val="single" w:color="auto" w:sz="2" w:space="0"/>
                    <w:left w:val="single" w:color="auto" w:sz="2" w:space="0"/>
                    <w:bottom w:val="single" w:color="auto" w:sz="2" w:space="0"/>
                    <w:right w:val="single" w:color="auto" w:sz="2" w:space="0"/>
                  </w:tcBorders>
                  <w:shd w:val="clear" w:color="auto" w:fill="B3B3B3"/>
                  <w:vAlign w:val="center"/>
                </w:tcPr>
                <w:p w14:paraId="617A9F7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470</w:t>
                  </w:r>
                </w:p>
              </w:tc>
              <w:tc>
                <w:tcPr>
                  <w:tcW w:w="380" w:type="pct"/>
                  <w:tcBorders>
                    <w:top w:val="single" w:color="auto" w:sz="2" w:space="0"/>
                    <w:left w:val="single" w:color="auto" w:sz="2" w:space="0"/>
                    <w:bottom w:val="single" w:color="auto" w:sz="2" w:space="0"/>
                    <w:right w:val="single" w:color="auto" w:sz="2" w:space="0"/>
                  </w:tcBorders>
                  <w:vAlign w:val="center"/>
                </w:tcPr>
                <w:p w14:paraId="1B0AB13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4BABC48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700</w:t>
                  </w:r>
                </w:p>
              </w:tc>
              <w:tc>
                <w:tcPr>
                  <w:tcW w:w="379" w:type="pct"/>
                  <w:tcBorders>
                    <w:top w:val="single" w:color="auto" w:sz="2" w:space="0"/>
                    <w:left w:val="single" w:color="auto" w:sz="2" w:space="0"/>
                    <w:bottom w:val="single" w:color="auto" w:sz="2" w:space="0"/>
                    <w:right w:val="single" w:color="auto" w:sz="2" w:space="0"/>
                  </w:tcBorders>
                  <w:vAlign w:val="center"/>
                </w:tcPr>
                <w:p w14:paraId="0AB402D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470</w:t>
                  </w:r>
                </w:p>
              </w:tc>
              <w:tc>
                <w:tcPr>
                  <w:tcW w:w="379" w:type="pct"/>
                  <w:tcBorders>
                    <w:top w:val="single" w:color="auto" w:sz="2" w:space="0"/>
                    <w:left w:val="single" w:color="auto" w:sz="2" w:space="0"/>
                    <w:bottom w:val="single" w:color="auto" w:sz="2" w:space="0"/>
                    <w:right w:val="single" w:color="auto" w:sz="2" w:space="0"/>
                  </w:tcBorders>
                  <w:vAlign w:val="center"/>
                </w:tcPr>
                <w:p w14:paraId="3217C1C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6996523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380</w:t>
                  </w:r>
                </w:p>
              </w:tc>
              <w:tc>
                <w:tcPr>
                  <w:tcW w:w="379" w:type="pct"/>
                  <w:tcBorders>
                    <w:top w:val="single" w:color="auto" w:sz="2" w:space="0"/>
                    <w:left w:val="single" w:color="auto" w:sz="2" w:space="0"/>
                    <w:bottom w:val="single" w:color="auto" w:sz="2" w:space="0"/>
                    <w:right w:val="single" w:color="auto" w:sz="2" w:space="0"/>
                  </w:tcBorders>
                  <w:vAlign w:val="center"/>
                </w:tcPr>
                <w:p w14:paraId="2C9E901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250</w:t>
                  </w:r>
                </w:p>
              </w:tc>
              <w:tc>
                <w:tcPr>
                  <w:tcW w:w="378" w:type="pct"/>
                  <w:tcBorders>
                    <w:top w:val="single" w:color="auto" w:sz="2" w:space="0"/>
                    <w:left w:val="single" w:color="auto" w:sz="2" w:space="0"/>
                    <w:bottom w:val="single" w:color="auto" w:sz="2" w:space="0"/>
                    <w:right w:val="nil"/>
                  </w:tcBorders>
                  <w:vAlign w:val="center"/>
                </w:tcPr>
                <w:p w14:paraId="4C9206C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190</w:t>
                  </w:r>
                </w:p>
              </w:tc>
            </w:tr>
            <w:tr w14:paraId="4B37EF2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6EC428B6">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542BC29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&gt;4</w:t>
                  </w:r>
                </w:p>
              </w:tc>
              <w:tc>
                <w:tcPr>
                  <w:tcW w:w="378" w:type="pct"/>
                  <w:tcBorders>
                    <w:top w:val="single" w:color="auto" w:sz="2" w:space="0"/>
                    <w:left w:val="single" w:color="auto" w:sz="2" w:space="0"/>
                    <w:bottom w:val="single" w:color="auto" w:sz="2" w:space="0"/>
                    <w:right w:val="single" w:color="auto" w:sz="2" w:space="0"/>
                  </w:tcBorders>
                  <w:vAlign w:val="center"/>
                </w:tcPr>
                <w:p w14:paraId="3A0E962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530</w:t>
                  </w:r>
                </w:p>
              </w:tc>
              <w:tc>
                <w:tcPr>
                  <w:tcW w:w="378" w:type="pct"/>
                  <w:tcBorders>
                    <w:top w:val="single" w:color="auto" w:sz="2" w:space="0"/>
                    <w:left w:val="single" w:color="auto" w:sz="2" w:space="0"/>
                    <w:bottom w:val="single" w:color="auto" w:sz="2" w:space="0"/>
                    <w:right w:val="single" w:color="auto" w:sz="2" w:space="0"/>
                  </w:tcBorders>
                  <w:vAlign w:val="center"/>
                </w:tcPr>
                <w:p w14:paraId="09ACCFF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80" w:type="pct"/>
                  <w:tcBorders>
                    <w:top w:val="single" w:color="auto" w:sz="2" w:space="0"/>
                    <w:left w:val="single" w:color="auto" w:sz="2" w:space="0"/>
                    <w:bottom w:val="single" w:color="auto" w:sz="2" w:space="0"/>
                    <w:right w:val="single" w:color="auto" w:sz="2" w:space="0"/>
                  </w:tcBorders>
                  <w:vAlign w:val="center"/>
                </w:tcPr>
                <w:p w14:paraId="7FF3DAF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260</w:t>
                  </w:r>
                </w:p>
              </w:tc>
              <w:tc>
                <w:tcPr>
                  <w:tcW w:w="379" w:type="pct"/>
                  <w:tcBorders>
                    <w:top w:val="single" w:color="auto" w:sz="2" w:space="0"/>
                    <w:left w:val="single" w:color="auto" w:sz="2" w:space="0"/>
                    <w:bottom w:val="single" w:color="auto" w:sz="2" w:space="0"/>
                    <w:right w:val="single" w:color="auto" w:sz="2" w:space="0"/>
                  </w:tcBorders>
                  <w:vAlign w:val="center"/>
                </w:tcPr>
                <w:p w14:paraId="5DD4743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530</w:t>
                  </w:r>
                </w:p>
              </w:tc>
              <w:tc>
                <w:tcPr>
                  <w:tcW w:w="379" w:type="pct"/>
                  <w:tcBorders>
                    <w:top w:val="single" w:color="auto" w:sz="2" w:space="0"/>
                    <w:left w:val="single" w:color="auto" w:sz="2" w:space="0"/>
                    <w:bottom w:val="single" w:color="auto" w:sz="2" w:space="0"/>
                    <w:right w:val="single" w:color="auto" w:sz="2" w:space="0"/>
                  </w:tcBorders>
                  <w:vAlign w:val="center"/>
                </w:tcPr>
                <w:p w14:paraId="04BA427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350</w:t>
                  </w:r>
                </w:p>
              </w:tc>
              <w:tc>
                <w:tcPr>
                  <w:tcW w:w="379" w:type="pct"/>
                  <w:tcBorders>
                    <w:top w:val="single" w:color="auto" w:sz="2" w:space="0"/>
                    <w:left w:val="single" w:color="auto" w:sz="2" w:space="0"/>
                    <w:bottom w:val="single" w:color="auto" w:sz="2" w:space="0"/>
                    <w:right w:val="single" w:color="auto" w:sz="2" w:space="0"/>
                  </w:tcBorders>
                  <w:vAlign w:val="center"/>
                </w:tcPr>
                <w:p w14:paraId="66CA8E5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260</w:t>
                  </w:r>
                </w:p>
              </w:tc>
              <w:tc>
                <w:tcPr>
                  <w:tcW w:w="379" w:type="pct"/>
                  <w:tcBorders>
                    <w:top w:val="single" w:color="auto" w:sz="2" w:space="0"/>
                    <w:left w:val="single" w:color="auto" w:sz="2" w:space="0"/>
                    <w:bottom w:val="single" w:color="auto" w:sz="2" w:space="0"/>
                    <w:right w:val="single" w:color="auto" w:sz="2" w:space="0"/>
                  </w:tcBorders>
                  <w:vAlign w:val="center"/>
                </w:tcPr>
                <w:p w14:paraId="1436055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290</w:t>
                  </w:r>
                </w:p>
              </w:tc>
              <w:tc>
                <w:tcPr>
                  <w:tcW w:w="379" w:type="pct"/>
                  <w:tcBorders>
                    <w:top w:val="single" w:color="auto" w:sz="2" w:space="0"/>
                    <w:left w:val="single" w:color="auto" w:sz="2" w:space="0"/>
                    <w:bottom w:val="single" w:color="auto" w:sz="2" w:space="0"/>
                    <w:right w:val="single" w:color="auto" w:sz="2" w:space="0"/>
                  </w:tcBorders>
                  <w:vAlign w:val="center"/>
                </w:tcPr>
                <w:p w14:paraId="4B9E961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190</w:t>
                  </w:r>
                </w:p>
              </w:tc>
              <w:tc>
                <w:tcPr>
                  <w:tcW w:w="378" w:type="pct"/>
                  <w:tcBorders>
                    <w:top w:val="single" w:color="auto" w:sz="2" w:space="0"/>
                    <w:left w:val="single" w:color="auto" w:sz="2" w:space="0"/>
                    <w:bottom w:val="single" w:color="auto" w:sz="2" w:space="0"/>
                    <w:right w:val="nil"/>
                  </w:tcBorders>
                  <w:vAlign w:val="center"/>
                </w:tcPr>
                <w:p w14:paraId="0D64688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140</w:t>
                  </w:r>
                </w:p>
              </w:tc>
            </w:tr>
            <w:tr w14:paraId="511CF2A7">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40779EF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B</w:t>
                  </w:r>
                </w:p>
              </w:tc>
              <w:tc>
                <w:tcPr>
                  <w:tcW w:w="777" w:type="pct"/>
                  <w:tcBorders>
                    <w:top w:val="single" w:color="auto" w:sz="2" w:space="0"/>
                    <w:left w:val="single" w:color="auto" w:sz="2" w:space="0"/>
                    <w:bottom w:val="single" w:color="auto" w:sz="2" w:space="0"/>
                    <w:right w:val="single" w:color="auto" w:sz="2" w:space="0"/>
                  </w:tcBorders>
                  <w:vAlign w:val="center"/>
                </w:tcPr>
                <w:p w14:paraId="00627FB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182FEE8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6D212E2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0.015</w:t>
                  </w:r>
                </w:p>
              </w:tc>
              <w:tc>
                <w:tcPr>
                  <w:tcW w:w="1136" w:type="pct"/>
                  <w:gridSpan w:val="3"/>
                  <w:tcBorders>
                    <w:top w:val="single" w:color="auto" w:sz="2" w:space="0"/>
                    <w:left w:val="single" w:color="auto" w:sz="2" w:space="0"/>
                    <w:bottom w:val="single" w:color="auto" w:sz="2" w:space="0"/>
                    <w:right w:val="nil"/>
                  </w:tcBorders>
                  <w:vAlign w:val="center"/>
                </w:tcPr>
                <w:p w14:paraId="02BEF38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0.015</w:t>
                  </w:r>
                </w:p>
              </w:tc>
            </w:tr>
            <w:tr w14:paraId="30E88A04">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492D5813">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23ED8D4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0556908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0.021</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5C7326C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0.036</w:t>
                  </w:r>
                </w:p>
              </w:tc>
              <w:tc>
                <w:tcPr>
                  <w:tcW w:w="1136" w:type="pct"/>
                  <w:gridSpan w:val="3"/>
                  <w:tcBorders>
                    <w:top w:val="single" w:color="auto" w:sz="2" w:space="0"/>
                    <w:left w:val="single" w:color="auto" w:sz="2" w:space="0"/>
                    <w:bottom w:val="single" w:color="auto" w:sz="2" w:space="0"/>
                    <w:right w:val="nil"/>
                  </w:tcBorders>
                  <w:vAlign w:val="center"/>
                </w:tcPr>
                <w:p w14:paraId="66A822A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0.036</w:t>
                  </w:r>
                </w:p>
              </w:tc>
            </w:tr>
            <w:tr w14:paraId="3D58F861">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69521C2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C</w:t>
                  </w:r>
                </w:p>
              </w:tc>
              <w:tc>
                <w:tcPr>
                  <w:tcW w:w="777" w:type="pct"/>
                  <w:tcBorders>
                    <w:top w:val="single" w:color="auto" w:sz="2" w:space="0"/>
                    <w:left w:val="single" w:color="auto" w:sz="2" w:space="0"/>
                    <w:bottom w:val="single" w:color="auto" w:sz="2" w:space="0"/>
                    <w:right w:val="single" w:color="auto" w:sz="2" w:space="0"/>
                  </w:tcBorders>
                  <w:vAlign w:val="center"/>
                </w:tcPr>
                <w:p w14:paraId="6135A60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1EC5AC3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2CF352E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1.79</w:t>
                  </w:r>
                </w:p>
              </w:tc>
              <w:tc>
                <w:tcPr>
                  <w:tcW w:w="1136" w:type="pct"/>
                  <w:gridSpan w:val="3"/>
                  <w:tcBorders>
                    <w:top w:val="single" w:color="auto" w:sz="2" w:space="0"/>
                    <w:left w:val="single" w:color="auto" w:sz="2" w:space="0"/>
                    <w:bottom w:val="single" w:color="auto" w:sz="2" w:space="0"/>
                    <w:right w:val="nil"/>
                  </w:tcBorders>
                  <w:vAlign w:val="center"/>
                </w:tcPr>
                <w:p w14:paraId="37A9FCE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1.79</w:t>
                  </w:r>
                </w:p>
              </w:tc>
            </w:tr>
            <w:tr w14:paraId="0929AFE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5A84FF75">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62F92E8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44B9641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1.85</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12D665C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1.77</w:t>
                  </w:r>
                </w:p>
              </w:tc>
              <w:tc>
                <w:tcPr>
                  <w:tcW w:w="1136" w:type="pct"/>
                  <w:gridSpan w:val="3"/>
                  <w:tcBorders>
                    <w:top w:val="single" w:color="auto" w:sz="2" w:space="0"/>
                    <w:left w:val="single" w:color="auto" w:sz="2" w:space="0"/>
                    <w:bottom w:val="single" w:color="auto" w:sz="2" w:space="0"/>
                    <w:right w:val="nil"/>
                  </w:tcBorders>
                  <w:vAlign w:val="center"/>
                </w:tcPr>
                <w:p w14:paraId="52777AB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1.77</w:t>
                  </w:r>
                </w:p>
              </w:tc>
            </w:tr>
            <w:tr w14:paraId="38A2B39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restart"/>
                  <w:tcBorders>
                    <w:top w:val="single" w:color="auto" w:sz="2" w:space="0"/>
                    <w:left w:val="nil"/>
                    <w:bottom w:val="single" w:color="auto" w:sz="2" w:space="0"/>
                    <w:right w:val="single" w:color="auto" w:sz="2" w:space="0"/>
                  </w:tcBorders>
                  <w:vAlign w:val="center"/>
                </w:tcPr>
                <w:p w14:paraId="3450DF4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D</w:t>
                  </w:r>
                </w:p>
              </w:tc>
              <w:tc>
                <w:tcPr>
                  <w:tcW w:w="777" w:type="pct"/>
                  <w:tcBorders>
                    <w:top w:val="single" w:color="auto" w:sz="2" w:space="0"/>
                    <w:left w:val="single" w:color="auto" w:sz="2" w:space="0"/>
                    <w:bottom w:val="single" w:color="auto" w:sz="2" w:space="0"/>
                    <w:right w:val="single" w:color="auto" w:sz="2" w:space="0"/>
                  </w:tcBorders>
                  <w:vAlign w:val="center"/>
                </w:tcPr>
                <w:p w14:paraId="44D1C83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&lt;2</w:t>
                  </w:r>
                </w:p>
              </w:tc>
              <w:tc>
                <w:tcPr>
                  <w:tcW w:w="1136" w:type="pct"/>
                  <w:gridSpan w:val="3"/>
                  <w:tcBorders>
                    <w:top w:val="single" w:color="auto" w:sz="2" w:space="0"/>
                    <w:left w:val="single" w:color="auto" w:sz="2" w:space="0"/>
                    <w:bottom w:val="single" w:color="auto" w:sz="2" w:space="0"/>
                    <w:right w:val="single" w:color="auto" w:sz="2" w:space="0"/>
                  </w:tcBorders>
                  <w:vAlign w:val="center"/>
                </w:tcPr>
                <w:p w14:paraId="79708C2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0.78</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02B835B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0.78</w:t>
                  </w:r>
                </w:p>
              </w:tc>
              <w:tc>
                <w:tcPr>
                  <w:tcW w:w="1136" w:type="pct"/>
                  <w:gridSpan w:val="3"/>
                  <w:tcBorders>
                    <w:top w:val="single" w:color="auto" w:sz="2" w:space="0"/>
                    <w:left w:val="single" w:color="auto" w:sz="2" w:space="0"/>
                    <w:bottom w:val="single" w:color="auto" w:sz="2" w:space="0"/>
                    <w:right w:val="nil"/>
                  </w:tcBorders>
                  <w:vAlign w:val="center"/>
                </w:tcPr>
                <w:p w14:paraId="17A257E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0.57</w:t>
                  </w:r>
                </w:p>
              </w:tc>
            </w:tr>
            <w:tr w14:paraId="5DE36E50">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814" w:type="pct"/>
                  <w:vMerge w:val="continue"/>
                  <w:tcBorders>
                    <w:top w:val="single" w:color="auto" w:sz="2" w:space="0"/>
                    <w:left w:val="nil"/>
                    <w:bottom w:val="single" w:color="auto" w:sz="2" w:space="0"/>
                    <w:right w:val="single" w:color="auto" w:sz="2" w:space="0"/>
                  </w:tcBorders>
                  <w:vAlign w:val="center"/>
                </w:tcPr>
                <w:p w14:paraId="0011BE2C">
                  <w:pPr>
                    <w:rPr>
                      <w:rFonts w:hint="default" w:ascii="Times New Roman" w:hAnsi="Times New Roman" w:eastAsia="宋体" w:cs="Times New Roman"/>
                      <w:color w:val="auto"/>
                      <w:szCs w:val="21"/>
                    </w:rPr>
                  </w:pPr>
                </w:p>
              </w:tc>
              <w:tc>
                <w:tcPr>
                  <w:tcW w:w="777" w:type="pct"/>
                  <w:tcBorders>
                    <w:top w:val="single" w:color="auto" w:sz="2" w:space="0"/>
                    <w:left w:val="single" w:color="auto" w:sz="2" w:space="0"/>
                    <w:bottom w:val="single" w:color="auto" w:sz="2" w:space="0"/>
                    <w:right w:val="single" w:color="auto" w:sz="2" w:space="0"/>
                  </w:tcBorders>
                  <w:vAlign w:val="center"/>
                </w:tcPr>
                <w:p w14:paraId="43659956">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&gt;2</w:t>
                  </w:r>
                </w:p>
              </w:tc>
              <w:tc>
                <w:tcPr>
                  <w:tcW w:w="1136" w:type="pct"/>
                  <w:gridSpan w:val="3"/>
                  <w:tcBorders>
                    <w:top w:val="single" w:color="auto" w:sz="2" w:space="0"/>
                    <w:left w:val="single" w:color="auto" w:sz="2" w:space="0"/>
                    <w:bottom w:val="single" w:color="auto" w:sz="2" w:space="0"/>
                    <w:right w:val="single" w:color="auto" w:sz="2" w:space="0"/>
                  </w:tcBorders>
                  <w:shd w:val="clear" w:color="auto" w:fill="B3B3B3"/>
                  <w:vAlign w:val="center"/>
                </w:tcPr>
                <w:p w14:paraId="15630A7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0.84</w:t>
                  </w:r>
                </w:p>
              </w:tc>
              <w:tc>
                <w:tcPr>
                  <w:tcW w:w="1138" w:type="pct"/>
                  <w:gridSpan w:val="3"/>
                  <w:tcBorders>
                    <w:top w:val="single" w:color="auto" w:sz="2" w:space="0"/>
                    <w:left w:val="single" w:color="auto" w:sz="2" w:space="0"/>
                    <w:bottom w:val="single" w:color="auto" w:sz="2" w:space="0"/>
                    <w:right w:val="single" w:color="auto" w:sz="2" w:space="0"/>
                  </w:tcBorders>
                  <w:vAlign w:val="center"/>
                </w:tcPr>
                <w:p w14:paraId="6A7DB47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0.84</w:t>
                  </w:r>
                </w:p>
              </w:tc>
              <w:tc>
                <w:tcPr>
                  <w:tcW w:w="1136" w:type="pct"/>
                  <w:gridSpan w:val="3"/>
                  <w:tcBorders>
                    <w:top w:val="single" w:color="auto" w:sz="2" w:space="0"/>
                    <w:left w:val="single" w:color="auto" w:sz="2" w:space="0"/>
                    <w:bottom w:val="single" w:color="auto" w:sz="2" w:space="0"/>
                    <w:right w:val="nil"/>
                  </w:tcBorders>
                  <w:vAlign w:val="center"/>
                </w:tcPr>
                <w:p w14:paraId="6874805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0.76</w:t>
                  </w:r>
                </w:p>
              </w:tc>
            </w:tr>
            <w:tr w14:paraId="359B15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cantSplit/>
                <w:trHeight w:val="283" w:hRule="atLeast"/>
                <w:jc w:val="center"/>
              </w:trPr>
              <w:tc>
                <w:tcPr>
                  <w:tcW w:w="5000" w:type="pct"/>
                  <w:gridSpan w:val="11"/>
                  <w:tcBorders>
                    <w:top w:val="single" w:color="auto" w:sz="2" w:space="0"/>
                    <w:left w:val="nil"/>
                    <w:bottom w:val="single" w:color="auto" w:sz="12" w:space="0"/>
                    <w:right w:val="single" w:color="auto" w:sz="2" w:space="0"/>
                  </w:tcBorders>
                  <w:vAlign w:val="center"/>
                </w:tcPr>
                <w:p w14:paraId="2079F5B5">
                  <w:pPr>
                    <w:jc w:val="left"/>
                    <w:rPr>
                      <w:rFonts w:hint="default" w:ascii="Times New Roman" w:hAnsi="Times New Roman" w:eastAsia="宋体" w:cs="Times New Roman"/>
                      <w:color w:val="auto"/>
                      <w:sz w:val="18"/>
                      <w:szCs w:val="18"/>
                    </w:rPr>
                  </w:pPr>
                  <w:r>
                    <w:rPr>
                      <w:rFonts w:hint="default" w:ascii="Times New Roman" w:hAnsi="Times New Roman" w:eastAsia="宋体" w:cs="Times New Roman"/>
                      <w:b/>
                      <w:bCs/>
                      <w:color w:val="auto"/>
                      <w:sz w:val="18"/>
                      <w:szCs w:val="18"/>
                    </w:rPr>
                    <w:t>注：</w:t>
                  </w:r>
                  <w:r>
                    <w:rPr>
                      <w:rFonts w:hint="default" w:ascii="Times New Roman" w:hAnsi="Times New Roman" w:eastAsia="宋体" w:cs="Times New Roman"/>
                      <w:color w:val="auto"/>
                      <w:sz w:val="18"/>
                      <w:szCs w:val="18"/>
                    </w:rPr>
                    <w:t>Ⅰ类：与无组织排放源共存的排放同种有害气体的排气筒的排放量，大于或等于标准规定的允许排放量的1/3者。</w:t>
                  </w:r>
                </w:p>
                <w:p w14:paraId="5E4A39EA">
                  <w:pPr>
                    <w:jc w:val="left"/>
                    <w:rPr>
                      <w:rFonts w:hint="default" w:ascii="Times New Roman" w:hAnsi="Times New Roman" w:eastAsia="宋体" w:cs="Times New Roman"/>
                      <w:color w:val="auto"/>
                      <w:sz w:val="18"/>
                      <w:szCs w:val="18"/>
                    </w:rPr>
                  </w:pPr>
                  <w:r>
                    <w:rPr>
                      <w:rFonts w:hint="default" w:ascii="Times New Roman" w:hAnsi="Times New Roman" w:eastAsia="宋体" w:cs="Times New Roman"/>
                      <w:color w:val="auto"/>
                      <w:sz w:val="18"/>
                      <w:szCs w:val="18"/>
                    </w:rPr>
                    <w:t>Ⅱ类：与无组织排放源共存的排放同种有害气体的排气筒的排放量，小于规准规定的允许排放量的1/3，或虽无排放同种大气污染物之排气筒共存，但无组织排放的有害物质的容许浓度指标是按急性反应指标确定者。</w:t>
                  </w:r>
                </w:p>
                <w:p w14:paraId="56B8CF84">
                  <w:pPr>
                    <w:jc w:val="left"/>
                    <w:rPr>
                      <w:rFonts w:hint="default" w:ascii="Times New Roman" w:hAnsi="Times New Roman" w:eastAsia="宋体" w:cs="Times New Roman"/>
                      <w:b/>
                      <w:bCs/>
                      <w:color w:val="auto"/>
                    </w:rPr>
                  </w:pPr>
                  <w:r>
                    <w:rPr>
                      <w:rFonts w:hint="default" w:ascii="Times New Roman" w:hAnsi="Times New Roman" w:eastAsia="宋体" w:cs="Times New Roman"/>
                      <w:color w:val="auto"/>
                      <w:sz w:val="18"/>
                      <w:szCs w:val="18"/>
                    </w:rPr>
                    <w:t>Ⅲ类：无排放同种有害物质的排气筒与无组织排放源共存，但无组织排放的有害物质的容许浓度是按慢性反应指标确定者。</w:t>
                  </w:r>
                </w:p>
              </w:tc>
            </w:tr>
          </w:tbl>
          <w:p w14:paraId="4BA42783">
            <w:pPr>
              <w:adjustRightInd w:val="0"/>
              <w:snapToGrid w:val="0"/>
              <w:spacing w:line="500" w:lineRule="exact"/>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根据《制定地方大气污染物排放标准的技术方法》（GB/T39449-2020），卫生防护距离在100m以内时，级差为50m；超过100m，但小于或等于1000m时，级差为100m；超过1000m时，级差为200m。当按两种或两种以上的有害气体的Q/Cm值计算的卫生防护距离在同一级别时，该类工业企业的卫生防护距离级别应提高一级。</w:t>
            </w:r>
          </w:p>
          <w:p w14:paraId="407DB6CD">
            <w:pPr>
              <w:spacing w:line="360" w:lineRule="auto"/>
              <w:ind w:firstLine="480" w:firstLineChars="200"/>
              <w:rPr>
                <w:rFonts w:hint="default" w:ascii="Times New Roman" w:hAnsi="Times New Roman" w:eastAsia="宋体" w:cs="Times New Roman"/>
                <w:b/>
                <w:bCs/>
                <w:color w:val="auto"/>
                <w:sz w:val="24"/>
              </w:rPr>
            </w:pPr>
            <w:r>
              <w:rPr>
                <w:rFonts w:hint="default" w:ascii="Times New Roman" w:hAnsi="Times New Roman" w:eastAsia="宋体" w:cs="Times New Roman"/>
                <w:color w:val="auto"/>
                <w:sz w:val="24"/>
              </w:rPr>
              <w:t>经计算，本项目卫生防护距离计算结果见表4-1</w:t>
            </w:r>
            <w:r>
              <w:rPr>
                <w:rFonts w:hint="eastAsia"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w:t>
            </w:r>
          </w:p>
          <w:p w14:paraId="20F6CCB8">
            <w:pPr>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表4-1</w:t>
            </w:r>
            <w:r>
              <w:rPr>
                <w:rFonts w:hint="eastAsia" w:ascii="Times New Roman" w:hAnsi="Times New Roman" w:eastAsia="宋体" w:cs="Times New Roman"/>
                <w:b/>
                <w:bCs/>
                <w:color w:val="auto"/>
                <w:sz w:val="24"/>
                <w:lang w:val="en-US" w:eastAsia="zh-CN"/>
              </w:rPr>
              <w:t>0</w:t>
            </w:r>
            <w:r>
              <w:rPr>
                <w:rFonts w:hint="default" w:ascii="Times New Roman" w:hAnsi="Times New Roman" w:eastAsia="宋体" w:cs="Times New Roman"/>
                <w:b/>
                <w:bCs/>
                <w:color w:val="auto"/>
                <w:sz w:val="24"/>
              </w:rPr>
              <w:t xml:space="preserve">  卫生防护距离计算结果表</w:t>
            </w:r>
          </w:p>
          <w:tbl>
            <w:tblPr>
              <w:tblStyle w:val="27"/>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408"/>
              <w:gridCol w:w="667"/>
              <w:gridCol w:w="799"/>
              <w:gridCol w:w="869"/>
              <w:gridCol w:w="908"/>
              <w:gridCol w:w="511"/>
              <w:gridCol w:w="664"/>
              <w:gridCol w:w="562"/>
              <w:gridCol w:w="571"/>
              <w:gridCol w:w="784"/>
              <w:gridCol w:w="784"/>
              <w:gridCol w:w="787"/>
            </w:tblGrid>
            <w:tr w14:paraId="185219B6">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5" w:type="pct"/>
                  <w:vMerge w:val="restart"/>
                  <w:vAlign w:val="center"/>
                </w:tcPr>
                <w:p w14:paraId="0C319019">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面源</w:t>
                  </w:r>
                </w:p>
                <w:p w14:paraId="0FC400D9">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401" w:type="pct"/>
                  <w:vMerge w:val="restart"/>
                  <w:vAlign w:val="center"/>
                </w:tcPr>
                <w:p w14:paraId="50074D43">
                  <w:pPr>
                    <w:ind w:left="-105" w:leftChars="-50" w:right="-105" w:rightChars="-5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污染物</w:t>
                  </w:r>
                </w:p>
              </w:tc>
              <w:tc>
                <w:tcPr>
                  <w:tcW w:w="480" w:type="pct"/>
                  <w:vMerge w:val="restart"/>
                  <w:vAlign w:val="center"/>
                </w:tcPr>
                <w:p w14:paraId="507AE1F9">
                  <w:pPr>
                    <w:jc w:val="center"/>
                    <w:rPr>
                      <w:rFonts w:hint="default" w:ascii="Times New Roman" w:hAnsi="Times New Roman" w:eastAsia="宋体" w:cs="Times New Roman"/>
                      <w:b/>
                      <w:color w:val="auto"/>
                    </w:rPr>
                  </w:pPr>
                  <w:r>
                    <w:rPr>
                      <w:rFonts w:hint="default" w:ascii="Times New Roman" w:hAnsi="Times New Roman" w:eastAsia="宋体" w:cs="Times New Roman"/>
                      <w:b/>
                      <w:color w:val="auto"/>
                    </w:rPr>
                    <w:t>Qc</w:t>
                  </w:r>
                </w:p>
                <w:p w14:paraId="576F94BD">
                  <w:pPr>
                    <w:ind w:left="-105" w:leftChars="-50" w:right="-105" w:rightChars="-50"/>
                    <w:jc w:val="center"/>
                    <w:rPr>
                      <w:rFonts w:hint="default" w:ascii="Times New Roman" w:hAnsi="Times New Roman" w:eastAsia="宋体" w:cs="Times New Roman"/>
                      <w:b/>
                      <w:bCs/>
                      <w:color w:val="auto"/>
                    </w:rPr>
                  </w:pPr>
                  <w:r>
                    <w:rPr>
                      <w:rFonts w:hint="default" w:ascii="Times New Roman" w:hAnsi="Times New Roman" w:eastAsia="宋体" w:cs="Times New Roman"/>
                      <w:b/>
                      <w:color w:val="auto"/>
                    </w:rPr>
                    <w:t>（kg/h）</w:t>
                  </w:r>
                </w:p>
              </w:tc>
              <w:tc>
                <w:tcPr>
                  <w:tcW w:w="522" w:type="pct"/>
                  <w:vMerge w:val="restart"/>
                  <w:vAlign w:val="center"/>
                </w:tcPr>
                <w:p w14:paraId="37F920D8">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面源面积（m</w:t>
                  </w:r>
                  <w:r>
                    <w:rPr>
                      <w:rFonts w:hint="default" w:ascii="Times New Roman" w:hAnsi="Times New Roman" w:eastAsia="宋体" w:cs="Times New Roman"/>
                      <w:b/>
                      <w:bCs/>
                      <w:color w:val="auto"/>
                      <w:vertAlign w:val="superscript"/>
                    </w:rPr>
                    <w:t>2</w:t>
                  </w:r>
                  <w:r>
                    <w:rPr>
                      <w:rFonts w:hint="default" w:ascii="Times New Roman" w:hAnsi="Times New Roman" w:eastAsia="宋体" w:cs="Times New Roman"/>
                      <w:b/>
                      <w:bCs/>
                      <w:color w:val="auto"/>
                    </w:rPr>
                    <w:t>）</w:t>
                  </w:r>
                </w:p>
              </w:tc>
              <w:tc>
                <w:tcPr>
                  <w:tcW w:w="1934" w:type="pct"/>
                  <w:gridSpan w:val="5"/>
                  <w:vAlign w:val="center"/>
                </w:tcPr>
                <w:p w14:paraId="24F164A4">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计算参数</w:t>
                  </w:r>
                </w:p>
              </w:tc>
              <w:tc>
                <w:tcPr>
                  <w:tcW w:w="1416" w:type="pct"/>
                  <w:gridSpan w:val="3"/>
                  <w:vAlign w:val="center"/>
                </w:tcPr>
                <w:p w14:paraId="068399C1">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卫生防护距离</w:t>
                  </w:r>
                </w:p>
              </w:tc>
            </w:tr>
            <w:tr w14:paraId="1017B3C5">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5" w:type="pct"/>
                  <w:vMerge w:val="continue"/>
                  <w:tcBorders>
                    <w:bottom w:val="single" w:color="auto" w:sz="4" w:space="0"/>
                  </w:tcBorders>
                  <w:vAlign w:val="center"/>
                </w:tcPr>
                <w:p w14:paraId="67907D4D">
                  <w:pPr>
                    <w:jc w:val="center"/>
                    <w:rPr>
                      <w:rFonts w:hint="default" w:ascii="Times New Roman" w:hAnsi="Times New Roman" w:eastAsia="宋体" w:cs="Times New Roman"/>
                      <w:b/>
                      <w:bCs/>
                      <w:color w:val="auto"/>
                    </w:rPr>
                  </w:pPr>
                </w:p>
              </w:tc>
              <w:tc>
                <w:tcPr>
                  <w:tcW w:w="401" w:type="pct"/>
                  <w:vMerge w:val="continue"/>
                  <w:vAlign w:val="center"/>
                </w:tcPr>
                <w:p w14:paraId="3ECCB2BB">
                  <w:pPr>
                    <w:jc w:val="center"/>
                    <w:rPr>
                      <w:rFonts w:hint="default" w:ascii="Times New Roman" w:hAnsi="Times New Roman" w:eastAsia="宋体" w:cs="Times New Roman"/>
                      <w:b/>
                      <w:bCs/>
                      <w:color w:val="auto"/>
                    </w:rPr>
                  </w:pPr>
                </w:p>
              </w:tc>
              <w:tc>
                <w:tcPr>
                  <w:tcW w:w="480" w:type="pct"/>
                  <w:vMerge w:val="continue"/>
                  <w:vAlign w:val="center"/>
                </w:tcPr>
                <w:p w14:paraId="4D1A0358">
                  <w:pPr>
                    <w:jc w:val="center"/>
                    <w:rPr>
                      <w:rFonts w:hint="default" w:ascii="Times New Roman" w:hAnsi="Times New Roman" w:eastAsia="宋体" w:cs="Times New Roman"/>
                      <w:b/>
                      <w:bCs/>
                      <w:color w:val="auto"/>
                    </w:rPr>
                  </w:pPr>
                </w:p>
              </w:tc>
              <w:tc>
                <w:tcPr>
                  <w:tcW w:w="522" w:type="pct"/>
                  <w:vMerge w:val="continue"/>
                  <w:vAlign w:val="center"/>
                </w:tcPr>
                <w:p w14:paraId="04B06DD7">
                  <w:pPr>
                    <w:jc w:val="center"/>
                    <w:rPr>
                      <w:rFonts w:hint="default" w:ascii="Times New Roman" w:hAnsi="Times New Roman" w:eastAsia="宋体" w:cs="Times New Roman"/>
                      <w:b/>
                      <w:bCs/>
                      <w:color w:val="auto"/>
                    </w:rPr>
                  </w:pPr>
                </w:p>
              </w:tc>
              <w:tc>
                <w:tcPr>
                  <w:tcW w:w="546" w:type="pct"/>
                  <w:vAlign w:val="center"/>
                </w:tcPr>
                <w:p w14:paraId="6E2B0FCB">
                  <w:pPr>
                    <w:adjustRightInd w:val="0"/>
                    <w:snapToGrid w:val="0"/>
                    <w:spacing w:line="24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Cm（mg/m</w:t>
                  </w:r>
                  <w:r>
                    <w:rPr>
                      <w:rFonts w:hint="default" w:ascii="Times New Roman" w:hAnsi="Times New Roman" w:eastAsia="宋体" w:cs="Times New Roman"/>
                      <w:b/>
                      <w:bCs/>
                      <w:color w:val="auto"/>
                      <w:vertAlign w:val="superscript"/>
                    </w:rPr>
                    <w:t>3</w:t>
                  </w:r>
                  <w:r>
                    <w:rPr>
                      <w:rFonts w:hint="default" w:ascii="Times New Roman" w:hAnsi="Times New Roman" w:eastAsia="宋体" w:cs="Times New Roman"/>
                      <w:b/>
                      <w:bCs/>
                      <w:color w:val="auto"/>
                    </w:rPr>
                    <w:t>）</w:t>
                  </w:r>
                </w:p>
              </w:tc>
              <w:tc>
                <w:tcPr>
                  <w:tcW w:w="307" w:type="pct"/>
                  <w:vAlign w:val="center"/>
                </w:tcPr>
                <w:p w14:paraId="75834ADC">
                  <w:pPr>
                    <w:adjustRightInd w:val="0"/>
                    <w:snapToGrid w:val="0"/>
                    <w:spacing w:line="24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A</w:t>
                  </w:r>
                </w:p>
              </w:tc>
              <w:tc>
                <w:tcPr>
                  <w:tcW w:w="399" w:type="pct"/>
                  <w:vAlign w:val="center"/>
                </w:tcPr>
                <w:p w14:paraId="4449C510">
                  <w:pPr>
                    <w:adjustRightInd w:val="0"/>
                    <w:snapToGrid w:val="0"/>
                    <w:spacing w:line="24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B</w:t>
                  </w:r>
                </w:p>
              </w:tc>
              <w:tc>
                <w:tcPr>
                  <w:tcW w:w="337" w:type="pct"/>
                  <w:vAlign w:val="center"/>
                </w:tcPr>
                <w:p w14:paraId="3E27487C">
                  <w:pPr>
                    <w:adjustRightInd w:val="0"/>
                    <w:snapToGrid w:val="0"/>
                    <w:spacing w:line="24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C</w:t>
                  </w:r>
                </w:p>
              </w:tc>
              <w:tc>
                <w:tcPr>
                  <w:tcW w:w="343" w:type="pct"/>
                  <w:vAlign w:val="center"/>
                </w:tcPr>
                <w:p w14:paraId="595F1FB9">
                  <w:pPr>
                    <w:adjustRightInd w:val="0"/>
                    <w:snapToGrid w:val="0"/>
                    <w:spacing w:line="24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D</w:t>
                  </w:r>
                </w:p>
              </w:tc>
              <w:tc>
                <w:tcPr>
                  <w:tcW w:w="471" w:type="pct"/>
                  <w:vAlign w:val="center"/>
                </w:tcPr>
                <w:p w14:paraId="07438B64">
                  <w:pPr>
                    <w:adjustRightInd w:val="0"/>
                    <w:snapToGrid w:val="0"/>
                    <w:spacing w:line="24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L计（m）</w:t>
                  </w:r>
                </w:p>
              </w:tc>
              <w:tc>
                <w:tcPr>
                  <w:tcW w:w="471" w:type="pct"/>
                  <w:vAlign w:val="center"/>
                </w:tcPr>
                <w:p w14:paraId="7E40BC4D">
                  <w:pPr>
                    <w:adjustRightInd w:val="0"/>
                    <w:snapToGrid w:val="0"/>
                    <w:spacing w:line="24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L卫（m）</w:t>
                  </w:r>
                </w:p>
              </w:tc>
              <w:tc>
                <w:tcPr>
                  <w:tcW w:w="473" w:type="pct"/>
                  <w:vAlign w:val="center"/>
                </w:tcPr>
                <w:p w14:paraId="35B21389">
                  <w:pPr>
                    <w:adjustRightInd w:val="0"/>
                    <w:snapToGrid w:val="0"/>
                    <w:spacing w:line="240" w:lineRule="exact"/>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L</w:t>
                  </w:r>
                  <w:r>
                    <w:rPr>
                      <w:rFonts w:hint="default" w:ascii="Times New Roman" w:hAnsi="Times New Roman" w:eastAsia="宋体" w:cs="Times New Roman"/>
                      <w:b/>
                      <w:bCs/>
                      <w:color w:val="auto"/>
                      <w:lang w:val="en-US" w:eastAsia="zh-CN"/>
                    </w:rPr>
                    <w:t>总</w:t>
                  </w:r>
                  <w:r>
                    <w:rPr>
                      <w:rFonts w:hint="default" w:ascii="Times New Roman" w:hAnsi="Times New Roman" w:eastAsia="宋体" w:cs="Times New Roman"/>
                      <w:b/>
                      <w:bCs/>
                      <w:color w:val="auto"/>
                    </w:rPr>
                    <w:t>（m）</w:t>
                  </w:r>
                </w:p>
              </w:tc>
            </w:tr>
            <w:tr w14:paraId="3FFEC3B3">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5" w:type="pct"/>
                  <w:vMerge w:val="restart"/>
                  <w:tcBorders>
                    <w:top w:val="single" w:color="auto" w:sz="4" w:space="0"/>
                  </w:tcBorders>
                  <w:vAlign w:val="center"/>
                </w:tcPr>
                <w:p w14:paraId="564AA6A5">
                  <w:pPr>
                    <w:ind w:left="-105" w:leftChars="-50" w:right="-105" w:rightChars="-5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生产车间</w:t>
                  </w:r>
                </w:p>
              </w:tc>
              <w:tc>
                <w:tcPr>
                  <w:tcW w:w="401" w:type="pct"/>
                  <w:vAlign w:val="center"/>
                </w:tcPr>
                <w:p w14:paraId="0DFF65C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非甲烷总烃</w:t>
                  </w:r>
                </w:p>
              </w:tc>
              <w:tc>
                <w:tcPr>
                  <w:tcW w:w="480" w:type="pct"/>
                  <w:vAlign w:val="center"/>
                </w:tcPr>
                <w:p w14:paraId="6BD45A84">
                  <w:pPr>
                    <w:spacing w:line="276"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Cs w:val="21"/>
                      <w:lang w:val="en-US" w:eastAsia="zh-CN"/>
                    </w:rPr>
                    <w:t>0.006</w:t>
                  </w:r>
                </w:p>
              </w:tc>
              <w:tc>
                <w:tcPr>
                  <w:tcW w:w="522" w:type="pct"/>
                  <w:vAlign w:val="center"/>
                </w:tcPr>
                <w:p w14:paraId="15E678F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1439.97</w:t>
                  </w:r>
                </w:p>
              </w:tc>
              <w:tc>
                <w:tcPr>
                  <w:tcW w:w="546" w:type="pct"/>
                  <w:vAlign w:val="center"/>
                </w:tcPr>
                <w:p w14:paraId="618DCB95">
                  <w:pPr>
                    <w:adjustRightInd w:val="0"/>
                    <w:snapToGrid w:val="0"/>
                    <w:jc w:val="center"/>
                    <w:rPr>
                      <w:rFonts w:hint="default" w:ascii="Times New Roman" w:hAnsi="Times New Roman" w:eastAsia="宋体" w:cs="Times New Roman"/>
                      <w:color w:val="auto"/>
                    </w:rPr>
                  </w:pPr>
                  <w:r>
                    <w:rPr>
                      <w:rFonts w:hint="default" w:ascii="Times New Roman" w:hAnsi="Times New Roman" w:eastAsia="宋体" w:cs="Times New Roman"/>
                      <w:color w:val="auto"/>
                    </w:rPr>
                    <w:t>2.0</w:t>
                  </w:r>
                </w:p>
              </w:tc>
              <w:tc>
                <w:tcPr>
                  <w:tcW w:w="307" w:type="pct"/>
                  <w:vAlign w:val="center"/>
                </w:tcPr>
                <w:p w14:paraId="5271E512">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470</w:t>
                  </w:r>
                </w:p>
              </w:tc>
              <w:tc>
                <w:tcPr>
                  <w:tcW w:w="399" w:type="pct"/>
                  <w:vAlign w:val="center"/>
                </w:tcPr>
                <w:p w14:paraId="03384E42">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0.021</w:t>
                  </w:r>
                </w:p>
              </w:tc>
              <w:tc>
                <w:tcPr>
                  <w:tcW w:w="337" w:type="pct"/>
                  <w:vAlign w:val="center"/>
                </w:tcPr>
                <w:p w14:paraId="603FBC8F">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1.85</w:t>
                  </w:r>
                </w:p>
              </w:tc>
              <w:tc>
                <w:tcPr>
                  <w:tcW w:w="343" w:type="pct"/>
                  <w:vAlign w:val="center"/>
                </w:tcPr>
                <w:p w14:paraId="3D7C1076">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0.84</w:t>
                  </w:r>
                </w:p>
              </w:tc>
              <w:tc>
                <w:tcPr>
                  <w:tcW w:w="471" w:type="pct"/>
                  <w:vAlign w:val="center"/>
                </w:tcPr>
                <w:p w14:paraId="7CE9857F">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0.054</w:t>
                  </w:r>
                </w:p>
              </w:tc>
              <w:tc>
                <w:tcPr>
                  <w:tcW w:w="471" w:type="pct"/>
                  <w:vAlign w:val="center"/>
                </w:tcPr>
                <w:p w14:paraId="3BBA8B17">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50</w:t>
                  </w:r>
                </w:p>
              </w:tc>
              <w:tc>
                <w:tcPr>
                  <w:tcW w:w="473" w:type="pct"/>
                  <w:vMerge w:val="restart"/>
                  <w:vAlign w:val="center"/>
                </w:tcPr>
                <w:p w14:paraId="5412D0D2">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100</w:t>
                  </w:r>
                </w:p>
              </w:tc>
            </w:tr>
            <w:tr w14:paraId="6183202A">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5" w:type="pct"/>
                  <w:vMerge w:val="continue"/>
                  <w:vAlign w:val="center"/>
                </w:tcPr>
                <w:p w14:paraId="1902334E">
                  <w:pPr>
                    <w:ind w:left="-105" w:leftChars="-50" w:right="-105" w:rightChars="-50"/>
                    <w:jc w:val="center"/>
                    <w:rPr>
                      <w:rFonts w:hint="default" w:ascii="Times New Roman" w:hAnsi="Times New Roman" w:eastAsia="宋体" w:cs="Times New Roman"/>
                      <w:color w:val="auto"/>
                      <w:lang w:val="en-US" w:eastAsia="zh-CN"/>
                    </w:rPr>
                  </w:pPr>
                </w:p>
              </w:tc>
              <w:tc>
                <w:tcPr>
                  <w:tcW w:w="401" w:type="pct"/>
                  <w:vAlign w:val="center"/>
                </w:tcPr>
                <w:p w14:paraId="645B0140">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氨气</w:t>
                  </w:r>
                </w:p>
              </w:tc>
              <w:tc>
                <w:tcPr>
                  <w:tcW w:w="480" w:type="pct"/>
                  <w:vAlign w:val="center"/>
                </w:tcPr>
                <w:p w14:paraId="7087B35A">
                  <w:pPr>
                    <w:spacing w:line="276"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0.004</w:t>
                  </w:r>
                </w:p>
              </w:tc>
              <w:tc>
                <w:tcPr>
                  <w:tcW w:w="522" w:type="pct"/>
                  <w:shd w:val="clear" w:color="auto" w:fill="auto"/>
                  <w:vAlign w:val="center"/>
                </w:tcPr>
                <w:p w14:paraId="149650F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1439.97</w:t>
                  </w:r>
                </w:p>
              </w:tc>
              <w:tc>
                <w:tcPr>
                  <w:tcW w:w="546" w:type="pct"/>
                  <w:shd w:val="clear" w:color="auto" w:fill="auto"/>
                  <w:vAlign w:val="center"/>
                </w:tcPr>
                <w:p w14:paraId="2861BCC2">
                  <w:pPr>
                    <w:adjustRightInd w:val="0"/>
                    <w:snapToGrid w:val="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2.0</w:t>
                  </w:r>
                </w:p>
              </w:tc>
              <w:tc>
                <w:tcPr>
                  <w:tcW w:w="307" w:type="pct"/>
                  <w:shd w:val="clear" w:color="auto" w:fill="auto"/>
                  <w:vAlign w:val="center"/>
                </w:tcPr>
                <w:p w14:paraId="264589DC">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470</w:t>
                  </w:r>
                </w:p>
              </w:tc>
              <w:tc>
                <w:tcPr>
                  <w:tcW w:w="399" w:type="pct"/>
                  <w:shd w:val="clear" w:color="auto" w:fill="auto"/>
                  <w:vAlign w:val="center"/>
                </w:tcPr>
                <w:p w14:paraId="0BB7333F">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0.021</w:t>
                  </w:r>
                </w:p>
              </w:tc>
              <w:tc>
                <w:tcPr>
                  <w:tcW w:w="337" w:type="pct"/>
                  <w:shd w:val="clear" w:color="auto" w:fill="auto"/>
                  <w:vAlign w:val="center"/>
                </w:tcPr>
                <w:p w14:paraId="6CD180ED">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1.85</w:t>
                  </w:r>
                </w:p>
              </w:tc>
              <w:tc>
                <w:tcPr>
                  <w:tcW w:w="343" w:type="pct"/>
                  <w:shd w:val="clear" w:color="auto" w:fill="auto"/>
                  <w:vAlign w:val="center"/>
                </w:tcPr>
                <w:p w14:paraId="45B59F05">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0.84</w:t>
                  </w:r>
                </w:p>
              </w:tc>
              <w:tc>
                <w:tcPr>
                  <w:tcW w:w="471" w:type="pct"/>
                  <w:shd w:val="clear" w:color="auto" w:fill="auto"/>
                  <w:vAlign w:val="center"/>
                </w:tcPr>
                <w:p w14:paraId="5E07B144">
                  <w:pPr>
                    <w:jc w:val="center"/>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0.520</w:t>
                  </w:r>
                </w:p>
              </w:tc>
              <w:tc>
                <w:tcPr>
                  <w:tcW w:w="471" w:type="pct"/>
                  <w:shd w:val="clear" w:color="auto" w:fill="auto"/>
                  <w:vAlign w:val="center"/>
                </w:tcPr>
                <w:p w14:paraId="2DF6FDDE">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50</w:t>
                  </w:r>
                </w:p>
              </w:tc>
              <w:tc>
                <w:tcPr>
                  <w:tcW w:w="473" w:type="pct"/>
                  <w:vMerge w:val="continue"/>
                  <w:vAlign w:val="center"/>
                </w:tcPr>
                <w:p w14:paraId="213E2D74">
                  <w:pPr>
                    <w:jc w:val="center"/>
                    <w:rPr>
                      <w:rFonts w:hint="default" w:ascii="Times New Roman" w:hAnsi="Times New Roman" w:eastAsia="宋体" w:cs="Times New Roman"/>
                      <w:color w:val="auto"/>
                      <w:lang w:val="en-US" w:eastAsia="zh-CN"/>
                    </w:rPr>
                  </w:pPr>
                </w:p>
              </w:tc>
            </w:tr>
            <w:tr w14:paraId="581F62F1">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CellMar>
                  <w:top w:w="0" w:type="dxa"/>
                  <w:left w:w="108" w:type="dxa"/>
                  <w:bottom w:w="0" w:type="dxa"/>
                  <w:right w:w="108" w:type="dxa"/>
                </w:tblCellMar>
              </w:tblPrEx>
              <w:tc>
                <w:tcPr>
                  <w:tcW w:w="245" w:type="pct"/>
                  <w:vMerge w:val="continue"/>
                  <w:vAlign w:val="center"/>
                </w:tcPr>
                <w:p w14:paraId="65923091">
                  <w:pPr>
                    <w:ind w:left="-105" w:leftChars="-50" w:right="-105" w:rightChars="-50"/>
                    <w:jc w:val="center"/>
                    <w:rPr>
                      <w:rFonts w:hint="default" w:ascii="Times New Roman" w:hAnsi="Times New Roman" w:eastAsia="宋体" w:cs="Times New Roman"/>
                      <w:color w:val="auto"/>
                      <w:lang w:val="en-US" w:eastAsia="zh-CN"/>
                    </w:rPr>
                  </w:pPr>
                </w:p>
              </w:tc>
              <w:tc>
                <w:tcPr>
                  <w:tcW w:w="401" w:type="pct"/>
                  <w:vAlign w:val="center"/>
                </w:tcPr>
                <w:p w14:paraId="713EFB4F">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颗粒物</w:t>
                  </w:r>
                </w:p>
              </w:tc>
              <w:tc>
                <w:tcPr>
                  <w:tcW w:w="480" w:type="pct"/>
                  <w:vAlign w:val="center"/>
                </w:tcPr>
                <w:p w14:paraId="163905D3">
                  <w:pPr>
                    <w:spacing w:line="276" w:lineRule="auto"/>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szCs w:val="21"/>
                      <w:lang w:val="en-US" w:eastAsia="zh-CN"/>
                    </w:rPr>
                    <w:t>0.023</w:t>
                  </w:r>
                </w:p>
              </w:tc>
              <w:tc>
                <w:tcPr>
                  <w:tcW w:w="522" w:type="pct"/>
                  <w:vAlign w:val="center"/>
                </w:tcPr>
                <w:p w14:paraId="0D4CA2C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1439.97</w:t>
                  </w:r>
                </w:p>
              </w:tc>
              <w:tc>
                <w:tcPr>
                  <w:tcW w:w="546" w:type="pct"/>
                  <w:vAlign w:val="center"/>
                </w:tcPr>
                <w:p w14:paraId="0103940B">
                  <w:pPr>
                    <w:adjustRightInd w:val="0"/>
                    <w:snapToGri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0.</w:t>
                  </w:r>
                  <w:r>
                    <w:rPr>
                      <w:rFonts w:hint="eastAsia" w:ascii="Times New Roman" w:hAnsi="Times New Roman" w:eastAsia="宋体" w:cs="Times New Roman"/>
                      <w:color w:val="auto"/>
                      <w:lang w:val="en-US" w:eastAsia="zh-CN"/>
                    </w:rPr>
                    <w:t>45</w:t>
                  </w:r>
                </w:p>
              </w:tc>
              <w:tc>
                <w:tcPr>
                  <w:tcW w:w="307" w:type="pct"/>
                  <w:vAlign w:val="center"/>
                </w:tcPr>
                <w:p w14:paraId="16BDE446">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470</w:t>
                  </w:r>
                </w:p>
              </w:tc>
              <w:tc>
                <w:tcPr>
                  <w:tcW w:w="399" w:type="pct"/>
                  <w:vAlign w:val="center"/>
                </w:tcPr>
                <w:p w14:paraId="1E55A7B6">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0.021</w:t>
                  </w:r>
                </w:p>
              </w:tc>
              <w:tc>
                <w:tcPr>
                  <w:tcW w:w="337" w:type="pct"/>
                  <w:vAlign w:val="center"/>
                </w:tcPr>
                <w:p w14:paraId="4BC3118B">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1.85</w:t>
                  </w:r>
                </w:p>
              </w:tc>
              <w:tc>
                <w:tcPr>
                  <w:tcW w:w="343" w:type="pct"/>
                  <w:vAlign w:val="center"/>
                </w:tcPr>
                <w:p w14:paraId="4BA9714D">
                  <w:pPr>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0.84</w:t>
                  </w:r>
                </w:p>
              </w:tc>
              <w:tc>
                <w:tcPr>
                  <w:tcW w:w="471" w:type="pct"/>
                  <w:vAlign w:val="center"/>
                </w:tcPr>
                <w:p w14:paraId="58C7FD7F">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1.506</w:t>
                  </w:r>
                </w:p>
              </w:tc>
              <w:tc>
                <w:tcPr>
                  <w:tcW w:w="471" w:type="pct"/>
                  <w:vAlign w:val="center"/>
                </w:tcPr>
                <w:p w14:paraId="674E7B97">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50</w:t>
                  </w:r>
                </w:p>
              </w:tc>
              <w:tc>
                <w:tcPr>
                  <w:tcW w:w="473" w:type="pct"/>
                  <w:vMerge w:val="continue"/>
                  <w:vAlign w:val="center"/>
                </w:tcPr>
                <w:p w14:paraId="36087924">
                  <w:pPr>
                    <w:jc w:val="center"/>
                    <w:rPr>
                      <w:rFonts w:hint="default" w:ascii="Times New Roman" w:hAnsi="Times New Roman" w:eastAsia="宋体" w:cs="Times New Roman"/>
                      <w:color w:val="auto"/>
                    </w:rPr>
                  </w:pPr>
                </w:p>
              </w:tc>
            </w:tr>
          </w:tbl>
          <w:p w14:paraId="113051A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根据《大气有害物质无组织排放卫生防护距离推导技术导则》（GB/T 39499-2020）确定本项目卫生防护距离是以</w:t>
            </w:r>
            <w:r>
              <w:rPr>
                <w:rFonts w:hint="default" w:ascii="Times New Roman" w:hAnsi="Times New Roman" w:eastAsia="宋体" w:cs="Times New Roman"/>
                <w:color w:val="auto"/>
                <w:sz w:val="24"/>
                <w:lang w:val="en-US" w:eastAsia="zh-CN"/>
              </w:rPr>
              <w:t>生产</w:t>
            </w:r>
            <w:r>
              <w:rPr>
                <w:rFonts w:hint="default" w:ascii="Times New Roman" w:hAnsi="Times New Roman" w:eastAsia="宋体" w:cs="Times New Roman"/>
                <w:color w:val="auto"/>
                <w:sz w:val="24"/>
              </w:rPr>
              <w:t>车间为边界外扩</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0米范围设置卫生防护距离（具体范围见图2）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highlight w:val="none"/>
              </w:rPr>
              <w:t>经实地勘察，项目卫生防护距离内目前无居住、医院、学校等环境敏感点，将来也不得建设环境敏感点，以避免环境纠纷。</w:t>
            </w:r>
          </w:p>
          <w:p w14:paraId="60A3B2CE">
            <w:pPr>
              <w:spacing w:line="360" w:lineRule="auto"/>
              <w:ind w:firstLine="482" w:firstLineChars="200"/>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8.异味</w:t>
            </w:r>
            <w:r>
              <w:rPr>
                <w:rFonts w:hint="default" w:ascii="Times New Roman" w:hAnsi="Times New Roman" w:eastAsia="宋体" w:cs="Times New Roman"/>
                <w:b/>
                <w:bCs/>
                <w:color w:val="auto"/>
                <w:sz w:val="24"/>
              </w:rPr>
              <w:t xml:space="preserve">影响分析 </w:t>
            </w:r>
          </w:p>
          <w:p w14:paraId="1D3DBDE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般恶臭多为复合恶臭形式，其强度与恶臭物质的种类和浓度有关。有无气味及气味的大小与恶臭物质在空气中的浓度有关。恶臭的标准可以以人的嗅觉器官对气味的反应将臭味强度分为若干级的臭味强度等级法，该标准由日本制定，在国际上也比较通用。标准中从嗅觉强度上将恶臭分为 0、1、2、3、4、5 六个等级，关于六个等级臭气强度与感觉的描述见下表。</w:t>
            </w:r>
          </w:p>
          <w:p w14:paraId="65CD2BA5">
            <w:pPr>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表4-5  臭气强度的描述</w:t>
            </w:r>
          </w:p>
          <w:tbl>
            <w:tblPr>
              <w:tblStyle w:val="27"/>
              <w:tblW w:w="4998" w:type="pct"/>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2769"/>
              <w:gridCol w:w="2770"/>
              <w:gridCol w:w="2772"/>
            </w:tblGrid>
            <w:tr w14:paraId="13F2261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666" w:type="pct"/>
                  <w:tcBorders>
                    <w:tl2br w:val="nil"/>
                    <w:tr2bl w:val="nil"/>
                  </w:tcBorders>
                  <w:noWrap w:val="0"/>
                  <w:vAlign w:val="center"/>
                </w:tcPr>
                <w:p w14:paraId="351D0DFF">
                  <w:pPr>
                    <w:pStyle w:val="77"/>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恶臭等级</w:t>
                  </w:r>
                </w:p>
              </w:tc>
              <w:tc>
                <w:tcPr>
                  <w:tcW w:w="1666" w:type="pct"/>
                  <w:tcBorders>
                    <w:tl2br w:val="nil"/>
                    <w:tr2bl w:val="nil"/>
                  </w:tcBorders>
                  <w:noWrap w:val="0"/>
                  <w:vAlign w:val="center"/>
                </w:tcPr>
                <w:p w14:paraId="6BB87C90">
                  <w:pPr>
                    <w:pStyle w:val="77"/>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感觉</w:t>
                  </w:r>
                </w:p>
              </w:tc>
              <w:tc>
                <w:tcPr>
                  <w:tcW w:w="1667" w:type="pct"/>
                  <w:tcBorders>
                    <w:tl2br w:val="nil"/>
                    <w:tr2bl w:val="nil"/>
                  </w:tcBorders>
                  <w:noWrap w:val="0"/>
                  <w:vAlign w:val="center"/>
                </w:tcPr>
                <w:p w14:paraId="5CE1022C">
                  <w:pPr>
                    <w:pStyle w:val="77"/>
                    <w:ind w:firstLine="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臭气强度</w:t>
                  </w:r>
                </w:p>
              </w:tc>
            </w:tr>
            <w:tr w14:paraId="26D9E72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666" w:type="pct"/>
                  <w:tcBorders>
                    <w:tl2br w:val="nil"/>
                    <w:tr2bl w:val="nil"/>
                  </w:tcBorders>
                  <w:noWrap w:val="0"/>
                  <w:vAlign w:val="center"/>
                </w:tcPr>
                <w:p w14:paraId="717962E2">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666" w:type="pct"/>
                  <w:tcBorders>
                    <w:tl2br w:val="nil"/>
                    <w:tr2bl w:val="nil"/>
                  </w:tcBorders>
                  <w:noWrap w:val="0"/>
                  <w:vAlign w:val="center"/>
                </w:tcPr>
                <w:p w14:paraId="374EDBA6">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无臭</w:t>
                  </w:r>
                </w:p>
              </w:tc>
              <w:tc>
                <w:tcPr>
                  <w:tcW w:w="1667" w:type="pct"/>
                  <w:tcBorders>
                    <w:tl2br w:val="nil"/>
                    <w:tr2bl w:val="nil"/>
                  </w:tcBorders>
                  <w:noWrap w:val="0"/>
                  <w:vAlign w:val="center"/>
                </w:tcPr>
                <w:p w14:paraId="21DA8D76">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无气味</w:t>
                  </w:r>
                </w:p>
              </w:tc>
            </w:tr>
            <w:tr w14:paraId="1E01796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666" w:type="pct"/>
                  <w:tcBorders>
                    <w:tl2br w:val="nil"/>
                    <w:tr2bl w:val="nil"/>
                  </w:tcBorders>
                  <w:noWrap w:val="0"/>
                  <w:vAlign w:val="center"/>
                </w:tcPr>
                <w:p w14:paraId="188E5C17">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666" w:type="pct"/>
                  <w:tcBorders>
                    <w:tl2br w:val="nil"/>
                    <w:tr2bl w:val="nil"/>
                  </w:tcBorders>
                  <w:noWrap w:val="0"/>
                  <w:vAlign w:val="center"/>
                </w:tcPr>
                <w:p w14:paraId="1EF67019">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勉强感觉臭味存在</w:t>
                  </w:r>
                </w:p>
              </w:tc>
              <w:tc>
                <w:tcPr>
                  <w:tcW w:w="1667" w:type="pct"/>
                  <w:tcBorders>
                    <w:tl2br w:val="nil"/>
                    <w:tr2bl w:val="nil"/>
                  </w:tcBorders>
                  <w:noWrap w:val="0"/>
                  <w:vAlign w:val="center"/>
                </w:tcPr>
                <w:p w14:paraId="39B8F3A6">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嗅阈</w:t>
                  </w:r>
                </w:p>
              </w:tc>
            </w:tr>
            <w:tr w14:paraId="797D9FC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666" w:type="pct"/>
                  <w:tcBorders>
                    <w:tl2br w:val="nil"/>
                    <w:tr2bl w:val="nil"/>
                  </w:tcBorders>
                  <w:noWrap w:val="0"/>
                  <w:vAlign w:val="center"/>
                </w:tcPr>
                <w:p w14:paraId="7236B02E">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1666" w:type="pct"/>
                  <w:tcBorders>
                    <w:tl2br w:val="nil"/>
                    <w:tr2bl w:val="nil"/>
                  </w:tcBorders>
                  <w:noWrap w:val="0"/>
                  <w:vAlign w:val="center"/>
                </w:tcPr>
                <w:p w14:paraId="6578A611">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稍可感觉出的臭味</w:t>
                  </w:r>
                </w:p>
              </w:tc>
              <w:tc>
                <w:tcPr>
                  <w:tcW w:w="1667" w:type="pct"/>
                  <w:tcBorders>
                    <w:tl2br w:val="nil"/>
                    <w:tr2bl w:val="nil"/>
                  </w:tcBorders>
                  <w:noWrap w:val="0"/>
                  <w:vAlign w:val="center"/>
                </w:tcPr>
                <w:p w14:paraId="33AAE0D1">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轻微</w:t>
                  </w:r>
                </w:p>
              </w:tc>
            </w:tr>
            <w:tr w14:paraId="32A7FE1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666" w:type="pct"/>
                  <w:tcBorders>
                    <w:tl2br w:val="nil"/>
                    <w:tr2bl w:val="nil"/>
                  </w:tcBorders>
                  <w:noWrap w:val="0"/>
                  <w:vAlign w:val="center"/>
                </w:tcPr>
                <w:p w14:paraId="6381E7CF">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666" w:type="pct"/>
                  <w:tcBorders>
                    <w:tl2br w:val="nil"/>
                    <w:tr2bl w:val="nil"/>
                  </w:tcBorders>
                  <w:noWrap w:val="0"/>
                  <w:vAlign w:val="center"/>
                </w:tcPr>
                <w:p w14:paraId="7D7F6926">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极易感觉臭味存在</w:t>
                  </w:r>
                </w:p>
              </w:tc>
              <w:tc>
                <w:tcPr>
                  <w:tcW w:w="1667" w:type="pct"/>
                  <w:tcBorders>
                    <w:tl2br w:val="nil"/>
                    <w:tr2bl w:val="nil"/>
                  </w:tcBorders>
                  <w:noWrap w:val="0"/>
                  <w:vAlign w:val="center"/>
                </w:tcPr>
                <w:p w14:paraId="2832A08A">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明显</w:t>
                  </w:r>
                </w:p>
              </w:tc>
            </w:tr>
            <w:tr w14:paraId="5542CAEA">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666" w:type="pct"/>
                  <w:tcBorders>
                    <w:tl2br w:val="nil"/>
                    <w:tr2bl w:val="nil"/>
                  </w:tcBorders>
                  <w:noWrap w:val="0"/>
                  <w:vAlign w:val="center"/>
                </w:tcPr>
                <w:p w14:paraId="539E1E45">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666" w:type="pct"/>
                  <w:tcBorders>
                    <w:tl2br w:val="nil"/>
                    <w:tr2bl w:val="nil"/>
                  </w:tcBorders>
                  <w:noWrap w:val="0"/>
                  <w:vAlign w:val="center"/>
                </w:tcPr>
                <w:p w14:paraId="2A489CA0">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强烈的气味</w:t>
                  </w:r>
                </w:p>
              </w:tc>
              <w:tc>
                <w:tcPr>
                  <w:tcW w:w="1667" w:type="pct"/>
                  <w:tcBorders>
                    <w:tl2br w:val="nil"/>
                    <w:tr2bl w:val="nil"/>
                  </w:tcBorders>
                  <w:noWrap w:val="0"/>
                  <w:vAlign w:val="center"/>
                </w:tcPr>
                <w:p w14:paraId="56A88746">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强烈</w:t>
                  </w:r>
                </w:p>
              </w:tc>
            </w:tr>
            <w:tr w14:paraId="07BBDB4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666" w:type="pct"/>
                  <w:tcBorders>
                    <w:tl2br w:val="nil"/>
                    <w:tr2bl w:val="nil"/>
                  </w:tcBorders>
                  <w:noWrap w:val="0"/>
                  <w:vAlign w:val="center"/>
                </w:tcPr>
                <w:p w14:paraId="6F4456D0">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666" w:type="pct"/>
                  <w:tcBorders>
                    <w:tl2br w:val="nil"/>
                    <w:tr2bl w:val="nil"/>
                  </w:tcBorders>
                  <w:noWrap w:val="0"/>
                  <w:vAlign w:val="center"/>
                </w:tcPr>
                <w:p w14:paraId="1707E166">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无法忍受的极强气味</w:t>
                  </w:r>
                </w:p>
              </w:tc>
              <w:tc>
                <w:tcPr>
                  <w:tcW w:w="1667" w:type="pct"/>
                  <w:tcBorders>
                    <w:tl2br w:val="nil"/>
                    <w:tr2bl w:val="nil"/>
                  </w:tcBorders>
                  <w:noWrap w:val="0"/>
                  <w:vAlign w:val="center"/>
                </w:tcPr>
                <w:p w14:paraId="4B3D9898">
                  <w:pPr>
                    <w:pStyle w:val="77"/>
                    <w:ind w:firstLine="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极强烈</w:t>
                  </w:r>
                </w:p>
              </w:tc>
            </w:tr>
          </w:tbl>
          <w:p w14:paraId="6AEB5B87">
            <w:pPr>
              <w:pStyle w:val="9"/>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textAlignment w:val="auto"/>
              <w:rPr>
                <w:rFonts w:hint="default" w:ascii="Times New Roman" w:hAnsi="Times New Roman" w:eastAsia="宋体" w:cs="Times New Roman"/>
                <w:b w:val="0"/>
                <w:bCs/>
                <w:color w:val="auto"/>
                <w:kern w:val="0"/>
                <w:sz w:val="24"/>
                <w:szCs w:val="24"/>
              </w:rPr>
            </w:pPr>
            <w:r>
              <w:rPr>
                <w:rFonts w:hint="default" w:ascii="Times New Roman" w:hAnsi="Times New Roman" w:eastAsia="宋体" w:cs="Times New Roman"/>
                <w:color w:val="auto"/>
                <w:sz w:val="24"/>
              </w:rPr>
              <w:t>项目</w:t>
            </w:r>
            <w:r>
              <w:rPr>
                <w:rFonts w:hint="eastAsia" w:ascii="Times New Roman" w:hAnsi="Times New Roman" w:eastAsia="宋体" w:cs="Times New Roman"/>
                <w:color w:val="auto"/>
                <w:sz w:val="24"/>
                <w:lang w:val="en-US" w:eastAsia="zh-CN"/>
              </w:rPr>
              <w:t>氮化</w:t>
            </w:r>
            <w:r>
              <w:rPr>
                <w:rFonts w:hint="default" w:ascii="Times New Roman" w:hAnsi="Times New Roman" w:eastAsia="宋体" w:cs="Times New Roman"/>
                <w:color w:val="auto"/>
                <w:sz w:val="24"/>
              </w:rPr>
              <w:t>过程产生的氨</w:t>
            </w:r>
            <w:r>
              <w:rPr>
                <w:rFonts w:hint="eastAsia" w:ascii="Times New Roman" w:hAnsi="Times New Roman" w:eastAsia="宋体" w:cs="Times New Roman"/>
                <w:color w:val="auto"/>
                <w:sz w:val="24"/>
                <w:lang w:val="en-US" w:eastAsia="zh-CN"/>
              </w:rPr>
              <w:t>大部分</w:t>
            </w:r>
            <w:r>
              <w:rPr>
                <w:rFonts w:hint="default" w:ascii="Times New Roman" w:hAnsi="Times New Roman" w:eastAsia="宋体" w:cs="Times New Roman"/>
                <w:color w:val="auto"/>
                <w:sz w:val="24"/>
              </w:rPr>
              <w:t>通过</w:t>
            </w:r>
            <w:r>
              <w:rPr>
                <w:rFonts w:hint="eastAsia" w:ascii="Times New Roman" w:hAnsi="Times New Roman" w:eastAsia="宋体" w:cs="Times New Roman"/>
                <w:color w:val="auto"/>
                <w:sz w:val="24"/>
                <w:lang w:val="en-US" w:eastAsia="zh-CN"/>
              </w:rPr>
              <w:t>集气罩+水喷淋塔收集</w:t>
            </w:r>
            <w:r>
              <w:rPr>
                <w:rFonts w:hint="default" w:ascii="Times New Roman" w:hAnsi="Times New Roman" w:eastAsia="宋体" w:cs="Times New Roman"/>
                <w:color w:val="auto"/>
                <w:sz w:val="24"/>
              </w:rPr>
              <w:t>处理，外排量少，项目臭气浓度对周边环境影响小。</w:t>
            </w:r>
          </w:p>
          <w:p w14:paraId="17BDC2E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lang w:val="en-US" w:eastAsia="zh-CN"/>
              </w:rPr>
              <w:t>9</w:t>
            </w:r>
            <w:r>
              <w:rPr>
                <w:rFonts w:hint="default" w:ascii="Times New Roman" w:hAnsi="Times New Roman" w:eastAsia="宋体" w:cs="Times New Roman"/>
                <w:b/>
                <w:bCs/>
                <w:color w:val="auto"/>
                <w:sz w:val="24"/>
                <w:lang w:val="en-US" w:eastAsia="zh-CN"/>
              </w:rPr>
              <w:t>.</w:t>
            </w:r>
            <w:r>
              <w:rPr>
                <w:rFonts w:hint="default" w:ascii="Times New Roman" w:hAnsi="Times New Roman" w:eastAsia="宋体" w:cs="Times New Roman"/>
                <w:b/>
                <w:bCs/>
                <w:color w:val="auto"/>
                <w:sz w:val="24"/>
              </w:rPr>
              <w:t>大气环境影响评价结论</w:t>
            </w:r>
          </w:p>
          <w:p w14:paraId="58EFB03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rPr>
              <w:t>本项目位于环境空气质量非达标区，企业卫生防护距离范围内不涉及居民、学校等环境敏感保护目标。本项目产生的各类大气污染物经采取有效的污染防治措施治理后排放，各大气污染物排放强度较低，对大气环境影响较小，周边大气环境可基本维持现状，但仍要加强污染控制管理，减少非正常排放情况的发生</w:t>
            </w:r>
            <w:r>
              <w:rPr>
                <w:rFonts w:hint="default" w:ascii="Times New Roman" w:hAnsi="Times New Roman" w:eastAsia="宋体" w:cs="Times New Roman"/>
                <w:color w:val="auto"/>
                <w:sz w:val="24"/>
              </w:rPr>
              <w:t>。</w:t>
            </w:r>
          </w:p>
          <w:p w14:paraId="4DE4FA85">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二、废水</w:t>
            </w:r>
          </w:p>
          <w:p w14:paraId="166450A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lang w:val="en-US" w:eastAsia="zh-CN"/>
              </w:rPr>
              <w:t>1.废水</w:t>
            </w:r>
            <w:r>
              <w:rPr>
                <w:rFonts w:hint="default" w:ascii="Times New Roman" w:hAnsi="Times New Roman" w:eastAsia="宋体" w:cs="Times New Roman"/>
                <w:b/>
                <w:bCs w:val="0"/>
                <w:color w:val="auto"/>
                <w:sz w:val="24"/>
              </w:rPr>
              <w:t>产</w:t>
            </w:r>
            <w:r>
              <w:rPr>
                <w:rFonts w:hint="default" w:ascii="Times New Roman" w:hAnsi="Times New Roman" w:eastAsia="宋体" w:cs="Times New Roman"/>
                <w:b/>
                <w:bCs w:val="0"/>
                <w:color w:val="auto"/>
                <w:sz w:val="24"/>
                <w:lang w:val="en-US" w:eastAsia="zh-CN"/>
              </w:rPr>
              <w:t>生</w:t>
            </w:r>
            <w:r>
              <w:rPr>
                <w:rFonts w:hint="default" w:ascii="Times New Roman" w:hAnsi="Times New Roman" w:eastAsia="宋体" w:cs="Times New Roman"/>
                <w:b/>
                <w:bCs w:val="0"/>
                <w:color w:val="auto"/>
                <w:sz w:val="24"/>
              </w:rPr>
              <w:t>情况</w:t>
            </w:r>
          </w:p>
          <w:p w14:paraId="31766A66">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w:t>
            </w:r>
            <w:r>
              <w:rPr>
                <w:rFonts w:hint="eastAsia" w:ascii="Times New Roman" w:hAnsi="Times New Roman" w:eastAsia="宋体" w:cs="Times New Roman"/>
                <w:color w:val="auto"/>
                <w:sz w:val="24"/>
                <w:szCs w:val="24"/>
                <w:lang w:val="en-US" w:eastAsia="zh-CN"/>
              </w:rPr>
              <w:t>污</w:t>
            </w:r>
            <w:r>
              <w:rPr>
                <w:rFonts w:hint="default" w:ascii="Times New Roman" w:hAnsi="Times New Roman" w:eastAsia="宋体" w:cs="Times New Roman"/>
                <w:color w:val="auto"/>
                <w:sz w:val="24"/>
                <w:szCs w:val="24"/>
              </w:rPr>
              <w:t>水</w:t>
            </w:r>
          </w:p>
          <w:p w14:paraId="0CCB9F14">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bCs/>
                <w:color w:val="auto"/>
                <w:szCs w:val="21"/>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lang w:val="en-US" w:eastAsia="zh-CN"/>
              </w:rPr>
              <w:t>劳动定员20</w:t>
            </w:r>
            <w:r>
              <w:rPr>
                <w:rFonts w:hint="default" w:ascii="Times New Roman" w:hAnsi="Times New Roman" w:eastAsia="宋体" w:cs="Times New Roman"/>
                <w:color w:val="auto"/>
                <w:sz w:val="24"/>
              </w:rPr>
              <w:t>人，年工作3</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0天，不设食堂、宿舍和浴室。人均生活用水定额按</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0L/（人·天）计，则生活用水量为</w:t>
            </w:r>
            <w:r>
              <w:rPr>
                <w:rFonts w:hint="default" w:ascii="Times New Roman" w:hAnsi="Times New Roman" w:eastAsia="宋体" w:cs="Times New Roman"/>
                <w:color w:val="auto"/>
                <w:sz w:val="24"/>
                <w:lang w:val="en-US" w:eastAsia="zh-CN"/>
              </w:rPr>
              <w:t>48</w:t>
            </w:r>
            <w:r>
              <w:rPr>
                <w:rFonts w:hint="default" w:ascii="Times New Roman" w:hAnsi="Times New Roman" w:eastAsia="宋体" w:cs="Times New Roman"/>
                <w:color w:val="auto"/>
                <w:sz w:val="24"/>
              </w:rPr>
              <w:t>0</w:t>
            </w:r>
            <w:r>
              <w:rPr>
                <w:rFonts w:hint="default" w:ascii="Times New Roman" w:hAnsi="Times New Roman" w:eastAsia="宋体" w:cs="Times New Roman"/>
                <w:b w:val="0"/>
                <w:bCs w:val="0"/>
                <w:color w:val="auto"/>
                <w:sz w:val="24"/>
              </w:rPr>
              <w:t>m</w:t>
            </w:r>
            <w:r>
              <w:rPr>
                <w:rFonts w:hint="default" w:ascii="Times New Roman" w:hAnsi="Times New Roman" w:eastAsia="宋体" w:cs="Times New Roman"/>
                <w:b w:val="0"/>
                <w:bCs w:val="0"/>
                <w:color w:val="auto"/>
                <w:sz w:val="24"/>
                <w:vertAlign w:val="superscript"/>
              </w:rPr>
              <w:t>3</w:t>
            </w:r>
            <w:r>
              <w:rPr>
                <w:rFonts w:hint="default" w:ascii="Times New Roman" w:hAnsi="Times New Roman" w:eastAsia="宋体" w:cs="Times New Roman"/>
                <w:b w:val="0"/>
                <w:bCs w:val="0"/>
                <w:color w:val="auto"/>
                <w:sz w:val="24"/>
              </w:rPr>
              <w:t>/a</w:t>
            </w:r>
            <w:r>
              <w:rPr>
                <w:rFonts w:hint="default" w:ascii="Times New Roman" w:hAnsi="Times New Roman" w:eastAsia="宋体" w:cs="Times New Roman"/>
                <w:color w:val="auto"/>
                <w:sz w:val="24"/>
              </w:rPr>
              <w:t>，排污系数为0.8，则生活污水排放量为</w:t>
            </w:r>
            <w:r>
              <w:rPr>
                <w:rFonts w:hint="default" w:ascii="Times New Roman" w:hAnsi="Times New Roman" w:eastAsia="宋体" w:cs="Times New Roman"/>
                <w:color w:val="auto"/>
                <w:sz w:val="24"/>
                <w:lang w:val="en-US" w:eastAsia="zh-CN"/>
              </w:rPr>
              <w:t>384</w:t>
            </w:r>
            <w:r>
              <w:rPr>
                <w:rFonts w:hint="default" w:ascii="Times New Roman" w:hAnsi="Times New Roman" w:eastAsia="宋体" w:cs="Times New Roman"/>
                <w:b w:val="0"/>
                <w:bCs w:val="0"/>
                <w:color w:val="auto"/>
                <w:sz w:val="24"/>
              </w:rPr>
              <w:t>m</w:t>
            </w:r>
            <w:r>
              <w:rPr>
                <w:rFonts w:hint="default" w:ascii="Times New Roman" w:hAnsi="Times New Roman" w:eastAsia="宋体" w:cs="Times New Roman"/>
                <w:b w:val="0"/>
                <w:bCs w:val="0"/>
                <w:color w:val="auto"/>
                <w:sz w:val="24"/>
                <w:vertAlign w:val="superscript"/>
              </w:rPr>
              <w:t>3</w:t>
            </w:r>
            <w:r>
              <w:rPr>
                <w:rFonts w:hint="default" w:ascii="Times New Roman" w:hAnsi="Times New Roman" w:eastAsia="宋体" w:cs="Times New Roman"/>
                <w:b w:val="0"/>
                <w:bCs w:val="0"/>
                <w:color w:val="auto"/>
                <w:sz w:val="24"/>
              </w:rPr>
              <w:t>/a</w:t>
            </w:r>
            <w:r>
              <w:rPr>
                <w:rFonts w:hint="default" w:ascii="Times New Roman" w:hAnsi="Times New Roman" w:eastAsia="宋体" w:cs="Times New Roman"/>
                <w:color w:val="auto"/>
                <w:sz w:val="24"/>
              </w:rPr>
              <w:t>，主要污染物为：COD、SS、氨氮、TN、TP产生浓度分别为400mg/L、2</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0mg/L、30mg/L、</w:t>
            </w:r>
            <w:r>
              <w:rPr>
                <w:rFonts w:hint="default" w:ascii="Times New Roman" w:hAnsi="Times New Roman" w:eastAsia="宋体" w:cs="Times New Roman"/>
                <w:color w:val="auto"/>
                <w:sz w:val="24"/>
                <w:lang w:val="en-US" w:eastAsia="zh-CN"/>
              </w:rPr>
              <w:t>40</w:t>
            </w:r>
            <w:r>
              <w:rPr>
                <w:rFonts w:hint="default" w:ascii="Times New Roman" w:hAnsi="Times New Roman" w:eastAsia="宋体" w:cs="Times New Roman"/>
                <w:color w:val="auto"/>
                <w:sz w:val="24"/>
              </w:rPr>
              <w:t>mg/L、</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mg/L。</w:t>
            </w:r>
          </w:p>
          <w:p w14:paraId="108A4401">
            <w:pPr>
              <w:pStyle w:val="14"/>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生产</w:t>
            </w:r>
            <w:r>
              <w:rPr>
                <w:rFonts w:hint="eastAsia" w:ascii="Times New Roman" w:hAnsi="Times New Roman" w:eastAsia="宋体" w:cs="Times New Roman"/>
                <w:color w:val="auto"/>
                <w:sz w:val="24"/>
                <w:szCs w:val="24"/>
                <w:lang w:val="en-US" w:eastAsia="zh-CN"/>
              </w:rPr>
              <w:t>废</w:t>
            </w:r>
            <w:r>
              <w:rPr>
                <w:rFonts w:hint="default" w:ascii="Times New Roman" w:hAnsi="Times New Roman" w:eastAsia="宋体" w:cs="Times New Roman"/>
                <w:color w:val="auto"/>
                <w:sz w:val="24"/>
                <w:szCs w:val="24"/>
              </w:rPr>
              <w:t>水</w:t>
            </w:r>
          </w:p>
          <w:p w14:paraId="66E8327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①生产设备循环冷却水：本项目设备循环冷却水循环使用，不定期添加，不外排。</w:t>
            </w:r>
          </w:p>
          <w:p w14:paraId="78233E33">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②清洗废水、喷淋塔废水：清洗废水、喷淋塔废水产生量为236</w:t>
            </w:r>
            <w:r>
              <w:rPr>
                <w:rFonts w:hint="default" w:ascii="Times New Roman" w:hAnsi="Times New Roman" w:eastAsia="宋体" w:cs="Times New Roman"/>
                <w:b w:val="0"/>
                <w:bCs w:val="0"/>
                <w:color w:val="auto"/>
                <w:sz w:val="24"/>
              </w:rPr>
              <w:t>m</w:t>
            </w:r>
            <w:r>
              <w:rPr>
                <w:rFonts w:hint="default" w:ascii="Times New Roman" w:hAnsi="Times New Roman" w:eastAsia="宋体" w:cs="Times New Roman"/>
                <w:b w:val="0"/>
                <w:bCs w:val="0"/>
                <w:color w:val="auto"/>
                <w:sz w:val="24"/>
                <w:vertAlign w:val="superscript"/>
              </w:rPr>
              <w:t>3</w:t>
            </w:r>
            <w:r>
              <w:rPr>
                <w:rFonts w:hint="default" w:ascii="Times New Roman" w:hAnsi="Times New Roman" w:eastAsia="宋体" w:cs="Times New Roman"/>
                <w:b w:val="0"/>
                <w:bCs w:val="0"/>
                <w:color w:val="auto"/>
                <w:sz w:val="24"/>
              </w:rPr>
              <w:t>/a</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rPr>
              <w:t>主要污染物为：COD、SS</w:t>
            </w:r>
            <w:r>
              <w:rPr>
                <w:rFonts w:hint="eastAsia" w:ascii="Times New Roman" w:hAnsi="Times New Roman" w:eastAsia="宋体" w:cs="Times New Roman"/>
                <w:color w:val="auto"/>
                <w:sz w:val="24"/>
                <w:lang w:val="en-US" w:eastAsia="zh-CN"/>
              </w:rPr>
              <w:t>和盐类（溶解性总固体），</w:t>
            </w:r>
            <w:r>
              <w:rPr>
                <w:rFonts w:hint="default" w:ascii="Times New Roman" w:hAnsi="Times New Roman" w:eastAsia="宋体" w:cs="Times New Roman"/>
                <w:color w:val="auto"/>
                <w:sz w:val="24"/>
              </w:rPr>
              <w:t>产生浓度分别为</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00mg/L、2</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0mg/L</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5000mg/L</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经企业自建的污水处理站（工艺流程：原水收集-脱氨反应池-沉淀池-袋式过滤器-低温蒸发器-回用水箱，处理能力：2t/d）处理后，回用于生产，不外排。</w:t>
            </w:r>
          </w:p>
          <w:p w14:paraId="1A833D5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w:t>
            </w:r>
            <w:r>
              <w:rPr>
                <w:rFonts w:hint="default" w:ascii="Times New Roman" w:hAnsi="Times New Roman" w:eastAsia="宋体" w:cs="Times New Roman"/>
                <w:b/>
                <w:bCs/>
                <w:color w:val="auto"/>
                <w:sz w:val="24"/>
              </w:rPr>
              <w:t>污染防治措施</w:t>
            </w:r>
          </w:p>
          <w:p w14:paraId="2C8C9C8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厂区实现雨污分流。本项目生活污水</w:t>
            </w:r>
            <w:r>
              <w:rPr>
                <w:rFonts w:hint="default" w:ascii="Times New Roman" w:hAnsi="Times New Roman" w:eastAsia="宋体" w:cs="Times New Roman"/>
                <w:bCs/>
                <w:color w:val="auto"/>
                <w:sz w:val="24"/>
                <w:lang w:val="en-US" w:eastAsia="zh-CN"/>
              </w:rPr>
              <w:t>经市政污水管网接至</w:t>
            </w:r>
            <w:r>
              <w:rPr>
                <w:rFonts w:hint="default" w:ascii="Times New Roman" w:hAnsi="Times New Roman" w:eastAsia="宋体" w:cs="Times New Roman"/>
                <w:color w:val="auto"/>
                <w:kern w:val="0"/>
                <w:sz w:val="24"/>
                <w:lang w:eastAsia="zh-CN"/>
              </w:rPr>
              <w:t>金坛第二污水处理厂</w:t>
            </w:r>
            <w:r>
              <w:rPr>
                <w:rFonts w:hint="default" w:ascii="Times New Roman" w:hAnsi="Times New Roman" w:eastAsia="宋体" w:cs="Times New Roman"/>
                <w:color w:val="auto"/>
                <w:sz w:val="24"/>
              </w:rPr>
              <w:t>集中处理。</w:t>
            </w:r>
            <w:r>
              <w:rPr>
                <w:rFonts w:hint="eastAsia" w:ascii="Times New Roman" w:hAnsi="Times New Roman" w:eastAsia="宋体" w:cs="Times New Roman"/>
                <w:color w:val="auto"/>
                <w:sz w:val="24"/>
                <w:lang w:val="en-US" w:eastAsia="zh-CN"/>
              </w:rPr>
              <w:t>清洗废水经厂内自建污水处理站处理后回用于生产，不外排，污水处理站具体工艺如下：</w:t>
            </w:r>
          </w:p>
          <w:p w14:paraId="568F3EE1">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drawing>
                <wp:inline distT="0" distB="0" distL="114300" distR="114300">
                  <wp:extent cx="4859655" cy="3036570"/>
                  <wp:effectExtent l="0" t="0" r="1905" b="11430"/>
                  <wp:docPr id="5" name="图片 5" descr="5247dc4d917fbc66ce18038551f1c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247dc4d917fbc66ce18038551f1c52"/>
                          <pic:cNvPicPr>
                            <a:picLocks noChangeAspect="1"/>
                          </pic:cNvPicPr>
                        </pic:nvPicPr>
                        <pic:blipFill>
                          <a:blip r:embed="rId25"/>
                          <a:srcRect b="33385"/>
                          <a:stretch>
                            <a:fillRect/>
                          </a:stretch>
                        </pic:blipFill>
                        <pic:spPr>
                          <a:xfrm>
                            <a:off x="0" y="0"/>
                            <a:ext cx="4859655" cy="3036570"/>
                          </a:xfrm>
                          <a:prstGeom prst="rect">
                            <a:avLst/>
                          </a:prstGeom>
                        </pic:spPr>
                      </pic:pic>
                    </a:graphicData>
                  </a:graphic>
                </wp:inline>
              </w:drawing>
            </w:r>
          </w:p>
          <w:p w14:paraId="6910A003">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rPr>
                <w:rFonts w:hint="default" w:ascii="Times New Roman" w:hAnsi="Times New Roman" w:eastAsia="宋体" w:cs="Times New Roman"/>
                <w:b/>
                <w:bCs/>
                <w:color w:val="auto"/>
                <w:sz w:val="24"/>
                <w:lang w:val="en-US" w:eastAsia="zh-CN"/>
              </w:rPr>
            </w:pPr>
            <w:r>
              <w:rPr>
                <w:rFonts w:hint="eastAsia" w:ascii="Times New Roman" w:hAnsi="Times New Roman" w:eastAsia="宋体" w:cs="Times New Roman"/>
                <w:b/>
                <w:bCs/>
                <w:color w:val="auto"/>
                <w:sz w:val="24"/>
                <w:lang w:val="en-US" w:eastAsia="zh-CN"/>
              </w:rPr>
              <w:t>图4-2  污水处理站处理工艺流程</w:t>
            </w:r>
          </w:p>
          <w:p w14:paraId="7405920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工艺流程说明：项目污水处理工艺中无生化处理工序，主要处理工艺为</w:t>
            </w:r>
            <w:r>
              <w:rPr>
                <w:rFonts w:hint="eastAsia" w:ascii="Times New Roman" w:hAnsi="Times New Roman" w:eastAsia="宋体" w:cs="Times New Roman"/>
                <w:b w:val="0"/>
                <w:bCs w:val="0"/>
                <w:color w:val="auto"/>
                <w:sz w:val="24"/>
                <w:lang w:val="en-US" w:eastAsia="zh-CN"/>
              </w:rPr>
              <w:t>脱氨+</w:t>
            </w:r>
            <w:r>
              <w:rPr>
                <w:rFonts w:hint="default" w:ascii="Times New Roman" w:hAnsi="Times New Roman" w:eastAsia="宋体" w:cs="Times New Roman"/>
                <w:b w:val="0"/>
                <w:bCs w:val="0"/>
                <w:color w:val="auto"/>
                <w:sz w:val="24"/>
                <w:lang w:val="en-US" w:eastAsia="zh-CN"/>
              </w:rPr>
              <w:t>沉淀+</w:t>
            </w:r>
            <w:r>
              <w:rPr>
                <w:rFonts w:hint="eastAsia" w:ascii="Times New Roman" w:hAnsi="Times New Roman" w:eastAsia="宋体" w:cs="Times New Roman"/>
                <w:b w:val="0"/>
                <w:bCs w:val="0"/>
                <w:color w:val="auto"/>
                <w:sz w:val="24"/>
                <w:lang w:val="en-US" w:eastAsia="zh-CN"/>
              </w:rPr>
              <w:t>过滤+蒸发</w:t>
            </w:r>
            <w:r>
              <w:rPr>
                <w:rFonts w:hint="default" w:ascii="Times New Roman" w:hAnsi="Times New Roman" w:eastAsia="宋体" w:cs="Times New Roman"/>
                <w:b w:val="0"/>
                <w:bCs w:val="0"/>
                <w:color w:val="auto"/>
                <w:sz w:val="24"/>
                <w:lang w:val="en-US" w:eastAsia="zh-CN"/>
              </w:rPr>
              <w:t>，基本无臭气产生。项目工艺废水较为简单，主要为COD、SS和溶解性总固体，废水经</w:t>
            </w:r>
            <w:r>
              <w:rPr>
                <w:rFonts w:hint="eastAsia" w:ascii="Times New Roman" w:hAnsi="Times New Roman" w:eastAsia="宋体" w:cs="Times New Roman"/>
                <w:b w:val="0"/>
                <w:bCs w:val="0"/>
                <w:color w:val="auto"/>
                <w:sz w:val="24"/>
                <w:lang w:val="en-US" w:eastAsia="zh-CN"/>
              </w:rPr>
              <w:t>脱氨+</w:t>
            </w:r>
            <w:r>
              <w:rPr>
                <w:rFonts w:hint="default" w:ascii="Times New Roman" w:hAnsi="Times New Roman" w:eastAsia="宋体" w:cs="Times New Roman"/>
                <w:b w:val="0"/>
                <w:bCs w:val="0"/>
                <w:color w:val="auto"/>
                <w:sz w:val="24"/>
                <w:lang w:val="en-US" w:eastAsia="zh-CN"/>
              </w:rPr>
              <w:t>沉淀+</w:t>
            </w:r>
            <w:r>
              <w:rPr>
                <w:rFonts w:hint="eastAsia" w:ascii="Times New Roman" w:hAnsi="Times New Roman" w:eastAsia="宋体" w:cs="Times New Roman"/>
                <w:b w:val="0"/>
                <w:bCs w:val="0"/>
                <w:color w:val="auto"/>
                <w:sz w:val="24"/>
                <w:lang w:val="en-US" w:eastAsia="zh-CN"/>
              </w:rPr>
              <w:t>过滤+蒸发</w:t>
            </w:r>
            <w:r>
              <w:rPr>
                <w:rFonts w:hint="default" w:ascii="Times New Roman" w:hAnsi="Times New Roman" w:eastAsia="宋体" w:cs="Times New Roman"/>
                <w:b w:val="0"/>
                <w:bCs w:val="0"/>
                <w:color w:val="auto"/>
                <w:sz w:val="24"/>
                <w:lang w:val="en-US" w:eastAsia="zh-CN"/>
              </w:rPr>
              <w:t>处理后，出水清澈透明，回用于生产</w:t>
            </w:r>
            <w:r>
              <w:rPr>
                <w:rFonts w:hint="eastAsia" w:ascii="Times New Roman" w:hAnsi="Times New Roman" w:eastAsia="宋体" w:cs="Times New Roman"/>
                <w:b w:val="0"/>
                <w:bCs w:val="0"/>
                <w:color w:val="auto"/>
                <w:sz w:val="24"/>
                <w:lang w:val="en-US" w:eastAsia="zh-CN"/>
              </w:rPr>
              <w:t>（喷淋塔用水和清洗用水）</w:t>
            </w:r>
            <w:r>
              <w:rPr>
                <w:rFonts w:hint="default" w:ascii="Times New Roman" w:hAnsi="Times New Roman" w:eastAsia="宋体" w:cs="Times New Roman"/>
                <w:b w:val="0"/>
                <w:bCs w:val="0"/>
                <w:color w:val="auto"/>
                <w:sz w:val="24"/>
                <w:lang w:val="en-US" w:eastAsia="zh-CN"/>
              </w:rPr>
              <w:t>。</w:t>
            </w:r>
          </w:p>
          <w:p w14:paraId="0A6CB40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val="0"/>
                <w:color w:val="auto"/>
                <w:sz w:val="24"/>
                <w:lang w:val="en-US" w:eastAsia="zh-CN"/>
              </w:rPr>
            </w:pPr>
            <w:r>
              <w:rPr>
                <w:rFonts w:hint="default" w:ascii="Times New Roman" w:hAnsi="Times New Roman" w:eastAsia="宋体" w:cs="Times New Roman"/>
                <w:b w:val="0"/>
                <w:bCs w:val="0"/>
                <w:color w:val="auto"/>
                <w:sz w:val="24"/>
                <w:lang w:val="en-US" w:eastAsia="zh-CN"/>
              </w:rPr>
              <w:t>本项目污水量</w:t>
            </w:r>
            <w:r>
              <w:rPr>
                <w:rFonts w:hint="eastAsia" w:ascii="Times New Roman" w:hAnsi="Times New Roman" w:eastAsia="宋体" w:cs="Times New Roman"/>
                <w:b w:val="0"/>
                <w:bCs w:val="0"/>
                <w:color w:val="auto"/>
                <w:sz w:val="24"/>
                <w:lang w:val="en-US" w:eastAsia="zh-CN"/>
              </w:rPr>
              <w:t>236</w:t>
            </w:r>
            <w:r>
              <w:rPr>
                <w:rFonts w:hint="default" w:ascii="Times New Roman" w:hAnsi="Times New Roman" w:eastAsia="宋体" w:cs="Times New Roman"/>
                <w:b w:val="0"/>
                <w:bCs w:val="0"/>
                <w:color w:val="auto"/>
                <w:sz w:val="24"/>
                <w:lang w:val="en-US" w:eastAsia="zh-CN"/>
              </w:rPr>
              <w:t>m</w:t>
            </w:r>
            <w:r>
              <w:rPr>
                <w:rFonts w:hint="default"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/a，预计每天处理量为</w:t>
            </w:r>
            <w:r>
              <w:rPr>
                <w:rFonts w:hint="eastAsia" w:ascii="Times New Roman" w:hAnsi="Times New Roman" w:eastAsia="宋体" w:cs="Times New Roman"/>
                <w:b w:val="0"/>
                <w:bCs w:val="0"/>
                <w:color w:val="auto"/>
                <w:sz w:val="24"/>
                <w:lang w:val="en-US" w:eastAsia="zh-CN"/>
              </w:rPr>
              <w:t>0.79</w:t>
            </w:r>
            <w:r>
              <w:rPr>
                <w:rFonts w:hint="default" w:ascii="Times New Roman" w:hAnsi="Times New Roman" w:eastAsia="宋体" w:cs="Times New Roman"/>
                <w:b w:val="0"/>
                <w:bCs w:val="0"/>
                <w:color w:val="auto"/>
                <w:sz w:val="24"/>
                <w:lang w:val="en-US" w:eastAsia="zh-CN"/>
              </w:rPr>
              <w:t>m</w:t>
            </w:r>
            <w:r>
              <w:rPr>
                <w:rFonts w:hint="default"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，污水站涉及处理规模为2m</w:t>
            </w:r>
            <w:r>
              <w:rPr>
                <w:rFonts w:hint="default" w:ascii="Times New Roman" w:hAnsi="Times New Roman" w:eastAsia="宋体" w:cs="Times New Roman"/>
                <w:b w:val="0"/>
                <w:bCs w:val="0"/>
                <w:color w:val="auto"/>
                <w:sz w:val="24"/>
                <w:vertAlign w:val="superscript"/>
                <w:lang w:val="en-US" w:eastAsia="zh-CN"/>
              </w:rPr>
              <w:t>3</w:t>
            </w:r>
            <w:r>
              <w:rPr>
                <w:rFonts w:hint="default" w:ascii="Times New Roman" w:hAnsi="Times New Roman" w:eastAsia="宋体" w:cs="Times New Roman"/>
                <w:b w:val="0"/>
                <w:bCs w:val="0"/>
                <w:color w:val="auto"/>
                <w:sz w:val="24"/>
                <w:lang w:val="en-US" w:eastAsia="zh-CN"/>
              </w:rPr>
              <w:t>/d，在污水站处理能力范围内。</w:t>
            </w:r>
          </w:p>
          <w:p w14:paraId="2168EA5B">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4"/>
                <w14:textOutline w14:w="4358" w14:cap="sq" w14:cmpd="sng">
                  <w14:solidFill>
                    <w14:srgbClr w14:val="000000"/>
                  </w14:solidFill>
                  <w14:prstDash w14:val="solid"/>
                  <w14:bevel/>
                </w14:textOutline>
              </w:rPr>
            </w:pPr>
            <w:r>
              <w:rPr>
                <w:rFonts w:hint="default" w:ascii="Times New Roman" w:hAnsi="Times New Roman" w:eastAsia="宋体" w:cs="Times New Roman"/>
                <w:color w:val="auto"/>
                <w:spacing w:val="-4"/>
                <w14:textOutline w14:w="4358" w14:cap="sq" w14:cmpd="sng">
                  <w14:solidFill>
                    <w14:srgbClr w14:val="000000"/>
                  </w14:solidFill>
                  <w14:prstDash w14:val="solid"/>
                  <w14:bevel/>
                </w14:textOutline>
              </w:rPr>
              <w:t>表4-</w:t>
            </w:r>
            <w:r>
              <w:rPr>
                <w:rFonts w:hint="eastAsia" w:ascii="Times New Roman" w:hAnsi="Times New Roman" w:cs="Times New Roman"/>
                <w:color w:val="auto"/>
                <w:spacing w:val="-4"/>
                <w:lang w:val="en-US" w:eastAsia="zh-CN"/>
                <w14:textOutline w14:w="4358" w14:cap="sq" w14:cmpd="sng">
                  <w14:solidFill>
                    <w14:srgbClr w14:val="000000"/>
                  </w14:solidFill>
                  <w14:prstDash w14:val="solid"/>
                  <w14:bevel/>
                </w14:textOutline>
              </w:rPr>
              <w:t>11</w:t>
            </w:r>
            <w:r>
              <w:rPr>
                <w:rFonts w:hint="default" w:ascii="Times New Roman" w:hAnsi="Times New Roman" w:eastAsia="宋体" w:cs="Times New Roman"/>
                <w:b/>
                <w:bCs/>
                <w:color w:val="auto"/>
                <w:spacing w:val="8"/>
              </w:rPr>
              <w:t xml:space="preserve">  </w:t>
            </w:r>
            <w:r>
              <w:rPr>
                <w:rFonts w:hint="default" w:ascii="Times New Roman" w:hAnsi="Times New Roman" w:eastAsia="宋体" w:cs="Times New Roman"/>
                <w:color w:val="auto"/>
                <w:spacing w:val="-4"/>
                <w14:textOutline w14:w="4358" w14:cap="sq" w14:cmpd="sng">
                  <w14:solidFill>
                    <w14:srgbClr w14:val="000000"/>
                  </w14:solidFill>
                  <w14:prstDash w14:val="solid"/>
                  <w14:bevel/>
                </w14:textOutline>
              </w:rPr>
              <w:t>本项目设计进出水浓度及处理效率一览表（mg/L)</w:t>
            </w:r>
          </w:p>
          <w:tbl>
            <w:tblPr>
              <w:tblStyle w:val="75"/>
              <w:tblW w:w="4998" w:type="pct"/>
              <w:tblInd w:w="2"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4237"/>
              <w:gridCol w:w="1275"/>
              <w:gridCol w:w="1275"/>
              <w:gridCol w:w="1524"/>
            </w:tblGrid>
            <w:tr w14:paraId="2359D1A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2548" w:type="pct"/>
                  <w:tcBorders>
                    <w:tl2br w:val="nil"/>
                    <w:tr2bl w:val="nil"/>
                  </w:tcBorders>
                  <w:vAlign w:val="top"/>
                </w:tcPr>
                <w:p w14:paraId="17A4A69B">
                  <w:pPr>
                    <w:pStyle w:val="74"/>
                    <w:spacing w:before="64" w:line="228" w:lineRule="auto"/>
                    <w:ind w:left="170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废水种类</w:t>
                  </w:r>
                </w:p>
              </w:tc>
              <w:tc>
                <w:tcPr>
                  <w:tcW w:w="767" w:type="pct"/>
                  <w:tcBorders>
                    <w:tl2br w:val="nil"/>
                    <w:tr2bl w:val="nil"/>
                  </w:tcBorders>
                  <w:vAlign w:val="top"/>
                </w:tcPr>
                <w:p w14:paraId="464F014C">
                  <w:pPr>
                    <w:pStyle w:val="74"/>
                    <w:spacing w:before="97" w:line="189" w:lineRule="auto"/>
                    <w:ind w:left="484"/>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14:textOutline w14:w="3795" w14:cap="sq" w14:cmpd="sng">
                        <w14:solidFill>
                          <w14:srgbClr w14:val="000000"/>
                        </w14:solidFill>
                        <w14:prstDash w14:val="solid"/>
                        <w14:bevel/>
                      </w14:textOutline>
                    </w:rPr>
                    <w:t>COD</w:t>
                  </w:r>
                </w:p>
              </w:tc>
              <w:tc>
                <w:tcPr>
                  <w:tcW w:w="767" w:type="pct"/>
                  <w:tcBorders>
                    <w:tl2br w:val="nil"/>
                    <w:tr2bl w:val="nil"/>
                  </w:tcBorders>
                  <w:vAlign w:val="top"/>
                </w:tcPr>
                <w:p w14:paraId="5B1CA309">
                  <w:pPr>
                    <w:pStyle w:val="74"/>
                    <w:spacing w:before="97" w:line="189" w:lineRule="auto"/>
                    <w:ind w:left="54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14:textOutline w14:w="3795" w14:cap="sq" w14:cmpd="sng">
                        <w14:solidFill>
                          <w14:srgbClr w14:val="000000"/>
                        </w14:solidFill>
                        <w14:prstDash w14:val="solid"/>
                        <w14:bevel/>
                      </w14:textOutline>
                    </w:rPr>
                    <w:t>SS</w:t>
                  </w:r>
                </w:p>
              </w:tc>
              <w:tc>
                <w:tcPr>
                  <w:tcW w:w="916" w:type="pct"/>
                  <w:tcBorders>
                    <w:tl2br w:val="nil"/>
                    <w:tr2bl w:val="nil"/>
                  </w:tcBorders>
                  <w:vAlign w:val="top"/>
                </w:tcPr>
                <w:p w14:paraId="239DF1D4">
                  <w:pPr>
                    <w:pStyle w:val="74"/>
                    <w:spacing w:before="64" w:line="228" w:lineRule="auto"/>
                    <w:ind w:left="14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总溶解性固体</w:t>
                  </w:r>
                </w:p>
              </w:tc>
            </w:tr>
            <w:tr w14:paraId="1F508A3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548" w:type="pct"/>
                  <w:tcBorders>
                    <w:tl2br w:val="nil"/>
                    <w:tr2bl w:val="nil"/>
                  </w:tcBorders>
                  <w:vAlign w:val="top"/>
                </w:tcPr>
                <w:p w14:paraId="25F489C4">
                  <w:pPr>
                    <w:pStyle w:val="74"/>
                    <w:spacing w:before="66" w:line="222"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lang w:val="en-US" w:eastAsia="zh-CN"/>
                    </w:rPr>
                    <w:t>清洗</w:t>
                  </w:r>
                  <w:r>
                    <w:rPr>
                      <w:rFonts w:hint="default" w:ascii="Times New Roman" w:hAnsi="Times New Roman" w:eastAsia="宋体" w:cs="Times New Roman"/>
                      <w:color w:val="auto"/>
                      <w:spacing w:val="7"/>
                      <w:sz w:val="21"/>
                      <w:szCs w:val="21"/>
                    </w:rPr>
                    <w:t>废水</w:t>
                  </w:r>
                  <w:r>
                    <w:rPr>
                      <w:rFonts w:hint="eastAsia" w:ascii="Times New Roman" w:hAnsi="Times New Roman" w:cs="Times New Roman"/>
                      <w:color w:val="auto"/>
                      <w:spacing w:val="7"/>
                      <w:sz w:val="21"/>
                      <w:szCs w:val="21"/>
                      <w:lang w:eastAsia="zh-CN"/>
                    </w:rPr>
                    <w:t>、</w:t>
                  </w:r>
                  <w:r>
                    <w:rPr>
                      <w:rFonts w:hint="eastAsia" w:ascii="Times New Roman" w:hAnsi="Times New Roman" w:cs="Times New Roman"/>
                      <w:color w:val="auto"/>
                      <w:spacing w:val="7"/>
                      <w:sz w:val="21"/>
                      <w:szCs w:val="21"/>
                      <w:lang w:val="en-US" w:eastAsia="zh-CN"/>
                    </w:rPr>
                    <w:t>喷淋塔废水</w:t>
                  </w:r>
                  <w:r>
                    <w:rPr>
                      <w:rFonts w:hint="default" w:ascii="Times New Roman" w:hAnsi="Times New Roman" w:eastAsia="宋体" w:cs="Times New Roman"/>
                      <w:color w:val="auto"/>
                      <w:spacing w:val="7"/>
                      <w:sz w:val="21"/>
                      <w:szCs w:val="21"/>
                    </w:rPr>
                    <w:t>浓度（</w:t>
                  </w: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pacing w:val="7"/>
                      <w:sz w:val="21"/>
                      <w:szCs w:val="21"/>
                    </w:rPr>
                    <w:t>/L）</w:t>
                  </w:r>
                </w:p>
              </w:tc>
              <w:tc>
                <w:tcPr>
                  <w:tcW w:w="767" w:type="pct"/>
                  <w:tcBorders>
                    <w:tl2br w:val="nil"/>
                    <w:tr2bl w:val="nil"/>
                  </w:tcBorders>
                  <w:vAlign w:val="top"/>
                </w:tcPr>
                <w:p w14:paraId="693119F8">
                  <w:pPr>
                    <w:pStyle w:val="74"/>
                    <w:spacing w:before="98" w:line="190" w:lineRule="auto"/>
                    <w:ind w:left="501"/>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3"/>
                      <w:sz w:val="21"/>
                      <w:szCs w:val="21"/>
                    </w:rPr>
                    <w:t>100</w:t>
                  </w:r>
                </w:p>
              </w:tc>
              <w:tc>
                <w:tcPr>
                  <w:tcW w:w="767" w:type="pct"/>
                  <w:tcBorders>
                    <w:tl2br w:val="nil"/>
                    <w:tr2bl w:val="nil"/>
                  </w:tcBorders>
                  <w:vAlign w:val="top"/>
                </w:tcPr>
                <w:p w14:paraId="61E2D12B">
                  <w:pPr>
                    <w:pStyle w:val="74"/>
                    <w:spacing w:before="98" w:line="190" w:lineRule="auto"/>
                    <w:ind w:left="44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1"/>
                      <w:sz w:val="21"/>
                      <w:szCs w:val="21"/>
                      <w:lang w:val="en-US" w:eastAsia="zh-CN"/>
                    </w:rPr>
                    <w:t>200</w:t>
                  </w:r>
                </w:p>
              </w:tc>
              <w:tc>
                <w:tcPr>
                  <w:tcW w:w="916" w:type="pct"/>
                  <w:tcBorders>
                    <w:tl2br w:val="nil"/>
                    <w:tr2bl w:val="nil"/>
                  </w:tcBorders>
                  <w:vAlign w:val="top"/>
                </w:tcPr>
                <w:p w14:paraId="15F8BDFE">
                  <w:pPr>
                    <w:pStyle w:val="74"/>
                    <w:spacing w:before="99" w:line="189" w:lineRule="auto"/>
                    <w:ind w:left="56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lang w:val="en-US" w:eastAsia="zh-CN"/>
                    </w:rPr>
                    <w:t>5000</w:t>
                  </w:r>
                </w:p>
              </w:tc>
            </w:tr>
            <w:tr w14:paraId="7E00DB25">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548" w:type="pct"/>
                  <w:tcBorders>
                    <w:tl2br w:val="nil"/>
                    <w:tr2bl w:val="nil"/>
                  </w:tcBorders>
                  <w:vAlign w:val="top"/>
                </w:tcPr>
                <w:p w14:paraId="57B91CA3">
                  <w:pPr>
                    <w:pStyle w:val="74"/>
                    <w:spacing w:before="68" w:line="227" w:lineRule="auto"/>
                    <w:ind w:left="59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lang w:val="en-US" w:eastAsia="zh-CN"/>
                    </w:rPr>
                    <w:t>脱氨+沉淀+过滤+蒸发</w:t>
                  </w:r>
                  <w:r>
                    <w:rPr>
                      <w:rFonts w:hint="default" w:ascii="Times New Roman" w:hAnsi="Times New Roman" w:eastAsia="宋体" w:cs="Times New Roman"/>
                      <w:color w:val="auto"/>
                      <w:spacing w:val="7"/>
                      <w:sz w:val="21"/>
                      <w:szCs w:val="21"/>
                    </w:rPr>
                    <w:t>去除率（%）</w:t>
                  </w:r>
                </w:p>
              </w:tc>
              <w:tc>
                <w:tcPr>
                  <w:tcW w:w="767" w:type="pct"/>
                  <w:tcBorders>
                    <w:tl2br w:val="nil"/>
                    <w:tr2bl w:val="nil"/>
                  </w:tcBorders>
                  <w:vAlign w:val="top"/>
                </w:tcPr>
                <w:p w14:paraId="6EC75E49">
                  <w:pPr>
                    <w:pStyle w:val="74"/>
                    <w:spacing w:before="68" w:line="266" w:lineRule="exact"/>
                    <w:ind w:left="4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position w:val="1"/>
                      <w:sz w:val="21"/>
                      <w:szCs w:val="21"/>
                    </w:rPr>
                    <w:t>60%</w:t>
                  </w:r>
                </w:p>
              </w:tc>
              <w:tc>
                <w:tcPr>
                  <w:tcW w:w="767" w:type="pct"/>
                  <w:tcBorders>
                    <w:tl2br w:val="nil"/>
                    <w:tr2bl w:val="nil"/>
                  </w:tcBorders>
                  <w:vAlign w:val="top"/>
                </w:tcPr>
                <w:p w14:paraId="622DC6B1">
                  <w:pPr>
                    <w:pStyle w:val="74"/>
                    <w:spacing w:before="68" w:line="266" w:lineRule="exact"/>
                    <w:ind w:left="48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1"/>
                      <w:sz w:val="21"/>
                      <w:szCs w:val="21"/>
                    </w:rPr>
                    <w:t>9</w:t>
                  </w:r>
                  <w:r>
                    <w:rPr>
                      <w:rFonts w:hint="default" w:ascii="Times New Roman" w:hAnsi="Times New Roman" w:eastAsia="宋体" w:cs="Times New Roman"/>
                      <w:color w:val="auto"/>
                      <w:spacing w:val="2"/>
                      <w:position w:val="1"/>
                      <w:sz w:val="21"/>
                      <w:szCs w:val="21"/>
                      <w:lang w:val="en-US" w:eastAsia="zh-CN"/>
                    </w:rPr>
                    <w:t>0</w:t>
                  </w:r>
                  <w:r>
                    <w:rPr>
                      <w:rFonts w:hint="default" w:ascii="Times New Roman" w:hAnsi="Times New Roman" w:eastAsia="宋体" w:cs="Times New Roman"/>
                      <w:color w:val="auto"/>
                      <w:spacing w:val="2"/>
                      <w:position w:val="1"/>
                      <w:sz w:val="21"/>
                      <w:szCs w:val="21"/>
                    </w:rPr>
                    <w:t>%</w:t>
                  </w:r>
                </w:p>
              </w:tc>
              <w:tc>
                <w:tcPr>
                  <w:tcW w:w="916" w:type="pct"/>
                  <w:tcBorders>
                    <w:tl2br w:val="nil"/>
                    <w:tr2bl w:val="nil"/>
                  </w:tcBorders>
                  <w:vAlign w:val="top"/>
                </w:tcPr>
                <w:p w14:paraId="75B11F91">
                  <w:pPr>
                    <w:pStyle w:val="74"/>
                    <w:spacing w:before="68" w:line="266" w:lineRule="exact"/>
                    <w:ind w:left="61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1"/>
                      <w:sz w:val="21"/>
                      <w:szCs w:val="21"/>
                    </w:rPr>
                    <w:t>9</w:t>
                  </w:r>
                  <w:r>
                    <w:rPr>
                      <w:rFonts w:hint="eastAsia" w:ascii="Times New Roman" w:hAnsi="Times New Roman" w:cs="Times New Roman"/>
                      <w:color w:val="auto"/>
                      <w:spacing w:val="2"/>
                      <w:position w:val="1"/>
                      <w:sz w:val="21"/>
                      <w:szCs w:val="21"/>
                      <w:lang w:val="en-US" w:eastAsia="zh-CN"/>
                    </w:rPr>
                    <w:t>5</w:t>
                  </w:r>
                  <w:r>
                    <w:rPr>
                      <w:rFonts w:hint="default" w:ascii="Times New Roman" w:hAnsi="Times New Roman" w:eastAsia="宋体" w:cs="Times New Roman"/>
                      <w:color w:val="auto"/>
                      <w:spacing w:val="2"/>
                      <w:position w:val="1"/>
                      <w:sz w:val="21"/>
                      <w:szCs w:val="21"/>
                    </w:rPr>
                    <w:t>%</w:t>
                  </w:r>
                </w:p>
              </w:tc>
            </w:tr>
            <w:tr w14:paraId="278BB67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548" w:type="pct"/>
                  <w:tcBorders>
                    <w:tl2br w:val="nil"/>
                    <w:tr2bl w:val="nil"/>
                  </w:tcBorders>
                  <w:vAlign w:val="top"/>
                </w:tcPr>
                <w:p w14:paraId="3C78A924">
                  <w:pPr>
                    <w:pStyle w:val="74"/>
                    <w:spacing w:before="67" w:line="222" w:lineRule="auto"/>
                    <w:ind w:left="129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5"/>
                      <w:sz w:val="21"/>
                      <w:szCs w:val="21"/>
                    </w:rPr>
                    <w:t>出水浓度（</w:t>
                  </w: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pacing w:val="5"/>
                      <w:sz w:val="21"/>
                      <w:szCs w:val="21"/>
                    </w:rPr>
                    <w:t>/L）</w:t>
                  </w:r>
                </w:p>
              </w:tc>
              <w:tc>
                <w:tcPr>
                  <w:tcW w:w="767" w:type="pct"/>
                  <w:tcBorders>
                    <w:tl2br w:val="nil"/>
                    <w:tr2bl w:val="nil"/>
                  </w:tcBorders>
                  <w:vAlign w:val="top"/>
                </w:tcPr>
                <w:p w14:paraId="6948B9F6">
                  <w:pPr>
                    <w:pStyle w:val="74"/>
                    <w:spacing w:before="100" w:line="189" w:lineRule="auto"/>
                    <w:ind w:left="53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sz w:val="21"/>
                      <w:szCs w:val="21"/>
                    </w:rPr>
                    <w:t>40</w:t>
                  </w:r>
                </w:p>
              </w:tc>
              <w:tc>
                <w:tcPr>
                  <w:tcW w:w="767" w:type="pct"/>
                  <w:tcBorders>
                    <w:tl2br w:val="nil"/>
                    <w:tr2bl w:val="nil"/>
                  </w:tcBorders>
                  <w:vAlign w:val="top"/>
                </w:tcPr>
                <w:p w14:paraId="2B537C00">
                  <w:pPr>
                    <w:pStyle w:val="74"/>
                    <w:spacing w:before="100" w:line="189" w:lineRule="auto"/>
                    <w:ind w:left="543"/>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lang w:val="en-US" w:eastAsia="zh-CN"/>
                    </w:rPr>
                    <w:t>20</w:t>
                  </w:r>
                </w:p>
              </w:tc>
              <w:tc>
                <w:tcPr>
                  <w:tcW w:w="916" w:type="pct"/>
                  <w:tcBorders>
                    <w:tl2br w:val="nil"/>
                    <w:tr2bl w:val="nil"/>
                  </w:tcBorders>
                  <w:vAlign w:val="top"/>
                </w:tcPr>
                <w:p w14:paraId="09E75A57">
                  <w:pPr>
                    <w:pStyle w:val="74"/>
                    <w:spacing w:before="102" w:line="187" w:lineRule="auto"/>
                    <w:ind w:left="666"/>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pacing w:val="-2"/>
                      <w:sz w:val="21"/>
                      <w:szCs w:val="21"/>
                      <w:lang w:val="en-US" w:eastAsia="zh-CN"/>
                    </w:rPr>
                    <w:t>25</w:t>
                  </w:r>
                  <w:r>
                    <w:rPr>
                      <w:rFonts w:hint="default" w:ascii="Times New Roman" w:hAnsi="Times New Roman" w:eastAsia="宋体" w:cs="Times New Roman"/>
                      <w:color w:val="auto"/>
                      <w:spacing w:val="-2"/>
                      <w:sz w:val="21"/>
                      <w:szCs w:val="21"/>
                      <w:lang w:val="en-US" w:eastAsia="zh-CN"/>
                    </w:rPr>
                    <w:t>0</w:t>
                  </w:r>
                </w:p>
              </w:tc>
            </w:tr>
            <w:tr w14:paraId="0CE2EA9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2548" w:type="pct"/>
                  <w:tcBorders>
                    <w:tl2br w:val="nil"/>
                    <w:tr2bl w:val="nil"/>
                  </w:tcBorders>
                  <w:vAlign w:val="top"/>
                </w:tcPr>
                <w:p w14:paraId="5CBAAFDD">
                  <w:pPr>
                    <w:pStyle w:val="74"/>
                    <w:spacing w:before="68" w:line="228" w:lineRule="auto"/>
                    <w:ind w:left="107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14:textOutline w14:w="3795" w14:cap="sq" w14:cmpd="sng">
                        <w14:solidFill>
                          <w14:srgbClr w14:val="000000"/>
                        </w14:solidFill>
                        <w14:prstDash w14:val="solid"/>
                        <w14:bevel/>
                      </w14:textOutline>
                    </w:rPr>
                    <w:t>需满足的污水排放要求</w:t>
                  </w:r>
                </w:p>
              </w:tc>
              <w:tc>
                <w:tcPr>
                  <w:tcW w:w="767" w:type="pct"/>
                  <w:tcBorders>
                    <w:tl2br w:val="nil"/>
                    <w:tr2bl w:val="nil"/>
                  </w:tcBorders>
                  <w:vAlign w:val="top"/>
                </w:tcPr>
                <w:p w14:paraId="45B7B0F8">
                  <w:pPr>
                    <w:pStyle w:val="74"/>
                    <w:spacing w:before="68" w:line="265" w:lineRule="exact"/>
                    <w:ind w:left="4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1"/>
                      <w:position w:val="1"/>
                      <w:sz w:val="21"/>
                      <w:szCs w:val="21"/>
                      <w14:textOutline w14:w="3795" w14:cap="sq" w14:cmpd="sng">
                        <w14:solidFill>
                          <w14:srgbClr w14:val="000000"/>
                        </w14:solidFill>
                        <w14:prstDash w14:val="solid"/>
                        <w14:bevel/>
                      </w14:textOutline>
                    </w:rPr>
                    <w:t>≤60</w:t>
                  </w:r>
                </w:p>
              </w:tc>
              <w:tc>
                <w:tcPr>
                  <w:tcW w:w="767" w:type="pct"/>
                  <w:tcBorders>
                    <w:tl2br w:val="nil"/>
                    <w:tr2bl w:val="nil"/>
                  </w:tcBorders>
                  <w:vAlign w:val="top"/>
                </w:tcPr>
                <w:p w14:paraId="0354F279">
                  <w:pPr>
                    <w:pStyle w:val="74"/>
                    <w:spacing w:before="167" w:line="136" w:lineRule="exact"/>
                    <w:ind w:left="59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3"/>
                      <w:sz w:val="21"/>
                      <w:szCs w:val="21"/>
                      <w14:textOutline w14:w="3795" w14:cap="sq" w14:cmpd="sng">
                        <w14:solidFill>
                          <w14:srgbClr w14:val="000000"/>
                        </w14:solidFill>
                        <w14:prstDash w14:val="solid"/>
                        <w14:bevel/>
                      </w14:textOutline>
                    </w:rPr>
                    <w:t>-</w:t>
                  </w:r>
                </w:p>
              </w:tc>
              <w:tc>
                <w:tcPr>
                  <w:tcW w:w="916" w:type="pct"/>
                  <w:tcBorders>
                    <w:tl2br w:val="nil"/>
                    <w:tr2bl w:val="nil"/>
                  </w:tcBorders>
                  <w:vAlign w:val="top"/>
                </w:tcPr>
                <w:p w14:paraId="002446A2">
                  <w:pPr>
                    <w:pStyle w:val="74"/>
                    <w:spacing w:before="68" w:line="265" w:lineRule="exact"/>
                    <w:ind w:left="465"/>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position w:val="1"/>
                      <w:sz w:val="21"/>
                      <w:szCs w:val="21"/>
                      <w14:textOutline w14:w="3795" w14:cap="sq" w14:cmpd="sng">
                        <w14:solidFill>
                          <w14:srgbClr w14:val="000000"/>
                        </w14:solidFill>
                        <w14:prstDash w14:val="solid"/>
                        <w14:bevel/>
                      </w14:textOutline>
                    </w:rPr>
                    <w:t>≤1000</w:t>
                  </w:r>
                </w:p>
              </w:tc>
            </w:tr>
          </w:tbl>
          <w:p w14:paraId="4F01926D">
            <w:pPr>
              <w:pStyle w:val="74"/>
              <w:spacing w:before="35" w:line="359" w:lineRule="auto"/>
              <w:ind w:left="109" w:right="101" w:firstLine="480"/>
              <w:jc w:val="both"/>
              <w:rPr>
                <w:color w:val="auto"/>
              </w:rPr>
            </w:pPr>
            <w:r>
              <w:rPr>
                <w:color w:val="auto"/>
                <w:spacing w:val="-3"/>
              </w:rPr>
              <w:t>项目</w:t>
            </w:r>
            <w:r>
              <w:rPr>
                <w:rFonts w:hint="eastAsia"/>
                <w:color w:val="auto"/>
                <w:spacing w:val="-3"/>
                <w:lang w:val="en-US" w:eastAsia="zh-CN"/>
              </w:rPr>
              <w:t>清洗</w:t>
            </w:r>
            <w:r>
              <w:rPr>
                <w:color w:val="auto"/>
                <w:spacing w:val="-3"/>
              </w:rPr>
              <w:t>废水经企业的污水处理设施处理后会用到</w:t>
            </w:r>
            <w:r>
              <w:rPr>
                <w:rFonts w:hint="eastAsia"/>
                <w:color w:val="auto"/>
                <w:spacing w:val="-3"/>
                <w:lang w:val="en-US" w:eastAsia="zh-CN"/>
              </w:rPr>
              <w:t>清洗</w:t>
            </w:r>
            <w:r>
              <w:rPr>
                <w:color w:val="auto"/>
                <w:spacing w:val="-3"/>
              </w:rPr>
              <w:t>工艺，回用</w:t>
            </w:r>
            <w:r>
              <w:rPr>
                <w:color w:val="auto"/>
                <w:spacing w:val="-1"/>
              </w:rPr>
              <w:t>水水质满足</w:t>
            </w:r>
            <w:r>
              <w:rPr>
                <w:rFonts w:hint="default" w:ascii="Times New Roman" w:hAnsi="Times New Roman" w:cs="Times New Roman"/>
                <w:color w:val="auto"/>
                <w:spacing w:val="-1"/>
              </w:rPr>
              <w:t>《城市污水再生利用 工业用水水质》（GB/T 19923-2024代替GB/T 19923-2005）</w:t>
            </w:r>
            <w:r>
              <w:rPr>
                <w:color w:val="auto"/>
                <w:spacing w:val="-2"/>
              </w:rPr>
              <w:t>表</w:t>
            </w:r>
            <w:r>
              <w:rPr>
                <w:rFonts w:ascii="Times New Roman" w:hAnsi="Times New Roman" w:eastAsia="Times New Roman" w:cs="Times New Roman"/>
                <w:color w:val="auto"/>
                <w:spacing w:val="-2"/>
              </w:rPr>
              <w:t>1</w:t>
            </w:r>
            <w:r>
              <w:rPr>
                <w:color w:val="auto"/>
                <w:spacing w:val="-2"/>
              </w:rPr>
              <w:t>中</w:t>
            </w:r>
            <w:r>
              <w:rPr>
                <w:rFonts w:hint="default" w:ascii="Times New Roman" w:hAnsi="Times New Roman" w:cs="Times New Roman"/>
                <w:color w:val="auto"/>
                <w:spacing w:val="-7"/>
              </w:rPr>
              <w:t>直流冷却水、洗涤用水</w:t>
            </w:r>
            <w:r>
              <w:rPr>
                <w:color w:val="auto"/>
                <w:spacing w:val="-3"/>
              </w:rPr>
              <w:t>。</w:t>
            </w:r>
          </w:p>
          <w:p w14:paraId="0BDAEEB9">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4"/>
                <w14:textOutline w14:w="4358" w14:cap="sq" w14:cmpd="sng">
                  <w14:solidFill>
                    <w14:srgbClr w14:val="000000"/>
                  </w14:solidFill>
                  <w14:prstDash w14:val="solid"/>
                  <w14:bevel/>
                </w14:textOutline>
              </w:rPr>
            </w:pPr>
          </w:p>
          <w:p w14:paraId="4F5BE952">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spacing w:val="-4"/>
                <w14:textOutline w14:w="4358" w14:cap="sq" w14:cmpd="sng">
                  <w14:solidFill>
                    <w14:srgbClr w14:val="000000"/>
                  </w14:solidFill>
                  <w14:prstDash w14:val="solid"/>
                  <w14:bevel/>
                </w14:textOutline>
              </w:rPr>
              <w:t>表</w:t>
            </w:r>
            <w:r>
              <w:rPr>
                <w:rFonts w:hint="default" w:ascii="Times New Roman" w:hAnsi="Times New Roman" w:eastAsia="宋体" w:cs="Times New Roman"/>
                <w:color w:val="auto"/>
                <w:spacing w:val="-55"/>
              </w:rPr>
              <w:t xml:space="preserve"> </w:t>
            </w:r>
            <w:r>
              <w:rPr>
                <w:rFonts w:hint="default" w:ascii="Times New Roman" w:hAnsi="Times New Roman" w:eastAsia="宋体" w:cs="Times New Roman"/>
                <w:b/>
                <w:bCs/>
                <w:color w:val="auto"/>
                <w:spacing w:val="-4"/>
              </w:rPr>
              <w:t>4-</w:t>
            </w:r>
            <w:r>
              <w:rPr>
                <w:rFonts w:hint="eastAsia" w:ascii="Times New Roman" w:hAnsi="Times New Roman" w:cs="Times New Roman"/>
                <w:b/>
                <w:bCs/>
                <w:color w:val="auto"/>
                <w:spacing w:val="-4"/>
                <w:lang w:val="en-US" w:eastAsia="zh-CN"/>
              </w:rPr>
              <w:t>12</w:t>
            </w:r>
            <w:r>
              <w:rPr>
                <w:rFonts w:hint="default" w:ascii="Times New Roman" w:hAnsi="Times New Roman" w:eastAsia="宋体" w:cs="Times New Roman"/>
                <w:b/>
                <w:bCs/>
                <w:color w:val="auto"/>
                <w:spacing w:val="8"/>
              </w:rPr>
              <w:t xml:space="preserve">  </w:t>
            </w:r>
            <w:r>
              <w:rPr>
                <w:rFonts w:hint="default" w:ascii="Times New Roman" w:hAnsi="Times New Roman" w:eastAsia="宋体" w:cs="Times New Roman"/>
                <w:color w:val="auto"/>
                <w:spacing w:val="-4"/>
                <w14:textOutline w14:w="4358" w14:cap="sq" w14:cmpd="sng">
                  <w14:solidFill>
                    <w14:srgbClr w14:val="000000"/>
                  </w14:solidFill>
                  <w14:prstDash w14:val="solid"/>
                  <w14:bevel/>
                </w14:textOutline>
              </w:rPr>
              <w:t>回用水水质标准</w:t>
            </w:r>
          </w:p>
          <w:tbl>
            <w:tblPr>
              <w:tblStyle w:val="75"/>
              <w:tblW w:w="4998"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2"/>
              <w:gridCol w:w="1739"/>
              <w:gridCol w:w="1390"/>
              <w:gridCol w:w="841"/>
              <w:gridCol w:w="1267"/>
              <w:gridCol w:w="1267"/>
            </w:tblGrid>
            <w:tr w14:paraId="6CD513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 w:hRule="atLeast"/>
              </w:trPr>
              <w:tc>
                <w:tcPr>
                  <w:tcW w:w="1084" w:type="pct"/>
                  <w:tcBorders>
                    <w:top w:val="single" w:color="000000" w:sz="10" w:space="0"/>
                    <w:left w:val="nil"/>
                  </w:tcBorders>
                  <w:vAlign w:val="center"/>
                </w:tcPr>
                <w:p w14:paraId="6FD677D1">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项目</w:t>
                  </w:r>
                </w:p>
              </w:tc>
              <w:tc>
                <w:tcPr>
                  <w:tcW w:w="1046" w:type="pct"/>
                  <w:tcBorders>
                    <w:top w:val="single" w:color="000000" w:sz="10" w:space="0"/>
                  </w:tcBorders>
                  <w:vAlign w:val="center"/>
                </w:tcPr>
                <w:p w14:paraId="47BECE81">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pH</w:t>
                  </w:r>
                  <w:r>
                    <w:rPr>
                      <w:rFonts w:hint="default" w:ascii="Times New Roman" w:hAnsi="Times New Roman" w:eastAsia="宋体" w:cs="Times New Roman"/>
                      <w:b/>
                      <w:bCs/>
                      <w:color w:val="auto"/>
                      <w:spacing w:val="9"/>
                      <w:sz w:val="21"/>
                      <w:szCs w:val="21"/>
                    </w:rPr>
                    <w:t>（无量纲）</w:t>
                  </w:r>
                </w:p>
              </w:tc>
              <w:tc>
                <w:tcPr>
                  <w:tcW w:w="836" w:type="pct"/>
                  <w:tcBorders>
                    <w:top w:val="single" w:color="000000" w:sz="10" w:space="0"/>
                  </w:tcBorders>
                  <w:vAlign w:val="center"/>
                </w:tcPr>
                <w:p w14:paraId="6FBCD9B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COD</w:t>
                  </w:r>
                </w:p>
              </w:tc>
              <w:tc>
                <w:tcPr>
                  <w:tcW w:w="506" w:type="pct"/>
                  <w:tcBorders>
                    <w:top w:val="single" w:color="000000" w:sz="10" w:space="0"/>
                  </w:tcBorders>
                  <w:vAlign w:val="center"/>
                </w:tcPr>
                <w:p w14:paraId="4E6BAF4E">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3"/>
                      <w:sz w:val="21"/>
                      <w:szCs w:val="21"/>
                    </w:rPr>
                    <w:t>SS</w:t>
                  </w:r>
                </w:p>
              </w:tc>
              <w:tc>
                <w:tcPr>
                  <w:tcW w:w="762" w:type="pct"/>
                  <w:tcBorders>
                    <w:top w:val="single" w:color="000000" w:sz="10" w:space="0"/>
                    <w:right w:val="nil"/>
                  </w:tcBorders>
                  <w:vAlign w:val="center"/>
                </w:tcPr>
                <w:p w14:paraId="63BA2E97">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pacing w:val="7"/>
                      <w:sz w:val="21"/>
                      <w:szCs w:val="21"/>
                    </w:rPr>
                    <w:t>溶解性总固体</w:t>
                  </w:r>
                </w:p>
              </w:tc>
              <w:tc>
                <w:tcPr>
                  <w:tcW w:w="762" w:type="pct"/>
                  <w:tcBorders>
                    <w:top w:val="single" w:color="000000" w:sz="10" w:space="0"/>
                    <w:right w:val="nil"/>
                  </w:tcBorders>
                  <w:vAlign w:val="center"/>
                </w:tcPr>
                <w:p w14:paraId="3DEEFB97">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b/>
                      <w:bCs/>
                      <w:color w:val="auto"/>
                      <w:spacing w:val="7"/>
                      <w:sz w:val="21"/>
                      <w:szCs w:val="21"/>
                      <w:lang w:val="en-US" w:eastAsia="zh-CN"/>
                    </w:rPr>
                  </w:pPr>
                  <w:r>
                    <w:rPr>
                      <w:rFonts w:hint="default" w:ascii="Times New Roman" w:hAnsi="Times New Roman" w:eastAsia="宋体" w:cs="Times New Roman"/>
                      <w:b/>
                      <w:bCs/>
                      <w:color w:val="auto"/>
                      <w:spacing w:val="7"/>
                      <w:sz w:val="21"/>
                      <w:szCs w:val="21"/>
                      <w:lang w:val="en-US" w:eastAsia="zh-CN"/>
                    </w:rPr>
                    <w:t>石油类</w:t>
                  </w:r>
                </w:p>
              </w:tc>
            </w:tr>
            <w:tr w14:paraId="53C421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1084" w:type="pct"/>
                  <w:tcBorders>
                    <w:left w:val="nil"/>
                    <w:bottom w:val="single" w:color="000000" w:sz="10" w:space="0"/>
                  </w:tcBorders>
                  <w:vAlign w:val="center"/>
                </w:tcPr>
                <w:p w14:paraId="0D004B16">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7"/>
                      <w:sz w:val="21"/>
                      <w:szCs w:val="21"/>
                    </w:rPr>
                    <w:t>标准值（</w:t>
                  </w: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pacing w:val="7"/>
                      <w:sz w:val="21"/>
                      <w:szCs w:val="21"/>
                    </w:rPr>
                    <w:t>/L）</w:t>
                  </w:r>
                </w:p>
              </w:tc>
              <w:tc>
                <w:tcPr>
                  <w:tcW w:w="1046" w:type="pct"/>
                  <w:tcBorders>
                    <w:bottom w:val="single" w:color="000000" w:sz="10" w:space="0"/>
                  </w:tcBorders>
                  <w:vAlign w:val="center"/>
                </w:tcPr>
                <w:p w14:paraId="2F63AC59">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6.</w:t>
                  </w:r>
                  <w:r>
                    <w:rPr>
                      <w:rFonts w:hint="eastAsia" w:ascii="Times New Roman" w:hAnsi="Times New Roman" w:eastAsia="宋体" w:cs="Times New Roman"/>
                      <w:color w:val="auto"/>
                      <w:spacing w:val="2"/>
                      <w:sz w:val="21"/>
                      <w:szCs w:val="21"/>
                      <w:lang w:val="en-US" w:eastAsia="zh-CN"/>
                    </w:rPr>
                    <w:t>0</w:t>
                  </w:r>
                  <w:r>
                    <w:rPr>
                      <w:rFonts w:hint="default" w:ascii="Times New Roman" w:hAnsi="Times New Roman" w:eastAsia="宋体" w:cs="Times New Roman"/>
                      <w:color w:val="auto"/>
                      <w:spacing w:val="2"/>
                      <w:sz w:val="21"/>
                      <w:szCs w:val="21"/>
                    </w:rPr>
                    <w:t>-</w:t>
                  </w:r>
                  <w:r>
                    <w:rPr>
                      <w:rFonts w:hint="eastAsia" w:ascii="Times New Roman" w:hAnsi="Times New Roman" w:eastAsia="宋体" w:cs="Times New Roman"/>
                      <w:color w:val="auto"/>
                      <w:spacing w:val="2"/>
                      <w:sz w:val="21"/>
                      <w:szCs w:val="21"/>
                      <w:lang w:val="en-US" w:eastAsia="zh-CN"/>
                    </w:rPr>
                    <w:t>9.0</w:t>
                  </w:r>
                </w:p>
              </w:tc>
              <w:tc>
                <w:tcPr>
                  <w:tcW w:w="836" w:type="pct"/>
                  <w:tcBorders>
                    <w:bottom w:val="single" w:color="000000" w:sz="10" w:space="0"/>
                  </w:tcBorders>
                  <w:vAlign w:val="center"/>
                </w:tcPr>
                <w:p w14:paraId="1273BB8E">
                  <w:pPr>
                    <w:pStyle w:val="74"/>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14:textOutline w14:w="3795" w14:cap="sq" w14:cmpd="sng">
                        <w14:solidFill>
                          <w14:srgbClr w14:val="000000"/>
                        </w14:solidFill>
                        <w14:prstDash w14:val="solid"/>
                        <w14:bevel/>
                      </w14:textOutline>
                    </w:rPr>
                    <w:t>≤</w:t>
                  </w:r>
                  <w:r>
                    <w:rPr>
                      <w:rFonts w:hint="eastAsia" w:ascii="Times New Roman" w:hAnsi="Times New Roman" w:eastAsia="宋体" w:cs="Times New Roman"/>
                      <w:color w:val="auto"/>
                      <w:spacing w:val="-2"/>
                      <w:sz w:val="21"/>
                      <w:szCs w:val="21"/>
                      <w:lang w:val="en-US" w:eastAsia="zh-CN"/>
                    </w:rPr>
                    <w:t>5</w:t>
                  </w:r>
                  <w:r>
                    <w:rPr>
                      <w:rFonts w:hint="default" w:ascii="Times New Roman" w:hAnsi="Times New Roman" w:eastAsia="宋体" w:cs="Times New Roman"/>
                      <w:color w:val="auto"/>
                      <w:spacing w:val="-2"/>
                      <w:sz w:val="21"/>
                      <w:szCs w:val="21"/>
                    </w:rPr>
                    <w:t>0</w:t>
                  </w:r>
                </w:p>
              </w:tc>
              <w:tc>
                <w:tcPr>
                  <w:tcW w:w="506" w:type="pct"/>
                  <w:tcBorders>
                    <w:bottom w:val="single" w:color="000000" w:sz="10" w:space="0"/>
                  </w:tcBorders>
                  <w:vAlign w:val="center"/>
                </w:tcPr>
                <w:p w14:paraId="12A184E8">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position w:val="-2"/>
                      <w:sz w:val="21"/>
                      <w:szCs w:val="21"/>
                    </w:rPr>
                    <w:t>-</w:t>
                  </w:r>
                </w:p>
              </w:tc>
              <w:tc>
                <w:tcPr>
                  <w:tcW w:w="762" w:type="pct"/>
                  <w:tcBorders>
                    <w:bottom w:val="single" w:color="000000" w:sz="10" w:space="0"/>
                    <w:right w:val="nil"/>
                  </w:tcBorders>
                  <w:vAlign w:val="center"/>
                </w:tcPr>
                <w:p w14:paraId="027A1981">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4"/>
                      <w:sz w:val="21"/>
                      <w:szCs w:val="21"/>
                    </w:rPr>
                    <w:t>≤1</w:t>
                  </w:r>
                  <w:r>
                    <w:rPr>
                      <w:rFonts w:hint="eastAsia" w:ascii="Times New Roman" w:hAnsi="Times New Roman" w:eastAsia="宋体" w:cs="Times New Roman"/>
                      <w:color w:val="auto"/>
                      <w:spacing w:val="4"/>
                      <w:sz w:val="21"/>
                      <w:szCs w:val="21"/>
                      <w:lang w:val="en-US" w:eastAsia="zh-CN"/>
                    </w:rPr>
                    <w:t>5</w:t>
                  </w:r>
                  <w:r>
                    <w:rPr>
                      <w:rFonts w:hint="default" w:ascii="Times New Roman" w:hAnsi="Times New Roman" w:eastAsia="宋体" w:cs="Times New Roman"/>
                      <w:color w:val="auto"/>
                      <w:spacing w:val="4"/>
                      <w:sz w:val="21"/>
                      <w:szCs w:val="21"/>
                    </w:rPr>
                    <w:t>00</w:t>
                  </w:r>
                </w:p>
              </w:tc>
              <w:tc>
                <w:tcPr>
                  <w:tcW w:w="762" w:type="pct"/>
                  <w:tcBorders>
                    <w:bottom w:val="single" w:color="000000" w:sz="10" w:space="0"/>
                    <w:right w:val="nil"/>
                  </w:tcBorders>
                  <w:vAlign w:val="center"/>
                </w:tcPr>
                <w:p w14:paraId="71AAEE46">
                  <w:pPr>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auto"/>
                      <w:spacing w:val="4"/>
                      <w:sz w:val="21"/>
                      <w:szCs w:val="21"/>
                      <w:lang w:val="en-US" w:eastAsia="zh-CN"/>
                    </w:rPr>
                  </w:pPr>
                  <w:r>
                    <w:rPr>
                      <w:rFonts w:hint="eastAsia" w:ascii="Times New Roman" w:hAnsi="Times New Roman" w:eastAsia="宋体" w:cs="Times New Roman"/>
                      <w:color w:val="auto"/>
                      <w:spacing w:val="4"/>
                      <w:sz w:val="21"/>
                      <w:szCs w:val="21"/>
                      <w:lang w:val="en-US" w:eastAsia="zh-CN"/>
                    </w:rPr>
                    <w:t>1.0</w:t>
                  </w:r>
                </w:p>
              </w:tc>
            </w:tr>
          </w:tbl>
          <w:p w14:paraId="0EC10802">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 w:val="0"/>
                <w:bCs w:val="0"/>
                <w:color w:val="auto"/>
                <w:sz w:val="24"/>
                <w:lang w:val="en-US" w:eastAsia="zh-CN"/>
              </w:rPr>
            </w:pPr>
            <w:r>
              <w:rPr>
                <w:rFonts w:hint="eastAsia" w:ascii="Times New Roman" w:hAnsi="Times New Roman" w:eastAsia="宋体" w:cs="Times New Roman"/>
                <w:b w:val="0"/>
                <w:bCs w:val="0"/>
                <w:color w:val="auto"/>
                <w:sz w:val="24"/>
                <w:lang w:val="en-US" w:eastAsia="zh-CN"/>
              </w:rPr>
              <w:t>工程实例：本项目采用脱氨+</w:t>
            </w:r>
            <w:r>
              <w:rPr>
                <w:rFonts w:hint="default" w:ascii="Times New Roman" w:hAnsi="Times New Roman" w:eastAsia="宋体" w:cs="Times New Roman"/>
                <w:b w:val="0"/>
                <w:bCs w:val="0"/>
                <w:color w:val="auto"/>
                <w:sz w:val="24"/>
                <w:lang w:val="en-US" w:eastAsia="zh-CN"/>
              </w:rPr>
              <w:t>沉淀+</w:t>
            </w:r>
            <w:r>
              <w:rPr>
                <w:rFonts w:hint="eastAsia" w:ascii="Times New Roman" w:hAnsi="Times New Roman" w:eastAsia="宋体" w:cs="Times New Roman"/>
                <w:b w:val="0"/>
                <w:bCs w:val="0"/>
                <w:color w:val="auto"/>
                <w:sz w:val="24"/>
                <w:lang w:val="en-US" w:eastAsia="zh-CN"/>
              </w:rPr>
              <w:t>过滤+低温蒸发工艺处理清洗废水和喷淋塔废水，主要污染物为氨和盐类，根据连云港展照新材料科技有限公司、昆山鹏稀电子有限公司、江阴鸿顺新电子科技有限公司、江苏普诺威电子股份有限公司、辽宁鼎际得石化股份有限公司低温蒸发器的实际应用案例，低温蒸发器对COD、SS和溶解性总固体的处理效果均较好，可达到90%以上。</w:t>
            </w:r>
          </w:p>
          <w:p w14:paraId="2C8649B6">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3.</w:t>
            </w:r>
            <w:r>
              <w:rPr>
                <w:rFonts w:hint="eastAsia" w:ascii="Times New Roman" w:hAnsi="Times New Roman" w:eastAsia="宋体" w:cs="Times New Roman"/>
                <w:b/>
                <w:bCs/>
                <w:color w:val="auto"/>
                <w:sz w:val="24"/>
                <w:lang w:val="en-US" w:eastAsia="zh-CN"/>
              </w:rPr>
              <w:t>生活污水</w:t>
            </w:r>
            <w:r>
              <w:rPr>
                <w:rFonts w:hint="default" w:ascii="Times New Roman" w:hAnsi="Times New Roman" w:eastAsia="宋体" w:cs="Times New Roman"/>
                <w:b/>
                <w:bCs/>
                <w:color w:val="auto"/>
                <w:sz w:val="24"/>
                <w:lang w:val="en-US" w:eastAsia="zh-CN"/>
              </w:rPr>
              <w:t>接管可行性分析</w:t>
            </w:r>
          </w:p>
          <w:p w14:paraId="136AAC01">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1</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管网建设情况</w:t>
            </w:r>
          </w:p>
          <w:p w14:paraId="29A2ECE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金坛第二污水处理厂</w:t>
            </w:r>
            <w:r>
              <w:rPr>
                <w:rFonts w:hint="default" w:ascii="Times New Roman" w:hAnsi="Times New Roman" w:eastAsia="宋体" w:cs="Times New Roman"/>
                <w:color w:val="auto"/>
                <w:kern w:val="0"/>
                <w:sz w:val="24"/>
              </w:rPr>
              <w:t>的服务范围为金坛东环二路以东市区范围区域，包括金坛经济开发区控制性详细规划中的主要建设区域（东至省道203，南至站前路，西至金湖路和丹金溧漕河，北至开发区行政界线）和河东居住区部分范围，总面积约为70.9km</w:t>
            </w:r>
            <w:r>
              <w:rPr>
                <w:rFonts w:hint="default" w:ascii="Times New Roman" w:hAnsi="Times New Roman" w:eastAsia="宋体" w:cs="Times New Roman"/>
                <w:color w:val="auto"/>
                <w:kern w:val="0"/>
                <w:sz w:val="24"/>
                <w:vertAlign w:val="superscript"/>
              </w:rPr>
              <w:t>2</w:t>
            </w:r>
            <w:r>
              <w:rPr>
                <w:rFonts w:hint="default" w:ascii="Times New Roman" w:hAnsi="Times New Roman" w:eastAsia="宋体" w:cs="Times New Roman"/>
                <w:color w:val="auto"/>
                <w:kern w:val="0"/>
                <w:sz w:val="24"/>
              </w:rPr>
              <w:t>。根据区域规划，本项目在</w:t>
            </w:r>
            <w:r>
              <w:rPr>
                <w:rFonts w:hint="default" w:ascii="Times New Roman" w:hAnsi="Times New Roman" w:eastAsia="宋体" w:cs="Times New Roman"/>
                <w:color w:val="auto"/>
                <w:kern w:val="0"/>
                <w:sz w:val="24"/>
                <w:lang w:eastAsia="zh-CN"/>
              </w:rPr>
              <w:t>金坛第二污水处理厂</w:t>
            </w:r>
            <w:r>
              <w:rPr>
                <w:rFonts w:hint="default" w:ascii="Times New Roman" w:hAnsi="Times New Roman" w:eastAsia="宋体" w:cs="Times New Roman"/>
                <w:color w:val="auto"/>
                <w:kern w:val="0"/>
                <w:sz w:val="24"/>
              </w:rPr>
              <w:t>接收范围之内。</w:t>
            </w:r>
          </w:p>
          <w:p w14:paraId="2C15774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lang w:val="en-US" w:eastAsia="zh-CN"/>
              </w:rPr>
              <w:t>2</w:t>
            </w:r>
            <w:r>
              <w:rPr>
                <w:rFonts w:hint="default"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污水处理厂简介</w:t>
            </w:r>
          </w:p>
          <w:p w14:paraId="2B656F38">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color w:val="auto"/>
                <w:kern w:val="0"/>
                <w:sz w:val="24"/>
              </w:rPr>
            </w:pPr>
            <w:r>
              <w:rPr>
                <w:rFonts w:hint="default" w:ascii="Times New Roman" w:hAnsi="Times New Roman" w:eastAsia="宋体" w:cs="Times New Roman"/>
                <w:color w:val="auto"/>
                <w:kern w:val="0"/>
                <w:sz w:val="24"/>
                <w:lang w:eastAsia="zh-CN"/>
              </w:rPr>
              <w:t>金坛第二污水处理厂</w:t>
            </w:r>
            <w:r>
              <w:rPr>
                <w:rFonts w:hint="default" w:ascii="Times New Roman" w:hAnsi="Times New Roman" w:eastAsia="宋体" w:cs="Times New Roman"/>
                <w:color w:val="auto"/>
                <w:kern w:val="0"/>
                <w:sz w:val="24"/>
              </w:rPr>
              <w:t>位于江苏省金坛经济开发区内，华城东路与新常金公路交汇处以北100m。2013年年平均处理水量约为3.1万m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/d（处理负荷为77.5%），接管工业废水约1.57万t/d，接管生活污水约1.53万t/d，二污厂现状工业废水与生活污水之比约为1</w:t>
            </w:r>
            <w:r>
              <w:rPr>
                <w:rFonts w:hint="eastAsia" w:ascii="Times New Roman" w:hAnsi="Times New Roman" w:eastAsia="宋体" w:cs="Times New Roman"/>
                <w:color w:val="auto"/>
                <w:kern w:val="0"/>
                <w:sz w:val="24"/>
                <w:lang w:eastAsia="zh-CN"/>
              </w:rPr>
              <w:t>:</w:t>
            </w:r>
            <w:r>
              <w:rPr>
                <w:rFonts w:hint="default" w:ascii="Times New Roman" w:hAnsi="Times New Roman" w:eastAsia="宋体" w:cs="Times New Roman"/>
                <w:color w:val="auto"/>
                <w:kern w:val="0"/>
                <w:sz w:val="24"/>
              </w:rPr>
              <w:t>1。2014年4月8日《金坛市</w:t>
            </w:r>
            <w:r>
              <w:rPr>
                <w:rFonts w:hint="default" w:ascii="Times New Roman" w:hAnsi="Times New Roman" w:eastAsia="宋体" w:cs="Times New Roman"/>
                <w:color w:val="auto"/>
                <w:kern w:val="0"/>
                <w:sz w:val="24"/>
                <w:lang w:eastAsia="zh-CN"/>
              </w:rPr>
              <w:t>第二污水处理有限公司</w:t>
            </w:r>
            <w:r>
              <w:rPr>
                <w:rFonts w:hint="default" w:ascii="Times New Roman" w:hAnsi="Times New Roman" w:eastAsia="宋体" w:cs="Times New Roman"/>
                <w:color w:val="auto"/>
                <w:kern w:val="0"/>
                <w:sz w:val="24"/>
              </w:rPr>
              <w:t>扩建工程项目环境影响报告书》通过</w:t>
            </w:r>
            <w:r>
              <w:rPr>
                <w:rFonts w:hint="default" w:ascii="Times New Roman" w:hAnsi="Times New Roman" w:eastAsia="宋体" w:cs="Times New Roman"/>
                <w:color w:val="auto"/>
                <w:kern w:val="0"/>
                <w:sz w:val="24"/>
                <w:lang w:val="en-US" w:eastAsia="zh-CN"/>
              </w:rPr>
              <w:t>原</w:t>
            </w:r>
            <w:r>
              <w:rPr>
                <w:rFonts w:hint="default" w:ascii="Times New Roman" w:hAnsi="Times New Roman" w:eastAsia="宋体" w:cs="Times New Roman"/>
                <w:color w:val="auto"/>
                <w:kern w:val="0"/>
                <w:sz w:val="24"/>
              </w:rPr>
              <w:t>金坛市环境保护局审批，规划扩建工程规模为2.0万m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/d，远期规划规模达16万m</w:t>
            </w:r>
            <w:r>
              <w:rPr>
                <w:rFonts w:hint="default" w:ascii="Times New Roman" w:hAnsi="Times New Roman" w:eastAsia="宋体" w:cs="Times New Roman"/>
                <w:color w:val="auto"/>
                <w:kern w:val="0"/>
                <w:sz w:val="24"/>
                <w:vertAlign w:val="superscript"/>
              </w:rPr>
              <w:t>3</w:t>
            </w:r>
            <w:r>
              <w:rPr>
                <w:rFonts w:hint="default" w:ascii="Times New Roman" w:hAnsi="Times New Roman" w:eastAsia="宋体" w:cs="Times New Roman"/>
                <w:color w:val="auto"/>
                <w:kern w:val="0"/>
                <w:sz w:val="24"/>
              </w:rPr>
              <w:t>/d，该项目已于2017年1月3日通过</w:t>
            </w:r>
            <w:r>
              <w:rPr>
                <w:rFonts w:hint="default" w:ascii="Times New Roman" w:hAnsi="Times New Roman" w:eastAsia="宋体" w:cs="Times New Roman"/>
                <w:color w:val="auto"/>
                <w:kern w:val="0"/>
                <w:sz w:val="24"/>
                <w:lang w:val="en-US" w:eastAsia="zh-CN"/>
              </w:rPr>
              <w:t>原</w:t>
            </w:r>
            <w:r>
              <w:rPr>
                <w:rFonts w:hint="default" w:ascii="Times New Roman" w:hAnsi="Times New Roman" w:eastAsia="宋体" w:cs="Times New Roman"/>
                <w:color w:val="auto"/>
                <w:kern w:val="0"/>
                <w:sz w:val="24"/>
              </w:rPr>
              <w:t>常州市金坛区环境保护局验收，并正式投入运营。</w:t>
            </w:r>
          </w:p>
          <w:p w14:paraId="23853D7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（3）接管水量可行性</w:t>
            </w:r>
          </w:p>
          <w:p w14:paraId="558E92B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金坛第二污水处理厂目前实际处理量约5.8万吨/日，还有余量0.2万吨/日。本项目废水排放总量约为</w:t>
            </w:r>
            <w:r>
              <w:rPr>
                <w:rFonts w:hint="eastAsia" w:ascii="Times New Roman" w:hAnsi="Times New Roman" w:eastAsia="宋体" w:cs="Times New Roman"/>
                <w:bCs/>
                <w:color w:val="auto"/>
                <w:sz w:val="24"/>
                <w:highlight w:val="none"/>
                <w:lang w:val="en-US" w:eastAsia="zh-CN"/>
              </w:rPr>
              <w:t>384</w:t>
            </w:r>
            <w:r>
              <w:rPr>
                <w:rFonts w:hint="default" w:ascii="Times New Roman" w:hAnsi="Times New Roman" w:eastAsia="宋体" w:cs="Times New Roman"/>
                <w:bCs/>
                <w:color w:val="auto"/>
                <w:sz w:val="24"/>
                <w:highlight w:val="none"/>
                <w:lang w:val="en-US" w:eastAsia="zh-CN"/>
              </w:rPr>
              <w:t>t/a（1.2</w:t>
            </w:r>
            <w:r>
              <w:rPr>
                <w:rFonts w:hint="eastAsia" w:ascii="Times New Roman" w:hAnsi="Times New Roman" w:eastAsia="宋体" w:cs="Times New Roman"/>
                <w:bCs/>
                <w:color w:val="auto"/>
                <w:sz w:val="24"/>
                <w:highlight w:val="none"/>
                <w:lang w:val="en-US" w:eastAsia="zh-CN"/>
              </w:rPr>
              <w:t>8</w:t>
            </w:r>
            <w:r>
              <w:rPr>
                <w:rFonts w:hint="default" w:ascii="Times New Roman" w:hAnsi="Times New Roman" w:eastAsia="宋体" w:cs="Times New Roman"/>
                <w:bCs/>
                <w:color w:val="auto"/>
                <w:sz w:val="24"/>
                <w:highlight w:val="none"/>
                <w:lang w:val="en-US" w:eastAsia="zh-CN"/>
              </w:rPr>
              <w:t>t/d），占金坛第二污水处理厂日处理余量的比例极小，金坛第二污水处理厂完全有能力接纳本项目污水。</w:t>
            </w:r>
          </w:p>
          <w:p w14:paraId="104DF7EF">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（4）接管水质可行性</w:t>
            </w:r>
          </w:p>
          <w:p w14:paraId="13432E80">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本项目建成后接管废水为生活污水，废水排放浓度低、水量小、水质简单，不会对污水处理厂运行产生冲击负荷，不影响污水处理厂出水水质。</w:t>
            </w:r>
          </w:p>
          <w:p w14:paraId="3165408C">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综上所述，本项目污水管网均已铺设完毕，从接管时间、服务范围、处理工艺以及水量水质来看，本项目运营后污水接入</w:t>
            </w:r>
            <w:r>
              <w:rPr>
                <w:rFonts w:hint="default" w:ascii="Times New Roman" w:hAnsi="Times New Roman" w:eastAsia="宋体" w:cs="Times New Roman"/>
                <w:color w:val="auto"/>
                <w:kern w:val="0"/>
                <w:sz w:val="24"/>
                <w:lang w:eastAsia="zh-CN"/>
              </w:rPr>
              <w:t>金坛第二污水处理厂</w:t>
            </w:r>
            <w:r>
              <w:rPr>
                <w:rFonts w:hint="default" w:ascii="Times New Roman" w:hAnsi="Times New Roman" w:eastAsia="宋体" w:cs="Times New Roman"/>
                <w:bCs/>
                <w:color w:val="auto"/>
                <w:sz w:val="24"/>
                <w:highlight w:val="none"/>
                <w:lang w:val="en-US" w:eastAsia="zh-CN"/>
              </w:rPr>
              <w:t>处理是可行的。</w:t>
            </w:r>
          </w:p>
          <w:p w14:paraId="6057DBAB">
            <w:pPr>
              <w:keepNext w:val="0"/>
              <w:keepLines w:val="0"/>
              <w:pageBreakBefore w:val="0"/>
              <w:widowControl w:val="0"/>
              <w:kinsoku/>
              <w:wordWrap/>
              <w:overflowPunct/>
              <w:topLinePunct w:val="0"/>
              <w:autoSpaceDE/>
              <w:autoSpaceDN/>
              <w:bidi w:val="0"/>
              <w:adjustRightInd/>
              <w:snapToGrid/>
              <w:spacing w:line="360" w:lineRule="auto"/>
              <w:ind w:left="0" w:right="0" w:rightChars="0"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4.废水排放情况</w:t>
            </w:r>
          </w:p>
          <w:p w14:paraId="1571F209">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（1）废水排放情况汇总</w:t>
            </w:r>
          </w:p>
          <w:p w14:paraId="00A69FAD">
            <w:pPr>
              <w:keepNext w:val="0"/>
              <w:keepLines w:val="0"/>
              <w:pageBreakBefore w:val="0"/>
              <w:widowControl w:val="0"/>
              <w:kinsoku/>
              <w:wordWrap/>
              <w:overflowPunct/>
              <w:topLinePunct w:val="0"/>
              <w:autoSpaceDE/>
              <w:autoSpaceDN/>
              <w:bidi w:val="0"/>
              <w:adjustRightInd/>
              <w:snapToGrid/>
              <w:spacing w:line="360" w:lineRule="auto"/>
              <w:ind w:left="0" w:right="0" w:rightChars="0"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本项目生活污水经化粪池预处理后接管至</w:t>
            </w:r>
            <w:r>
              <w:rPr>
                <w:rFonts w:hint="default" w:ascii="Times New Roman" w:hAnsi="Times New Roman" w:eastAsia="宋体" w:cs="Times New Roman"/>
                <w:color w:val="auto"/>
                <w:kern w:val="0"/>
                <w:sz w:val="24"/>
                <w:lang w:eastAsia="zh-CN"/>
              </w:rPr>
              <w:t>金坛第二污水处理厂</w:t>
            </w:r>
            <w:r>
              <w:rPr>
                <w:rFonts w:hint="default" w:ascii="Times New Roman" w:hAnsi="Times New Roman" w:eastAsia="宋体" w:cs="Times New Roman"/>
                <w:bCs/>
                <w:color w:val="auto"/>
                <w:sz w:val="24"/>
                <w:highlight w:val="none"/>
                <w:lang w:val="en-US" w:eastAsia="zh-CN"/>
              </w:rPr>
              <w:t>集中处理，废水产生及排放情况见下表。</w:t>
            </w:r>
          </w:p>
          <w:p w14:paraId="010839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表4-</w:t>
            </w:r>
            <w:r>
              <w:rPr>
                <w:rFonts w:hint="default" w:ascii="Times New Roman" w:hAnsi="Times New Roman" w:eastAsia="宋体"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3</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rPr>
              <w:t>本项目废水污染物排放情况表</w:t>
            </w:r>
          </w:p>
          <w:tbl>
            <w:tblPr>
              <w:tblStyle w:val="75"/>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fixed"/>
              <w:tblCellMar>
                <w:top w:w="0" w:type="dxa"/>
                <w:left w:w="0" w:type="dxa"/>
                <w:bottom w:w="0" w:type="dxa"/>
                <w:right w:w="0" w:type="dxa"/>
              </w:tblCellMar>
            </w:tblPr>
            <w:tblGrid>
              <w:gridCol w:w="845"/>
              <w:gridCol w:w="785"/>
              <w:gridCol w:w="855"/>
              <w:gridCol w:w="961"/>
              <w:gridCol w:w="998"/>
              <w:gridCol w:w="757"/>
              <w:gridCol w:w="762"/>
              <w:gridCol w:w="827"/>
              <w:gridCol w:w="883"/>
              <w:gridCol w:w="641"/>
            </w:tblGrid>
            <w:tr w14:paraId="6EA007A0">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93" w:hRule="atLeast"/>
              </w:trPr>
              <w:tc>
                <w:tcPr>
                  <w:tcW w:w="508" w:type="pct"/>
                  <w:vMerge w:val="restart"/>
                  <w:tcBorders>
                    <w:tl2br w:val="nil"/>
                    <w:tr2bl w:val="nil"/>
                  </w:tcBorders>
                  <w:vAlign w:val="center"/>
                </w:tcPr>
                <w:p w14:paraId="2F68FB85">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color w:val="auto"/>
                      <w:sz w:val="20"/>
                      <w:szCs w:val="20"/>
                    </w:rPr>
                  </w:pPr>
                  <w:r>
                    <w:rPr>
                      <w:color w:val="auto"/>
                      <w:spacing w:val="6"/>
                      <w:sz w:val="20"/>
                      <w:szCs w:val="20"/>
                      <w14:textOutline w14:w="3795" w14:cap="sq" w14:cmpd="sng">
                        <w14:solidFill>
                          <w14:srgbClr w14:val="000000"/>
                        </w14:solidFill>
                        <w14:prstDash w14:val="solid"/>
                        <w14:bevel/>
                      </w14:textOutline>
                    </w:rPr>
                    <w:t>废水</w:t>
                  </w:r>
                  <w:r>
                    <w:rPr>
                      <w:color w:val="auto"/>
                      <w:spacing w:val="1"/>
                      <w:sz w:val="20"/>
                      <w:szCs w:val="20"/>
                      <w14:textOutline w14:w="3795" w14:cap="sq" w14:cmpd="sng">
                        <w14:solidFill>
                          <w14:srgbClr w14:val="000000"/>
                        </w14:solidFill>
                        <w14:prstDash w14:val="solid"/>
                        <w14:bevel/>
                      </w14:textOutline>
                    </w:rPr>
                    <w:t>源</w:t>
                  </w:r>
                </w:p>
              </w:tc>
              <w:tc>
                <w:tcPr>
                  <w:tcW w:w="472" w:type="pct"/>
                  <w:vMerge w:val="restart"/>
                  <w:tcBorders>
                    <w:tl2br w:val="nil"/>
                    <w:tr2bl w:val="nil"/>
                  </w:tcBorders>
                  <w:vAlign w:val="center"/>
                </w:tcPr>
                <w:p w14:paraId="3EB7F018">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color w:val="auto"/>
                      <w:sz w:val="20"/>
                      <w:szCs w:val="20"/>
                    </w:rPr>
                  </w:pPr>
                  <w:r>
                    <w:rPr>
                      <w:color w:val="auto"/>
                      <w:spacing w:val="5"/>
                      <w:sz w:val="20"/>
                      <w:szCs w:val="20"/>
                      <w14:textOutline w14:w="3795" w14:cap="sq" w14:cmpd="sng">
                        <w14:solidFill>
                          <w14:srgbClr w14:val="000000"/>
                        </w14:solidFill>
                        <w14:prstDash w14:val="solid"/>
                        <w14:bevel/>
                      </w14:textOutline>
                    </w:rPr>
                    <w:t>废水量</w:t>
                  </w:r>
                  <w:r>
                    <w:rPr>
                      <w:color w:val="auto"/>
                      <w:sz w:val="20"/>
                      <w:szCs w:val="20"/>
                      <w14:textOutline w14:w="3795" w14:cap="sq" w14:cmpd="sng">
                        <w14:solidFill>
                          <w14:srgbClr w14:val="000000"/>
                        </w14:solidFill>
                        <w14:prstDash w14:val="solid"/>
                        <w14:bevel/>
                      </w14:textOutline>
                    </w:rPr>
                    <w:t>（</w:t>
                  </w:r>
                  <w:r>
                    <w:rPr>
                      <w:rFonts w:ascii="Times New Roman" w:hAnsi="Times New Roman" w:eastAsia="Times New Roman" w:cs="Times New Roman"/>
                      <w:b/>
                      <w:bCs/>
                      <w:color w:val="auto"/>
                      <w:sz w:val="20"/>
                      <w:szCs w:val="20"/>
                    </w:rPr>
                    <w:t>m</w:t>
                  </w:r>
                  <w:r>
                    <w:rPr>
                      <w:rFonts w:ascii="Times New Roman" w:hAnsi="Times New Roman" w:eastAsia="Times New Roman" w:cs="Times New Roman"/>
                      <w:b/>
                      <w:bCs/>
                      <w:color w:val="auto"/>
                      <w:position w:val="6"/>
                      <w:sz w:val="13"/>
                      <w:szCs w:val="13"/>
                    </w:rPr>
                    <w:t>3</w:t>
                  </w:r>
                  <w:r>
                    <w:rPr>
                      <w:rFonts w:ascii="Times New Roman" w:hAnsi="Times New Roman" w:eastAsia="Times New Roman" w:cs="Times New Roman"/>
                      <w:b/>
                      <w:bCs/>
                      <w:color w:val="auto"/>
                      <w:sz w:val="20"/>
                      <w:szCs w:val="20"/>
                    </w:rPr>
                    <w:t>/a</w:t>
                  </w:r>
                  <w:r>
                    <w:rPr>
                      <w:color w:val="auto"/>
                      <w:sz w:val="20"/>
                      <w:szCs w:val="20"/>
                      <w14:textOutline w14:w="3795" w14:cap="sq" w14:cmpd="sng">
                        <w14:solidFill>
                          <w14:srgbClr w14:val="000000"/>
                        </w14:solidFill>
                        <w14:prstDash w14:val="solid"/>
                        <w14:bevel/>
                      </w14:textOutline>
                    </w:rPr>
                    <w:t>）</w:t>
                  </w:r>
                </w:p>
              </w:tc>
              <w:tc>
                <w:tcPr>
                  <w:tcW w:w="1692" w:type="pct"/>
                  <w:gridSpan w:val="3"/>
                  <w:tcBorders>
                    <w:tl2br w:val="nil"/>
                    <w:tr2bl w:val="nil"/>
                  </w:tcBorders>
                  <w:vAlign w:val="center"/>
                </w:tcPr>
                <w:p w14:paraId="096DCFD3">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color w:val="auto"/>
                      <w:sz w:val="20"/>
                      <w:szCs w:val="20"/>
                    </w:rPr>
                  </w:pPr>
                  <w:r>
                    <w:rPr>
                      <w:color w:val="auto"/>
                      <w:spacing w:val="8"/>
                      <w:sz w:val="20"/>
                      <w:szCs w:val="20"/>
                      <w14:textOutline w14:w="3795" w14:cap="sq" w14:cmpd="sng">
                        <w14:solidFill>
                          <w14:srgbClr w14:val="000000"/>
                        </w14:solidFill>
                        <w14:prstDash w14:val="solid"/>
                        <w14:bevel/>
                      </w14:textOutline>
                    </w:rPr>
                    <w:t>产生情况</w:t>
                  </w:r>
                </w:p>
              </w:tc>
              <w:tc>
                <w:tcPr>
                  <w:tcW w:w="1941" w:type="pct"/>
                  <w:gridSpan w:val="4"/>
                  <w:tcBorders>
                    <w:tl2br w:val="nil"/>
                    <w:tr2bl w:val="nil"/>
                  </w:tcBorders>
                  <w:vAlign w:val="center"/>
                </w:tcPr>
                <w:p w14:paraId="13948425">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color w:val="auto"/>
                      <w:sz w:val="20"/>
                      <w:szCs w:val="20"/>
                    </w:rPr>
                  </w:pPr>
                  <w:r>
                    <w:rPr>
                      <w:color w:val="auto"/>
                      <w:spacing w:val="8"/>
                      <w:sz w:val="20"/>
                      <w:szCs w:val="20"/>
                      <w14:textOutline w14:w="3795" w14:cap="sq" w14:cmpd="sng">
                        <w14:solidFill>
                          <w14:srgbClr w14:val="000000"/>
                        </w14:solidFill>
                        <w14:prstDash w14:val="solid"/>
                        <w14:bevel/>
                      </w14:textOutline>
                    </w:rPr>
                    <w:t>预处理后情况</w:t>
                  </w:r>
                </w:p>
              </w:tc>
              <w:tc>
                <w:tcPr>
                  <w:tcW w:w="385" w:type="pct"/>
                  <w:vMerge w:val="restart"/>
                  <w:tcBorders>
                    <w:tl2br w:val="nil"/>
                    <w:tr2bl w:val="nil"/>
                  </w:tcBorders>
                  <w:vAlign w:val="center"/>
                </w:tcPr>
                <w:p w14:paraId="5966C800">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color w:val="auto"/>
                      <w:sz w:val="20"/>
                      <w:szCs w:val="20"/>
                    </w:rPr>
                  </w:pPr>
                  <w:r>
                    <w:rPr>
                      <w:color w:val="auto"/>
                      <w:spacing w:val="8"/>
                      <w:sz w:val="20"/>
                      <w:szCs w:val="20"/>
                      <w14:textOutline w14:w="3795" w14:cap="sq" w14:cmpd="sng">
                        <w14:solidFill>
                          <w14:srgbClr w14:val="000000"/>
                        </w14:solidFill>
                        <w14:prstDash w14:val="solid"/>
                        <w14:bevel/>
                      </w14:textOutline>
                    </w:rPr>
                    <w:t>排放去向</w:t>
                  </w:r>
                </w:p>
              </w:tc>
            </w:tr>
            <w:tr w14:paraId="1BA8F0C7">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57" w:hRule="atLeast"/>
              </w:trPr>
              <w:tc>
                <w:tcPr>
                  <w:tcW w:w="508" w:type="pct"/>
                  <w:vMerge w:val="continue"/>
                  <w:tcBorders>
                    <w:tl2br w:val="nil"/>
                    <w:tr2bl w:val="nil"/>
                  </w:tcBorders>
                  <w:vAlign w:val="center"/>
                </w:tcPr>
                <w:p w14:paraId="4032B68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472" w:type="pct"/>
                  <w:vMerge w:val="continue"/>
                  <w:tcBorders>
                    <w:tl2br w:val="nil"/>
                    <w:tr2bl w:val="nil"/>
                  </w:tcBorders>
                  <w:vAlign w:val="center"/>
                </w:tcPr>
                <w:p w14:paraId="0A055A1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514" w:type="pct"/>
                  <w:tcBorders>
                    <w:tl2br w:val="nil"/>
                    <w:tr2bl w:val="nil"/>
                  </w:tcBorders>
                  <w:vAlign w:val="center"/>
                </w:tcPr>
                <w:p w14:paraId="37141A04">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color w:val="auto"/>
                      <w:sz w:val="20"/>
                      <w:szCs w:val="20"/>
                    </w:rPr>
                  </w:pPr>
                  <w:r>
                    <w:rPr>
                      <w:color w:val="auto"/>
                      <w:spacing w:val="7"/>
                      <w:sz w:val="20"/>
                      <w:szCs w:val="20"/>
                      <w14:textOutline w14:w="3795" w14:cap="sq" w14:cmpd="sng">
                        <w14:solidFill>
                          <w14:srgbClr w14:val="000000"/>
                        </w14:solidFill>
                        <w14:prstDash w14:val="solid"/>
                        <w14:bevel/>
                      </w14:textOutline>
                    </w:rPr>
                    <w:t>污染物</w:t>
                  </w:r>
                  <w:r>
                    <w:rPr>
                      <w:color w:val="auto"/>
                      <w:spacing w:val="4"/>
                      <w:sz w:val="20"/>
                      <w:szCs w:val="20"/>
                      <w14:textOutline w14:w="3795" w14:cap="sq" w14:cmpd="sng">
                        <w14:solidFill>
                          <w14:srgbClr w14:val="000000"/>
                        </w14:solidFill>
                        <w14:prstDash w14:val="solid"/>
                        <w14:bevel/>
                      </w14:textOutline>
                    </w:rPr>
                    <w:t>名称</w:t>
                  </w:r>
                </w:p>
              </w:tc>
              <w:tc>
                <w:tcPr>
                  <w:tcW w:w="578" w:type="pct"/>
                  <w:tcBorders>
                    <w:tl2br w:val="nil"/>
                    <w:tr2bl w:val="nil"/>
                  </w:tcBorders>
                  <w:vAlign w:val="center"/>
                </w:tcPr>
                <w:p w14:paraId="4DEAF2FE">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color w:val="auto"/>
                      <w:spacing w:val="8"/>
                      <w:sz w:val="20"/>
                      <w:szCs w:val="20"/>
                      <w14:textOutline w14:w="3795" w14:cap="sq" w14:cmpd="sng">
                        <w14:solidFill>
                          <w14:srgbClr w14:val="000000"/>
                        </w14:solidFill>
                        <w14:prstDash w14:val="solid"/>
                        <w14:bevel/>
                      </w14:textOutline>
                    </w:rPr>
                    <w:t>产生浓度</w:t>
                  </w:r>
                  <w:r>
                    <w:rPr>
                      <w:rFonts w:ascii="Times New Roman" w:hAnsi="Times New Roman" w:eastAsia="Times New Roman" w:cs="Times New Roman"/>
                      <w:b/>
                      <w:bCs/>
                      <w:color w:val="auto"/>
                      <w:sz w:val="20"/>
                      <w:szCs w:val="20"/>
                    </w:rPr>
                    <w:t>mg</w:t>
                  </w:r>
                  <w:r>
                    <w:rPr>
                      <w:rFonts w:ascii="Times New Roman" w:hAnsi="Times New Roman" w:eastAsia="Times New Roman" w:cs="Times New Roman"/>
                      <w:b/>
                      <w:bCs/>
                      <w:color w:val="auto"/>
                      <w:spacing w:val="5"/>
                      <w:sz w:val="20"/>
                      <w:szCs w:val="20"/>
                    </w:rPr>
                    <w:t>/L</w:t>
                  </w:r>
                </w:p>
              </w:tc>
              <w:tc>
                <w:tcPr>
                  <w:tcW w:w="599" w:type="pct"/>
                  <w:tcBorders>
                    <w:tl2br w:val="nil"/>
                    <w:tr2bl w:val="nil"/>
                  </w:tcBorders>
                  <w:vAlign w:val="center"/>
                </w:tcPr>
                <w:p w14:paraId="3E1EAAE7">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color w:val="auto"/>
                      <w:spacing w:val="7"/>
                      <w:sz w:val="20"/>
                      <w:szCs w:val="20"/>
                      <w14:textOutline w14:w="3795" w14:cap="sq" w14:cmpd="sng">
                        <w14:solidFill>
                          <w14:srgbClr w14:val="000000"/>
                        </w14:solidFill>
                        <w14:prstDash w14:val="solid"/>
                        <w14:bevel/>
                      </w14:textOutline>
                    </w:rPr>
                    <w:t>产生量</w:t>
                  </w:r>
                  <w:r>
                    <w:rPr>
                      <w:rFonts w:ascii="Times New Roman" w:hAnsi="Times New Roman" w:eastAsia="Times New Roman" w:cs="Times New Roman"/>
                      <w:b/>
                      <w:bCs/>
                      <w:color w:val="auto"/>
                      <w:spacing w:val="1"/>
                      <w:sz w:val="20"/>
                      <w:szCs w:val="20"/>
                    </w:rPr>
                    <w:t>t/a</w:t>
                  </w:r>
                </w:p>
              </w:tc>
              <w:tc>
                <w:tcPr>
                  <w:tcW w:w="455" w:type="pct"/>
                  <w:tcBorders>
                    <w:tl2br w:val="nil"/>
                    <w:tr2bl w:val="nil"/>
                  </w:tcBorders>
                  <w:vAlign w:val="center"/>
                </w:tcPr>
                <w:p w14:paraId="2E5D9F15">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color w:val="auto"/>
                      <w:sz w:val="20"/>
                      <w:szCs w:val="20"/>
                    </w:rPr>
                  </w:pPr>
                  <w:r>
                    <w:rPr>
                      <w:color w:val="auto"/>
                      <w:spacing w:val="3"/>
                      <w:sz w:val="20"/>
                      <w:szCs w:val="20"/>
                      <w14:textOutline w14:w="3795" w14:cap="sq" w14:cmpd="sng">
                        <w14:solidFill>
                          <w14:srgbClr w14:val="000000"/>
                        </w14:solidFill>
                        <w14:prstDash w14:val="solid"/>
                        <w14:bevel/>
                      </w14:textOutline>
                    </w:rPr>
                    <w:t>处理</w:t>
                  </w:r>
                  <w:r>
                    <w:rPr>
                      <w:color w:val="auto"/>
                      <w:spacing w:val="6"/>
                      <w:sz w:val="20"/>
                      <w:szCs w:val="20"/>
                      <w14:textOutline w14:w="3795" w14:cap="sq" w14:cmpd="sng">
                        <w14:solidFill>
                          <w14:srgbClr w14:val="000000"/>
                        </w14:solidFill>
                        <w14:prstDash w14:val="solid"/>
                        <w14:bevel/>
                      </w14:textOutline>
                    </w:rPr>
                    <w:t>措施</w:t>
                  </w:r>
                </w:p>
              </w:tc>
              <w:tc>
                <w:tcPr>
                  <w:tcW w:w="458" w:type="pct"/>
                  <w:tcBorders>
                    <w:tl2br w:val="nil"/>
                    <w:tr2bl w:val="nil"/>
                  </w:tcBorders>
                  <w:vAlign w:val="center"/>
                </w:tcPr>
                <w:p w14:paraId="36E3175E">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color w:val="auto"/>
                      <w:sz w:val="20"/>
                      <w:szCs w:val="20"/>
                    </w:rPr>
                  </w:pPr>
                  <w:r>
                    <w:rPr>
                      <w:color w:val="auto"/>
                      <w:spacing w:val="7"/>
                      <w:sz w:val="20"/>
                      <w:szCs w:val="20"/>
                      <w14:textOutline w14:w="3795" w14:cap="sq" w14:cmpd="sng">
                        <w14:solidFill>
                          <w14:srgbClr w14:val="000000"/>
                        </w14:solidFill>
                        <w14:prstDash w14:val="solid"/>
                        <w14:bevel/>
                      </w14:textOutline>
                    </w:rPr>
                    <w:t>污染物</w:t>
                  </w:r>
                  <w:r>
                    <w:rPr>
                      <w:color w:val="auto"/>
                      <w:spacing w:val="4"/>
                      <w:sz w:val="20"/>
                      <w:szCs w:val="20"/>
                      <w14:textOutline w14:w="3795" w14:cap="sq" w14:cmpd="sng">
                        <w14:solidFill>
                          <w14:srgbClr w14:val="000000"/>
                        </w14:solidFill>
                        <w14:prstDash w14:val="solid"/>
                        <w14:bevel/>
                      </w14:textOutline>
                    </w:rPr>
                    <w:t>名称</w:t>
                  </w:r>
                </w:p>
              </w:tc>
              <w:tc>
                <w:tcPr>
                  <w:tcW w:w="497" w:type="pct"/>
                  <w:tcBorders>
                    <w:tl2br w:val="nil"/>
                    <w:tr2bl w:val="nil"/>
                  </w:tcBorders>
                  <w:vAlign w:val="center"/>
                </w:tcPr>
                <w:p w14:paraId="0B256904">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color w:val="auto"/>
                      <w:spacing w:val="8"/>
                      <w:sz w:val="20"/>
                      <w:szCs w:val="20"/>
                      <w14:textOutline w14:w="3795" w14:cap="sq" w14:cmpd="sng">
                        <w14:solidFill>
                          <w14:srgbClr w14:val="000000"/>
                        </w14:solidFill>
                        <w14:prstDash w14:val="solid"/>
                        <w14:bevel/>
                      </w14:textOutline>
                    </w:rPr>
                    <w:t>接管浓度</w:t>
                  </w:r>
                  <w:r>
                    <w:rPr>
                      <w:rFonts w:ascii="Times New Roman" w:hAnsi="Times New Roman" w:eastAsia="Times New Roman" w:cs="Times New Roman"/>
                      <w:b/>
                      <w:bCs/>
                      <w:color w:val="auto"/>
                      <w:sz w:val="20"/>
                      <w:szCs w:val="20"/>
                    </w:rPr>
                    <w:t>mg</w:t>
                  </w:r>
                  <w:r>
                    <w:rPr>
                      <w:rFonts w:ascii="Times New Roman" w:hAnsi="Times New Roman" w:eastAsia="Times New Roman" w:cs="Times New Roman"/>
                      <w:b/>
                      <w:bCs/>
                      <w:color w:val="auto"/>
                      <w:spacing w:val="5"/>
                      <w:sz w:val="20"/>
                      <w:szCs w:val="20"/>
                    </w:rPr>
                    <w:t>/L</w:t>
                  </w:r>
                </w:p>
              </w:tc>
              <w:tc>
                <w:tcPr>
                  <w:tcW w:w="529" w:type="pct"/>
                  <w:tcBorders>
                    <w:tl2br w:val="nil"/>
                    <w:tr2bl w:val="nil"/>
                  </w:tcBorders>
                  <w:vAlign w:val="center"/>
                </w:tcPr>
                <w:p w14:paraId="39EEACEF">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color w:val="auto"/>
                      <w:spacing w:val="8"/>
                      <w:sz w:val="20"/>
                      <w:szCs w:val="20"/>
                      <w14:textOutline w14:w="3795" w14:cap="sq" w14:cmpd="sng">
                        <w14:solidFill>
                          <w14:srgbClr w14:val="000000"/>
                        </w14:solidFill>
                        <w14:prstDash w14:val="solid"/>
                        <w14:bevel/>
                      </w14:textOutline>
                    </w:rPr>
                    <w:t>接管量</w:t>
                  </w:r>
                  <w:r>
                    <w:rPr>
                      <w:rFonts w:ascii="Times New Roman" w:hAnsi="Times New Roman" w:eastAsia="Times New Roman" w:cs="Times New Roman"/>
                      <w:b/>
                      <w:bCs/>
                      <w:color w:val="auto"/>
                      <w:spacing w:val="1"/>
                      <w:sz w:val="20"/>
                      <w:szCs w:val="20"/>
                    </w:rPr>
                    <w:t>t/a</w:t>
                  </w:r>
                </w:p>
              </w:tc>
              <w:tc>
                <w:tcPr>
                  <w:tcW w:w="385" w:type="pct"/>
                  <w:vMerge w:val="continue"/>
                  <w:tcBorders>
                    <w:tl2br w:val="nil"/>
                    <w:tr2bl w:val="nil"/>
                  </w:tcBorders>
                  <w:vAlign w:val="center"/>
                </w:tcPr>
                <w:p w14:paraId="3C82A2C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r>
            <w:tr w14:paraId="12B4006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508" w:type="pct"/>
                  <w:vMerge w:val="restart"/>
                  <w:tcBorders>
                    <w:tl2br w:val="nil"/>
                    <w:tr2bl w:val="nil"/>
                  </w:tcBorders>
                  <w:vAlign w:val="center"/>
                </w:tcPr>
                <w:p w14:paraId="6D004CC5">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color w:val="auto"/>
                      <w:sz w:val="20"/>
                      <w:szCs w:val="20"/>
                    </w:rPr>
                  </w:pPr>
                  <w:r>
                    <w:rPr>
                      <w:color w:val="auto"/>
                      <w:spacing w:val="3"/>
                      <w:sz w:val="20"/>
                      <w:szCs w:val="20"/>
                    </w:rPr>
                    <w:t>生活污水</w:t>
                  </w:r>
                </w:p>
              </w:tc>
              <w:tc>
                <w:tcPr>
                  <w:tcW w:w="472" w:type="pct"/>
                  <w:vMerge w:val="restart"/>
                  <w:tcBorders>
                    <w:tl2br w:val="nil"/>
                    <w:tr2bl w:val="nil"/>
                  </w:tcBorders>
                  <w:vAlign w:val="center"/>
                </w:tcPr>
                <w:p w14:paraId="6A89485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384</w:t>
                  </w:r>
                </w:p>
              </w:tc>
              <w:tc>
                <w:tcPr>
                  <w:tcW w:w="514" w:type="pct"/>
                  <w:tcBorders>
                    <w:tl2br w:val="nil"/>
                    <w:tr2bl w:val="nil"/>
                  </w:tcBorders>
                  <w:vAlign w:val="center"/>
                </w:tcPr>
                <w:p w14:paraId="4B7F9D3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3"/>
                      <w:sz w:val="20"/>
                      <w:szCs w:val="20"/>
                    </w:rPr>
                    <w:t>COD</w:t>
                  </w:r>
                </w:p>
              </w:tc>
              <w:tc>
                <w:tcPr>
                  <w:tcW w:w="578" w:type="pct"/>
                  <w:tcBorders>
                    <w:tl2br w:val="nil"/>
                    <w:tr2bl w:val="nil"/>
                  </w:tcBorders>
                  <w:vAlign w:val="center"/>
                </w:tcPr>
                <w:p w14:paraId="3550B9C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400</w:t>
                  </w:r>
                </w:p>
              </w:tc>
              <w:tc>
                <w:tcPr>
                  <w:tcW w:w="599" w:type="pct"/>
                  <w:tcBorders>
                    <w:tl2br w:val="nil"/>
                    <w:tr2bl w:val="nil"/>
                  </w:tcBorders>
                  <w:vAlign w:val="center"/>
                </w:tcPr>
                <w:p w14:paraId="406CD12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0.15</w:t>
                  </w:r>
                  <w:r>
                    <w:rPr>
                      <w:rFonts w:hint="eastAsia" w:ascii="Times New Roman" w:hAnsi="Times New Roman" w:eastAsia="宋体" w:cs="Times New Roman"/>
                      <w:i w:val="0"/>
                      <w:iCs w:val="0"/>
                      <w:color w:val="auto"/>
                      <w:kern w:val="0"/>
                      <w:sz w:val="21"/>
                      <w:szCs w:val="21"/>
                      <w:u w:val="none"/>
                      <w:lang w:val="en-US" w:eastAsia="zh-CN" w:bidi="ar"/>
                    </w:rPr>
                    <w:t>4</w:t>
                  </w:r>
                </w:p>
              </w:tc>
              <w:tc>
                <w:tcPr>
                  <w:tcW w:w="455" w:type="pct"/>
                  <w:vMerge w:val="restart"/>
                  <w:tcBorders>
                    <w:tl2br w:val="nil"/>
                    <w:tr2bl w:val="nil"/>
                  </w:tcBorders>
                  <w:vAlign w:val="center"/>
                </w:tcPr>
                <w:p w14:paraId="414C3A5C">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Times New Roman" w:hAnsi="Times New Roman" w:eastAsia="宋体" w:cs="Times New Roman"/>
                      <w:color w:val="auto"/>
                      <w:sz w:val="20"/>
                      <w:szCs w:val="20"/>
                      <w:lang w:eastAsia="zh-CN"/>
                    </w:rPr>
                  </w:pPr>
                  <w:r>
                    <w:rPr>
                      <w:rFonts w:hint="eastAsia" w:ascii="Times New Roman" w:hAnsi="Times New Roman" w:eastAsia="宋体" w:cs="Times New Roman"/>
                      <w:color w:val="auto"/>
                      <w:spacing w:val="2"/>
                      <w:sz w:val="20"/>
                      <w:szCs w:val="20"/>
                      <w:lang w:val="en-US" w:eastAsia="zh-CN"/>
                    </w:rPr>
                    <w:t>化粪池</w:t>
                  </w:r>
                </w:p>
              </w:tc>
              <w:tc>
                <w:tcPr>
                  <w:tcW w:w="458" w:type="pct"/>
                  <w:tcBorders>
                    <w:tl2br w:val="nil"/>
                    <w:tr2bl w:val="nil"/>
                  </w:tcBorders>
                  <w:vAlign w:val="center"/>
                </w:tcPr>
                <w:p w14:paraId="2A75094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3"/>
                      <w:sz w:val="20"/>
                      <w:szCs w:val="20"/>
                    </w:rPr>
                    <w:t>COD</w:t>
                  </w:r>
                </w:p>
              </w:tc>
              <w:tc>
                <w:tcPr>
                  <w:tcW w:w="497" w:type="pct"/>
                  <w:tcBorders>
                    <w:tl2br w:val="nil"/>
                    <w:tr2bl w:val="nil"/>
                  </w:tcBorders>
                  <w:vAlign w:val="center"/>
                </w:tcPr>
                <w:p w14:paraId="0557D2C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4"/>
                      <w:sz w:val="20"/>
                      <w:szCs w:val="20"/>
                    </w:rPr>
                    <w:t>400</w:t>
                  </w:r>
                </w:p>
              </w:tc>
              <w:tc>
                <w:tcPr>
                  <w:tcW w:w="529" w:type="pct"/>
                  <w:tcBorders>
                    <w:tl2br w:val="nil"/>
                    <w:tr2bl w:val="nil"/>
                  </w:tcBorders>
                  <w:shd w:val="clear" w:color="auto" w:fill="auto"/>
                  <w:vAlign w:val="center"/>
                </w:tcPr>
                <w:p w14:paraId="27660FA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0.15</w:t>
                  </w:r>
                  <w:r>
                    <w:rPr>
                      <w:rFonts w:hint="eastAsia" w:ascii="Times New Roman" w:hAnsi="Times New Roman" w:eastAsia="宋体" w:cs="Times New Roman"/>
                      <w:i w:val="0"/>
                      <w:iCs w:val="0"/>
                      <w:color w:val="auto"/>
                      <w:kern w:val="0"/>
                      <w:sz w:val="21"/>
                      <w:szCs w:val="21"/>
                      <w:u w:val="none"/>
                      <w:lang w:val="en-US" w:eastAsia="zh-CN" w:bidi="ar"/>
                    </w:rPr>
                    <w:t>4</w:t>
                  </w:r>
                </w:p>
              </w:tc>
              <w:tc>
                <w:tcPr>
                  <w:tcW w:w="385" w:type="pct"/>
                  <w:vMerge w:val="restart"/>
                  <w:tcBorders>
                    <w:tl2br w:val="nil"/>
                    <w:tr2bl w:val="nil"/>
                  </w:tcBorders>
                  <w:vAlign w:val="center"/>
                </w:tcPr>
                <w:p w14:paraId="20026A4C">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color w:val="auto"/>
                      <w:sz w:val="20"/>
                      <w:szCs w:val="20"/>
                    </w:rPr>
                  </w:pPr>
                  <w:r>
                    <w:rPr>
                      <w:color w:val="auto"/>
                      <w:spacing w:val="7"/>
                      <w:sz w:val="20"/>
                      <w:szCs w:val="20"/>
                    </w:rPr>
                    <w:t>接管至金坛第二污水处理厂</w:t>
                  </w:r>
                </w:p>
              </w:tc>
            </w:tr>
            <w:tr w14:paraId="364EEE1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508" w:type="pct"/>
                  <w:vMerge w:val="continue"/>
                  <w:tcBorders>
                    <w:tl2br w:val="nil"/>
                    <w:tr2bl w:val="nil"/>
                  </w:tcBorders>
                  <w:vAlign w:val="center"/>
                </w:tcPr>
                <w:p w14:paraId="3237864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472" w:type="pct"/>
                  <w:vMerge w:val="continue"/>
                  <w:tcBorders>
                    <w:tl2br w:val="nil"/>
                    <w:tr2bl w:val="nil"/>
                  </w:tcBorders>
                  <w:vAlign w:val="center"/>
                </w:tcPr>
                <w:p w14:paraId="4D64880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514" w:type="pct"/>
                  <w:tcBorders>
                    <w:tl2br w:val="nil"/>
                    <w:tr2bl w:val="nil"/>
                  </w:tcBorders>
                  <w:vAlign w:val="center"/>
                </w:tcPr>
                <w:p w14:paraId="289BC6B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3"/>
                      <w:sz w:val="20"/>
                      <w:szCs w:val="20"/>
                    </w:rPr>
                    <w:t>SS</w:t>
                  </w:r>
                </w:p>
              </w:tc>
              <w:tc>
                <w:tcPr>
                  <w:tcW w:w="578" w:type="pct"/>
                  <w:tcBorders>
                    <w:tl2br w:val="nil"/>
                    <w:tr2bl w:val="nil"/>
                  </w:tcBorders>
                  <w:vAlign w:val="center"/>
                </w:tcPr>
                <w:p w14:paraId="3AAFDD5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200</w:t>
                  </w:r>
                </w:p>
              </w:tc>
              <w:tc>
                <w:tcPr>
                  <w:tcW w:w="599" w:type="pct"/>
                  <w:tcBorders>
                    <w:tl2br w:val="nil"/>
                    <w:tr2bl w:val="nil"/>
                  </w:tcBorders>
                  <w:vAlign w:val="center"/>
                </w:tcPr>
                <w:p w14:paraId="59E4F85D">
                  <w:pPr>
                    <w:keepNext w:val="0"/>
                    <w:keepLines w:val="0"/>
                    <w:widowControl/>
                    <w:suppressLineNumbers w:val="0"/>
                    <w:jc w:val="center"/>
                    <w:textAlignment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0.07</w:t>
                  </w:r>
                  <w:r>
                    <w:rPr>
                      <w:rFonts w:hint="eastAsia" w:ascii="Times New Roman" w:hAnsi="Times New Roman" w:eastAsia="宋体" w:cs="Times New Roman"/>
                      <w:i w:val="0"/>
                      <w:iCs w:val="0"/>
                      <w:color w:val="auto"/>
                      <w:kern w:val="0"/>
                      <w:sz w:val="21"/>
                      <w:szCs w:val="21"/>
                      <w:u w:val="none"/>
                      <w:lang w:val="en-US" w:eastAsia="zh-CN" w:bidi="ar"/>
                    </w:rPr>
                    <w:t>7</w:t>
                  </w:r>
                </w:p>
              </w:tc>
              <w:tc>
                <w:tcPr>
                  <w:tcW w:w="455" w:type="pct"/>
                  <w:vMerge w:val="continue"/>
                  <w:tcBorders>
                    <w:tl2br w:val="nil"/>
                    <w:tr2bl w:val="nil"/>
                  </w:tcBorders>
                  <w:vAlign w:val="center"/>
                </w:tcPr>
                <w:p w14:paraId="07F632A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458" w:type="pct"/>
                  <w:tcBorders>
                    <w:tl2br w:val="nil"/>
                    <w:tr2bl w:val="nil"/>
                  </w:tcBorders>
                  <w:vAlign w:val="center"/>
                </w:tcPr>
                <w:p w14:paraId="31F8D7D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3"/>
                      <w:sz w:val="20"/>
                      <w:szCs w:val="20"/>
                    </w:rPr>
                    <w:t>SS</w:t>
                  </w:r>
                </w:p>
              </w:tc>
              <w:tc>
                <w:tcPr>
                  <w:tcW w:w="497" w:type="pct"/>
                  <w:tcBorders>
                    <w:tl2br w:val="nil"/>
                    <w:tr2bl w:val="nil"/>
                  </w:tcBorders>
                  <w:vAlign w:val="center"/>
                </w:tcPr>
                <w:p w14:paraId="2FF8C3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3"/>
                      <w:sz w:val="20"/>
                      <w:szCs w:val="20"/>
                    </w:rPr>
                    <w:t>200</w:t>
                  </w:r>
                </w:p>
              </w:tc>
              <w:tc>
                <w:tcPr>
                  <w:tcW w:w="529" w:type="pct"/>
                  <w:tcBorders>
                    <w:tl2br w:val="nil"/>
                    <w:tr2bl w:val="nil"/>
                  </w:tcBorders>
                  <w:shd w:val="clear" w:color="auto" w:fill="auto"/>
                  <w:vAlign w:val="center"/>
                </w:tcPr>
                <w:p w14:paraId="56220670">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0.07</w:t>
                  </w:r>
                  <w:r>
                    <w:rPr>
                      <w:rFonts w:hint="eastAsia" w:ascii="Times New Roman" w:hAnsi="Times New Roman" w:eastAsia="宋体" w:cs="Times New Roman"/>
                      <w:i w:val="0"/>
                      <w:iCs w:val="0"/>
                      <w:color w:val="auto"/>
                      <w:kern w:val="0"/>
                      <w:sz w:val="21"/>
                      <w:szCs w:val="21"/>
                      <w:u w:val="none"/>
                      <w:lang w:val="en-US" w:eastAsia="zh-CN" w:bidi="ar"/>
                    </w:rPr>
                    <w:t>7</w:t>
                  </w:r>
                </w:p>
              </w:tc>
              <w:tc>
                <w:tcPr>
                  <w:tcW w:w="385" w:type="pct"/>
                  <w:vMerge w:val="continue"/>
                  <w:tcBorders>
                    <w:tl2br w:val="nil"/>
                    <w:tr2bl w:val="nil"/>
                  </w:tcBorders>
                  <w:vAlign w:val="center"/>
                </w:tcPr>
                <w:p w14:paraId="728B209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r>
            <w:tr w14:paraId="3982C27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508" w:type="pct"/>
                  <w:vMerge w:val="continue"/>
                  <w:tcBorders>
                    <w:tl2br w:val="nil"/>
                    <w:tr2bl w:val="nil"/>
                  </w:tcBorders>
                  <w:vAlign w:val="center"/>
                </w:tcPr>
                <w:p w14:paraId="7206F0E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472" w:type="pct"/>
                  <w:vMerge w:val="continue"/>
                  <w:tcBorders>
                    <w:tl2br w:val="nil"/>
                    <w:tr2bl w:val="nil"/>
                  </w:tcBorders>
                  <w:vAlign w:val="center"/>
                </w:tcPr>
                <w:p w14:paraId="10A4CED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514" w:type="pct"/>
                  <w:tcBorders>
                    <w:tl2br w:val="nil"/>
                    <w:tr2bl w:val="nil"/>
                  </w:tcBorders>
                  <w:vAlign w:val="center"/>
                </w:tcPr>
                <w:p w14:paraId="73006A8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NH</w:t>
                  </w:r>
                  <w:r>
                    <w:rPr>
                      <w:rFonts w:ascii="Times New Roman" w:hAnsi="Times New Roman" w:eastAsia="Times New Roman" w:cs="Times New Roman"/>
                      <w:color w:val="auto"/>
                      <w:spacing w:val="9"/>
                      <w:position w:val="-1"/>
                      <w:sz w:val="13"/>
                      <w:szCs w:val="13"/>
                    </w:rPr>
                    <w:t>3</w:t>
                  </w:r>
                  <w:r>
                    <w:rPr>
                      <w:rFonts w:ascii="Times New Roman" w:hAnsi="Times New Roman" w:eastAsia="Times New Roman" w:cs="Times New Roman"/>
                      <w:color w:val="auto"/>
                      <w:spacing w:val="9"/>
                      <w:sz w:val="20"/>
                      <w:szCs w:val="20"/>
                    </w:rPr>
                    <w:t>-N</w:t>
                  </w:r>
                </w:p>
              </w:tc>
              <w:tc>
                <w:tcPr>
                  <w:tcW w:w="578" w:type="pct"/>
                  <w:tcBorders>
                    <w:tl2br w:val="nil"/>
                    <w:tr2bl w:val="nil"/>
                  </w:tcBorders>
                  <w:vAlign w:val="center"/>
                </w:tcPr>
                <w:p w14:paraId="09829D5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30</w:t>
                  </w:r>
                </w:p>
              </w:tc>
              <w:tc>
                <w:tcPr>
                  <w:tcW w:w="599" w:type="pct"/>
                  <w:tcBorders>
                    <w:tl2br w:val="nil"/>
                    <w:tr2bl w:val="nil"/>
                  </w:tcBorders>
                  <w:vAlign w:val="center"/>
                </w:tcPr>
                <w:p w14:paraId="770B84E5">
                  <w:pPr>
                    <w:keepNext w:val="0"/>
                    <w:keepLines w:val="0"/>
                    <w:widowControl/>
                    <w:suppressLineNumbers w:val="0"/>
                    <w:jc w:val="center"/>
                    <w:textAlignment w:val="center"/>
                    <w:rPr>
                      <w:rFonts w:hint="default" w:ascii="Times New Roman" w:hAnsi="Times New Roman" w:eastAsia="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0.01</w:t>
                  </w:r>
                  <w:r>
                    <w:rPr>
                      <w:rFonts w:hint="eastAsia" w:ascii="Times New Roman" w:hAnsi="Times New Roman" w:eastAsia="宋体" w:cs="Times New Roman"/>
                      <w:i w:val="0"/>
                      <w:iCs w:val="0"/>
                      <w:color w:val="auto"/>
                      <w:kern w:val="0"/>
                      <w:sz w:val="21"/>
                      <w:szCs w:val="21"/>
                      <w:u w:val="none"/>
                      <w:lang w:val="en-US" w:eastAsia="zh-CN" w:bidi="ar"/>
                    </w:rPr>
                    <w:t>2</w:t>
                  </w:r>
                </w:p>
              </w:tc>
              <w:tc>
                <w:tcPr>
                  <w:tcW w:w="455" w:type="pct"/>
                  <w:vMerge w:val="continue"/>
                  <w:tcBorders>
                    <w:tl2br w:val="nil"/>
                    <w:tr2bl w:val="nil"/>
                  </w:tcBorders>
                  <w:vAlign w:val="center"/>
                </w:tcPr>
                <w:p w14:paraId="451BEB1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458" w:type="pct"/>
                  <w:tcBorders>
                    <w:tl2br w:val="nil"/>
                    <w:tr2bl w:val="nil"/>
                  </w:tcBorders>
                  <w:vAlign w:val="center"/>
                </w:tcPr>
                <w:p w14:paraId="28237E3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NH</w:t>
                  </w:r>
                  <w:r>
                    <w:rPr>
                      <w:rFonts w:ascii="Times New Roman" w:hAnsi="Times New Roman" w:eastAsia="Times New Roman" w:cs="Times New Roman"/>
                      <w:color w:val="auto"/>
                      <w:spacing w:val="9"/>
                      <w:position w:val="-1"/>
                      <w:sz w:val="13"/>
                      <w:szCs w:val="13"/>
                    </w:rPr>
                    <w:t>3</w:t>
                  </w:r>
                  <w:r>
                    <w:rPr>
                      <w:rFonts w:ascii="Times New Roman" w:hAnsi="Times New Roman" w:eastAsia="Times New Roman" w:cs="Times New Roman"/>
                      <w:color w:val="auto"/>
                      <w:spacing w:val="9"/>
                      <w:sz w:val="20"/>
                      <w:szCs w:val="20"/>
                    </w:rPr>
                    <w:t>-N</w:t>
                  </w:r>
                </w:p>
              </w:tc>
              <w:tc>
                <w:tcPr>
                  <w:tcW w:w="497" w:type="pct"/>
                  <w:tcBorders>
                    <w:tl2br w:val="nil"/>
                    <w:tr2bl w:val="nil"/>
                  </w:tcBorders>
                  <w:shd w:val="clear" w:color="auto" w:fill="auto"/>
                  <w:vAlign w:val="center"/>
                </w:tcPr>
                <w:p w14:paraId="4F919C6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30</w:t>
                  </w:r>
                </w:p>
              </w:tc>
              <w:tc>
                <w:tcPr>
                  <w:tcW w:w="529" w:type="pct"/>
                  <w:tcBorders>
                    <w:tl2br w:val="nil"/>
                    <w:tr2bl w:val="nil"/>
                  </w:tcBorders>
                  <w:shd w:val="clear" w:color="auto" w:fill="auto"/>
                  <w:vAlign w:val="center"/>
                </w:tcPr>
                <w:p w14:paraId="1E884484">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w:t>
                  </w:r>
                  <w:r>
                    <w:rPr>
                      <w:rFonts w:hint="eastAsia" w:ascii="Times New Roman" w:hAnsi="Times New Roman" w:eastAsia="宋体" w:cs="Times New Roman"/>
                      <w:i w:val="0"/>
                      <w:iCs w:val="0"/>
                      <w:color w:val="auto"/>
                      <w:kern w:val="0"/>
                      <w:sz w:val="21"/>
                      <w:szCs w:val="21"/>
                      <w:u w:val="none"/>
                      <w:lang w:val="en-US" w:eastAsia="zh-CN" w:bidi="ar"/>
                    </w:rPr>
                    <w:t>2</w:t>
                  </w:r>
                </w:p>
              </w:tc>
              <w:tc>
                <w:tcPr>
                  <w:tcW w:w="385" w:type="pct"/>
                  <w:vMerge w:val="continue"/>
                  <w:tcBorders>
                    <w:tl2br w:val="nil"/>
                    <w:tr2bl w:val="nil"/>
                  </w:tcBorders>
                  <w:vAlign w:val="center"/>
                </w:tcPr>
                <w:p w14:paraId="544A2D4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r>
            <w:tr w14:paraId="0AE870E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508" w:type="pct"/>
                  <w:vMerge w:val="continue"/>
                  <w:tcBorders>
                    <w:tl2br w:val="nil"/>
                    <w:tr2bl w:val="nil"/>
                  </w:tcBorders>
                  <w:vAlign w:val="center"/>
                </w:tcPr>
                <w:p w14:paraId="5E26A12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472" w:type="pct"/>
                  <w:vMerge w:val="continue"/>
                  <w:tcBorders>
                    <w:tl2br w:val="nil"/>
                    <w:tr2bl w:val="nil"/>
                  </w:tcBorders>
                  <w:vAlign w:val="center"/>
                </w:tcPr>
                <w:p w14:paraId="034DAC3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514" w:type="pct"/>
                  <w:tcBorders>
                    <w:tl2br w:val="nil"/>
                    <w:tr2bl w:val="nil"/>
                  </w:tcBorders>
                  <w:vAlign w:val="center"/>
                </w:tcPr>
                <w:p w14:paraId="3DC5EA9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TP</w:t>
                  </w:r>
                </w:p>
              </w:tc>
              <w:tc>
                <w:tcPr>
                  <w:tcW w:w="578" w:type="pct"/>
                  <w:tcBorders>
                    <w:tl2br w:val="nil"/>
                    <w:tr2bl w:val="nil"/>
                  </w:tcBorders>
                  <w:vAlign w:val="center"/>
                </w:tcPr>
                <w:p w14:paraId="42A6E799">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2</w:t>
                  </w:r>
                </w:p>
              </w:tc>
              <w:tc>
                <w:tcPr>
                  <w:tcW w:w="599" w:type="pct"/>
                  <w:tcBorders>
                    <w:tl2br w:val="nil"/>
                    <w:tr2bl w:val="nil"/>
                  </w:tcBorders>
                  <w:vAlign w:val="center"/>
                </w:tcPr>
                <w:p w14:paraId="6D1409CA">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0.0008</w:t>
                  </w:r>
                </w:p>
              </w:tc>
              <w:tc>
                <w:tcPr>
                  <w:tcW w:w="455" w:type="pct"/>
                  <w:vMerge w:val="continue"/>
                  <w:tcBorders>
                    <w:tl2br w:val="nil"/>
                    <w:tr2bl w:val="nil"/>
                  </w:tcBorders>
                  <w:vAlign w:val="center"/>
                </w:tcPr>
                <w:p w14:paraId="4C46A5C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458" w:type="pct"/>
                  <w:tcBorders>
                    <w:tl2br w:val="nil"/>
                    <w:tr2bl w:val="nil"/>
                  </w:tcBorders>
                  <w:vAlign w:val="center"/>
                </w:tcPr>
                <w:p w14:paraId="06453E3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1"/>
                      <w:sz w:val="20"/>
                      <w:szCs w:val="20"/>
                    </w:rPr>
                    <w:t>TP</w:t>
                  </w:r>
                </w:p>
              </w:tc>
              <w:tc>
                <w:tcPr>
                  <w:tcW w:w="497" w:type="pct"/>
                  <w:tcBorders>
                    <w:tl2br w:val="nil"/>
                    <w:tr2bl w:val="nil"/>
                  </w:tcBorders>
                  <w:shd w:val="clear" w:color="auto" w:fill="auto"/>
                  <w:vAlign w:val="center"/>
                </w:tcPr>
                <w:p w14:paraId="55B9A7A3">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kern w:val="2"/>
                      <w:sz w:val="20"/>
                      <w:szCs w:val="20"/>
                      <w:lang w:val="en-US" w:eastAsia="zh-CN" w:bidi="ar-SA"/>
                    </w:rPr>
                    <w:t>2</w:t>
                  </w:r>
                </w:p>
              </w:tc>
              <w:tc>
                <w:tcPr>
                  <w:tcW w:w="529" w:type="pct"/>
                  <w:tcBorders>
                    <w:tl2br w:val="nil"/>
                    <w:tr2bl w:val="nil"/>
                  </w:tcBorders>
                  <w:shd w:val="clear" w:color="auto" w:fill="auto"/>
                  <w:vAlign w:val="center"/>
                </w:tcPr>
                <w:p w14:paraId="290327F0">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0.0008</w:t>
                  </w:r>
                </w:p>
              </w:tc>
              <w:tc>
                <w:tcPr>
                  <w:tcW w:w="385" w:type="pct"/>
                  <w:vMerge w:val="continue"/>
                  <w:tcBorders>
                    <w:tl2br w:val="nil"/>
                    <w:tr2bl w:val="nil"/>
                  </w:tcBorders>
                  <w:vAlign w:val="center"/>
                </w:tcPr>
                <w:p w14:paraId="48BE9AA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r>
            <w:tr w14:paraId="00B98DE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508" w:type="pct"/>
                  <w:vMerge w:val="continue"/>
                  <w:tcBorders>
                    <w:tl2br w:val="nil"/>
                    <w:tr2bl w:val="nil"/>
                  </w:tcBorders>
                  <w:vAlign w:val="center"/>
                </w:tcPr>
                <w:p w14:paraId="5B50B77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472" w:type="pct"/>
                  <w:vMerge w:val="continue"/>
                  <w:tcBorders>
                    <w:tl2br w:val="nil"/>
                    <w:tr2bl w:val="nil"/>
                  </w:tcBorders>
                  <w:vAlign w:val="center"/>
                </w:tcPr>
                <w:p w14:paraId="6DACAFF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514" w:type="pct"/>
                  <w:tcBorders>
                    <w:tl2br w:val="nil"/>
                    <w:tr2bl w:val="nil"/>
                  </w:tcBorders>
                  <w:vAlign w:val="center"/>
                </w:tcPr>
                <w:p w14:paraId="1365FE83">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sz w:val="20"/>
                      <w:szCs w:val="20"/>
                    </w:rPr>
                    <w:t>TN</w:t>
                  </w:r>
                </w:p>
              </w:tc>
              <w:tc>
                <w:tcPr>
                  <w:tcW w:w="578" w:type="pct"/>
                  <w:tcBorders>
                    <w:tl2br w:val="nil"/>
                    <w:tr2bl w:val="nil"/>
                  </w:tcBorders>
                  <w:shd w:val="clear" w:color="auto" w:fill="auto"/>
                  <w:vAlign w:val="center"/>
                </w:tcPr>
                <w:p w14:paraId="0DF3220D">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40</w:t>
                  </w:r>
                </w:p>
              </w:tc>
              <w:tc>
                <w:tcPr>
                  <w:tcW w:w="599" w:type="pct"/>
                  <w:tcBorders>
                    <w:tl2br w:val="nil"/>
                    <w:tr2bl w:val="nil"/>
                  </w:tcBorders>
                  <w:shd w:val="clear" w:color="auto" w:fill="auto"/>
                  <w:vAlign w:val="center"/>
                </w:tcPr>
                <w:p w14:paraId="04BC4431">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455" w:type="pct"/>
                  <w:vMerge w:val="continue"/>
                  <w:tcBorders>
                    <w:tl2br w:val="nil"/>
                    <w:tr2bl w:val="nil"/>
                  </w:tcBorders>
                  <w:vAlign w:val="center"/>
                </w:tcPr>
                <w:p w14:paraId="6D45750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458" w:type="pct"/>
                  <w:tcBorders>
                    <w:tl2br w:val="nil"/>
                    <w:tr2bl w:val="nil"/>
                  </w:tcBorders>
                  <w:vAlign w:val="center"/>
                </w:tcPr>
                <w:p w14:paraId="219226E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spacing w:val="2"/>
                      <w:sz w:val="20"/>
                      <w:szCs w:val="20"/>
                    </w:rPr>
                    <w:t>TN</w:t>
                  </w:r>
                </w:p>
              </w:tc>
              <w:tc>
                <w:tcPr>
                  <w:tcW w:w="497" w:type="pct"/>
                  <w:tcBorders>
                    <w:tl2br w:val="nil"/>
                    <w:tr2bl w:val="nil"/>
                  </w:tcBorders>
                  <w:shd w:val="clear" w:color="auto" w:fill="auto"/>
                  <w:vAlign w:val="center"/>
                </w:tcPr>
                <w:p w14:paraId="12341B82">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Times New Roman" w:hAnsi="Times New Roman" w:eastAsia="宋体" w:cs="Times New Roman"/>
                      <w:color w:val="auto"/>
                      <w:kern w:val="2"/>
                      <w:sz w:val="20"/>
                      <w:szCs w:val="20"/>
                      <w:lang w:val="en-US" w:eastAsia="zh-CN" w:bidi="ar-SA"/>
                    </w:rPr>
                  </w:pPr>
                  <w:r>
                    <w:rPr>
                      <w:rFonts w:hint="eastAsia" w:ascii="Times New Roman" w:hAnsi="Times New Roman" w:eastAsia="宋体" w:cs="Times New Roman"/>
                      <w:color w:val="auto"/>
                      <w:sz w:val="20"/>
                      <w:szCs w:val="20"/>
                      <w:lang w:val="en-US" w:eastAsia="zh-CN"/>
                    </w:rPr>
                    <w:t>40</w:t>
                  </w:r>
                </w:p>
              </w:tc>
              <w:tc>
                <w:tcPr>
                  <w:tcW w:w="529" w:type="pct"/>
                  <w:tcBorders>
                    <w:tl2br w:val="nil"/>
                    <w:tr2bl w:val="nil"/>
                  </w:tcBorders>
                  <w:shd w:val="clear" w:color="auto" w:fill="auto"/>
                  <w:vAlign w:val="center"/>
                </w:tcPr>
                <w:p w14:paraId="4216FD2B">
                  <w:pPr>
                    <w:keepNext w:val="0"/>
                    <w:keepLines w:val="0"/>
                    <w:widowControl/>
                    <w:suppressLineNumbers w:val="0"/>
                    <w:jc w:val="center"/>
                    <w:textAlignment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0.015</w:t>
                  </w:r>
                </w:p>
              </w:tc>
              <w:tc>
                <w:tcPr>
                  <w:tcW w:w="385" w:type="pct"/>
                  <w:vMerge w:val="continue"/>
                  <w:tcBorders>
                    <w:tl2br w:val="nil"/>
                    <w:tr2bl w:val="nil"/>
                  </w:tcBorders>
                  <w:vAlign w:val="center"/>
                </w:tcPr>
                <w:p w14:paraId="520D0708">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r>
            <w:tr w14:paraId="2814326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508" w:type="pct"/>
                  <w:vMerge w:val="restart"/>
                  <w:tcBorders>
                    <w:tl2br w:val="nil"/>
                    <w:tr2bl w:val="nil"/>
                  </w:tcBorders>
                  <w:shd w:val="clear" w:color="auto" w:fill="auto"/>
                  <w:vAlign w:val="center"/>
                </w:tcPr>
                <w:p w14:paraId="32D626F3">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color w:val="auto"/>
                      <w:sz w:val="20"/>
                      <w:szCs w:val="20"/>
                    </w:rPr>
                  </w:pPr>
                  <w:r>
                    <w:rPr>
                      <w:color w:val="auto"/>
                      <w:spacing w:val="4"/>
                      <w:sz w:val="20"/>
                      <w:szCs w:val="20"/>
                    </w:rPr>
                    <w:t>清洗</w:t>
                  </w:r>
                  <w:r>
                    <w:rPr>
                      <w:color w:val="auto"/>
                      <w:spacing w:val="5"/>
                      <w:sz w:val="20"/>
                      <w:szCs w:val="20"/>
                    </w:rPr>
                    <w:t>废水</w:t>
                  </w:r>
                </w:p>
              </w:tc>
              <w:tc>
                <w:tcPr>
                  <w:tcW w:w="472" w:type="pct"/>
                  <w:vMerge w:val="restart"/>
                  <w:tcBorders>
                    <w:tl2br w:val="nil"/>
                    <w:tr2bl w:val="nil"/>
                  </w:tcBorders>
                  <w:shd w:val="clear" w:color="auto" w:fill="auto"/>
                  <w:vAlign w:val="center"/>
                </w:tcPr>
                <w:p w14:paraId="4D23979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color w:val="auto"/>
                      <w:sz w:val="20"/>
                      <w:szCs w:val="20"/>
                      <w:lang w:val="en-US" w:eastAsia="zh-CN"/>
                    </w:rPr>
                  </w:pPr>
                  <w:r>
                    <w:rPr>
                      <w:rFonts w:hint="eastAsia" w:ascii="Times New Roman" w:hAnsi="Times New Roman" w:eastAsia="宋体" w:cs="Times New Roman"/>
                      <w:color w:val="auto"/>
                      <w:sz w:val="20"/>
                      <w:szCs w:val="20"/>
                      <w:lang w:val="en-US" w:eastAsia="zh-CN"/>
                    </w:rPr>
                    <w:t>199.8</w:t>
                  </w:r>
                </w:p>
              </w:tc>
              <w:tc>
                <w:tcPr>
                  <w:tcW w:w="514" w:type="pct"/>
                  <w:tcBorders>
                    <w:tl2br w:val="nil"/>
                    <w:tr2bl w:val="nil"/>
                  </w:tcBorders>
                  <w:shd w:val="clear" w:color="auto" w:fill="auto"/>
                  <w:vAlign w:val="center"/>
                </w:tcPr>
                <w:p w14:paraId="05AE2D05">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snapToGrid w:val="0"/>
                      <w:color w:val="auto"/>
                      <w:kern w:val="0"/>
                      <w:sz w:val="20"/>
                      <w:szCs w:val="20"/>
                      <w:lang w:val="en-US" w:eastAsia="en-US" w:bidi="ar-SA"/>
                    </w:rPr>
                  </w:pPr>
                  <w:r>
                    <w:rPr>
                      <w:rFonts w:ascii="Times New Roman" w:hAnsi="Times New Roman" w:eastAsia="Times New Roman" w:cs="Times New Roman"/>
                      <w:color w:val="auto"/>
                      <w:spacing w:val="3"/>
                      <w:sz w:val="20"/>
                      <w:szCs w:val="20"/>
                    </w:rPr>
                    <w:t>COD</w:t>
                  </w:r>
                </w:p>
              </w:tc>
              <w:tc>
                <w:tcPr>
                  <w:tcW w:w="578" w:type="pct"/>
                  <w:tcBorders>
                    <w:tl2br w:val="nil"/>
                    <w:tr2bl w:val="nil"/>
                  </w:tcBorders>
                  <w:shd w:val="clear" w:color="auto" w:fill="auto"/>
                  <w:vAlign w:val="center"/>
                </w:tcPr>
                <w:p w14:paraId="25F6185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0"/>
                      <w:szCs w:val="20"/>
                      <w:lang w:val="en-US" w:eastAsia="zh-CN" w:bidi="ar-SA"/>
                    </w:rPr>
                  </w:pPr>
                  <w:r>
                    <w:rPr>
                      <w:rFonts w:hint="eastAsia" w:ascii="Times New Roman" w:hAnsi="Times New Roman" w:eastAsia="宋体" w:cs="Times New Roman"/>
                      <w:snapToGrid w:val="0"/>
                      <w:color w:val="auto"/>
                      <w:kern w:val="0"/>
                      <w:sz w:val="20"/>
                      <w:szCs w:val="20"/>
                      <w:lang w:val="en-US" w:eastAsia="zh-CN" w:bidi="ar-SA"/>
                    </w:rPr>
                    <w:t>100</w:t>
                  </w:r>
                </w:p>
              </w:tc>
              <w:tc>
                <w:tcPr>
                  <w:tcW w:w="599" w:type="pct"/>
                  <w:tcBorders>
                    <w:tl2br w:val="nil"/>
                    <w:tr2bl w:val="nil"/>
                  </w:tcBorders>
                  <w:shd w:val="clear" w:color="auto" w:fill="auto"/>
                  <w:vAlign w:val="center"/>
                </w:tcPr>
                <w:p w14:paraId="21BA1CEF">
                  <w:pPr>
                    <w:keepNext w:val="0"/>
                    <w:keepLines w:val="0"/>
                    <w:widowControl/>
                    <w:suppressLineNumbers w:val="0"/>
                    <w:jc w:val="center"/>
                    <w:textAlignment w:val="center"/>
                    <w:rPr>
                      <w:rFonts w:hint="default" w:ascii="Times New Roman" w:hAnsi="Times New Roman" w:eastAsia="Times New Roman" w:cs="Times New Roman"/>
                      <w:snapToGrid w:val="0"/>
                      <w:color w:val="auto"/>
                      <w:kern w:val="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0.01998</w:t>
                  </w:r>
                </w:p>
              </w:tc>
              <w:tc>
                <w:tcPr>
                  <w:tcW w:w="455" w:type="pct"/>
                  <w:vMerge w:val="restart"/>
                  <w:tcBorders>
                    <w:tl2br w:val="nil"/>
                    <w:tr2bl w:val="nil"/>
                  </w:tcBorders>
                  <w:vAlign w:val="center"/>
                </w:tcPr>
                <w:p w14:paraId="222AE08B">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color w:val="auto"/>
                      <w:sz w:val="20"/>
                      <w:szCs w:val="20"/>
                    </w:rPr>
                  </w:pPr>
                  <w:r>
                    <w:rPr>
                      <w:rFonts w:hint="eastAsia"/>
                      <w:color w:val="auto"/>
                      <w:sz w:val="20"/>
                      <w:szCs w:val="20"/>
                      <w:lang w:val="en-US" w:eastAsia="zh-CN"/>
                    </w:rPr>
                    <w:t>污水处理站</w:t>
                  </w:r>
                </w:p>
              </w:tc>
              <w:tc>
                <w:tcPr>
                  <w:tcW w:w="458" w:type="pct"/>
                  <w:tcBorders>
                    <w:tl2br w:val="nil"/>
                    <w:tr2bl w:val="nil"/>
                  </w:tcBorders>
                  <w:vAlign w:val="center"/>
                </w:tcPr>
                <w:p w14:paraId="525C7820">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position w:val="-2"/>
                      <w:sz w:val="20"/>
                      <w:szCs w:val="20"/>
                    </w:rPr>
                    <w:t>-</w:t>
                  </w:r>
                </w:p>
              </w:tc>
              <w:tc>
                <w:tcPr>
                  <w:tcW w:w="497" w:type="pct"/>
                  <w:tcBorders>
                    <w:tl2br w:val="nil"/>
                    <w:tr2bl w:val="nil"/>
                  </w:tcBorders>
                  <w:vAlign w:val="center"/>
                </w:tcPr>
                <w:p w14:paraId="59FF5C72">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position w:val="-2"/>
                      <w:sz w:val="20"/>
                      <w:szCs w:val="20"/>
                    </w:rPr>
                    <w:t>-</w:t>
                  </w:r>
                </w:p>
              </w:tc>
              <w:tc>
                <w:tcPr>
                  <w:tcW w:w="529" w:type="pct"/>
                  <w:tcBorders>
                    <w:tl2br w:val="nil"/>
                    <w:tr2bl w:val="nil"/>
                  </w:tcBorders>
                  <w:vAlign w:val="center"/>
                </w:tcPr>
                <w:p w14:paraId="0D902DE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position w:val="-2"/>
                      <w:sz w:val="20"/>
                      <w:szCs w:val="20"/>
                    </w:rPr>
                    <w:t>-</w:t>
                  </w:r>
                </w:p>
              </w:tc>
              <w:tc>
                <w:tcPr>
                  <w:tcW w:w="385" w:type="pct"/>
                  <w:vMerge w:val="restart"/>
                  <w:tcBorders>
                    <w:tl2br w:val="nil"/>
                    <w:tr2bl w:val="nil"/>
                  </w:tcBorders>
                  <w:vAlign w:val="center"/>
                </w:tcPr>
                <w:p w14:paraId="132AF703">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color w:val="auto"/>
                      <w:sz w:val="20"/>
                      <w:szCs w:val="20"/>
                    </w:rPr>
                  </w:pPr>
                  <w:r>
                    <w:rPr>
                      <w:color w:val="auto"/>
                      <w:spacing w:val="7"/>
                      <w:sz w:val="20"/>
                      <w:szCs w:val="20"/>
                    </w:rPr>
                    <w:t>全部回用</w:t>
                  </w:r>
                </w:p>
              </w:tc>
            </w:tr>
            <w:tr w14:paraId="02929DF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88" w:hRule="atLeast"/>
              </w:trPr>
              <w:tc>
                <w:tcPr>
                  <w:tcW w:w="508" w:type="pct"/>
                  <w:vMerge w:val="continue"/>
                  <w:tcBorders>
                    <w:tl2br w:val="nil"/>
                    <w:tr2bl w:val="nil"/>
                  </w:tcBorders>
                  <w:vAlign w:val="center"/>
                </w:tcPr>
                <w:p w14:paraId="1BC29384">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472" w:type="pct"/>
                  <w:vMerge w:val="continue"/>
                  <w:tcBorders>
                    <w:tl2br w:val="nil"/>
                    <w:tr2bl w:val="nil"/>
                  </w:tcBorders>
                  <w:vAlign w:val="center"/>
                </w:tcPr>
                <w:p w14:paraId="2121A02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514" w:type="pct"/>
                  <w:tcBorders>
                    <w:tl2br w:val="nil"/>
                    <w:tr2bl w:val="nil"/>
                  </w:tcBorders>
                  <w:shd w:val="clear" w:color="auto" w:fill="auto"/>
                  <w:vAlign w:val="center"/>
                </w:tcPr>
                <w:p w14:paraId="504F92A4">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Times New Roman" w:hAnsi="Times New Roman" w:eastAsia="Times New Roman" w:cs="Times New Roman"/>
                      <w:snapToGrid w:val="0"/>
                      <w:color w:val="auto"/>
                      <w:kern w:val="0"/>
                      <w:sz w:val="20"/>
                      <w:szCs w:val="20"/>
                      <w:lang w:val="en-US" w:eastAsia="en-US" w:bidi="ar-SA"/>
                    </w:rPr>
                  </w:pPr>
                  <w:r>
                    <w:rPr>
                      <w:rFonts w:ascii="Times New Roman" w:hAnsi="Times New Roman" w:eastAsia="Times New Roman" w:cs="Times New Roman"/>
                      <w:color w:val="auto"/>
                      <w:spacing w:val="-3"/>
                      <w:sz w:val="20"/>
                      <w:szCs w:val="20"/>
                    </w:rPr>
                    <w:t>SS</w:t>
                  </w:r>
                </w:p>
              </w:tc>
              <w:tc>
                <w:tcPr>
                  <w:tcW w:w="578" w:type="pct"/>
                  <w:tcBorders>
                    <w:tl2br w:val="nil"/>
                    <w:tr2bl w:val="nil"/>
                  </w:tcBorders>
                  <w:shd w:val="clear" w:color="auto" w:fill="auto"/>
                  <w:vAlign w:val="center"/>
                </w:tcPr>
                <w:p w14:paraId="0F4B7AF6">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0"/>
                      <w:szCs w:val="20"/>
                      <w:lang w:val="en-US" w:eastAsia="zh-CN" w:bidi="ar-SA"/>
                    </w:rPr>
                  </w:pPr>
                  <w:r>
                    <w:rPr>
                      <w:rFonts w:hint="eastAsia" w:ascii="Times New Roman" w:hAnsi="Times New Roman" w:eastAsia="宋体" w:cs="Times New Roman"/>
                      <w:snapToGrid w:val="0"/>
                      <w:color w:val="auto"/>
                      <w:kern w:val="0"/>
                      <w:sz w:val="20"/>
                      <w:szCs w:val="20"/>
                      <w:lang w:val="en-US" w:eastAsia="zh-CN" w:bidi="ar-SA"/>
                    </w:rPr>
                    <w:t>200</w:t>
                  </w:r>
                </w:p>
              </w:tc>
              <w:tc>
                <w:tcPr>
                  <w:tcW w:w="599" w:type="pct"/>
                  <w:tcBorders>
                    <w:tl2br w:val="nil"/>
                    <w:tr2bl w:val="nil"/>
                  </w:tcBorders>
                  <w:shd w:val="clear" w:color="auto" w:fill="auto"/>
                  <w:vAlign w:val="center"/>
                </w:tcPr>
                <w:p w14:paraId="13DE3E7F">
                  <w:pPr>
                    <w:keepNext w:val="0"/>
                    <w:keepLines w:val="0"/>
                    <w:widowControl/>
                    <w:suppressLineNumbers w:val="0"/>
                    <w:jc w:val="center"/>
                    <w:textAlignment w:val="center"/>
                    <w:rPr>
                      <w:rFonts w:hint="default" w:ascii="Times New Roman" w:hAnsi="Times New Roman" w:eastAsia="Times New Roman" w:cs="Times New Roman"/>
                      <w:snapToGrid w:val="0"/>
                      <w:color w:val="auto"/>
                      <w:kern w:val="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0.03996</w:t>
                  </w:r>
                </w:p>
              </w:tc>
              <w:tc>
                <w:tcPr>
                  <w:tcW w:w="455" w:type="pct"/>
                  <w:vMerge w:val="continue"/>
                  <w:tcBorders>
                    <w:tl2br w:val="nil"/>
                    <w:tr2bl w:val="nil"/>
                  </w:tcBorders>
                  <w:vAlign w:val="center"/>
                </w:tcPr>
                <w:p w14:paraId="409A1FDD">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458" w:type="pct"/>
                  <w:tcBorders>
                    <w:tl2br w:val="nil"/>
                    <w:tr2bl w:val="nil"/>
                  </w:tcBorders>
                  <w:vAlign w:val="center"/>
                </w:tcPr>
                <w:p w14:paraId="6C0B5721">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position w:val="-2"/>
                      <w:sz w:val="20"/>
                      <w:szCs w:val="20"/>
                    </w:rPr>
                    <w:t>-</w:t>
                  </w:r>
                </w:p>
              </w:tc>
              <w:tc>
                <w:tcPr>
                  <w:tcW w:w="497" w:type="pct"/>
                  <w:tcBorders>
                    <w:tl2br w:val="nil"/>
                    <w:tr2bl w:val="nil"/>
                  </w:tcBorders>
                  <w:vAlign w:val="center"/>
                </w:tcPr>
                <w:p w14:paraId="5F93A167">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position w:val="-2"/>
                      <w:sz w:val="20"/>
                      <w:szCs w:val="20"/>
                    </w:rPr>
                    <w:t>-</w:t>
                  </w:r>
                </w:p>
              </w:tc>
              <w:tc>
                <w:tcPr>
                  <w:tcW w:w="529" w:type="pct"/>
                  <w:tcBorders>
                    <w:tl2br w:val="nil"/>
                    <w:tr2bl w:val="nil"/>
                  </w:tcBorders>
                  <w:vAlign w:val="center"/>
                </w:tcPr>
                <w:p w14:paraId="46E984F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position w:val="-2"/>
                      <w:sz w:val="20"/>
                      <w:szCs w:val="20"/>
                    </w:rPr>
                    <w:t>-</w:t>
                  </w:r>
                </w:p>
              </w:tc>
              <w:tc>
                <w:tcPr>
                  <w:tcW w:w="385" w:type="pct"/>
                  <w:vMerge w:val="continue"/>
                  <w:tcBorders>
                    <w:tl2br w:val="nil"/>
                    <w:tr2bl w:val="nil"/>
                  </w:tcBorders>
                  <w:vAlign w:val="center"/>
                </w:tcPr>
                <w:p w14:paraId="7E790D1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r>
            <w:tr w14:paraId="6877F7C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508" w:type="pct"/>
                  <w:vMerge w:val="continue"/>
                  <w:tcBorders>
                    <w:tl2br w:val="nil"/>
                    <w:tr2bl w:val="nil"/>
                  </w:tcBorders>
                  <w:vAlign w:val="center"/>
                </w:tcPr>
                <w:p w14:paraId="222C6E85">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472" w:type="pct"/>
                  <w:vMerge w:val="continue"/>
                  <w:tcBorders>
                    <w:tl2br w:val="nil"/>
                    <w:tr2bl w:val="nil"/>
                  </w:tcBorders>
                  <w:vAlign w:val="center"/>
                </w:tcPr>
                <w:p w14:paraId="4B1AAAF6">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514" w:type="pct"/>
                  <w:tcBorders>
                    <w:tl2br w:val="nil"/>
                    <w:tr2bl w:val="nil"/>
                  </w:tcBorders>
                  <w:shd w:val="clear" w:color="auto" w:fill="auto"/>
                  <w:vAlign w:val="center"/>
                </w:tcPr>
                <w:p w14:paraId="1BDE0F3C">
                  <w:pPr>
                    <w:pStyle w:val="74"/>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auto"/>
                      <w:kern w:val="0"/>
                      <w:sz w:val="20"/>
                      <w:szCs w:val="20"/>
                      <w:lang w:val="en-US" w:eastAsia="en-US" w:bidi="ar-SA"/>
                    </w:rPr>
                  </w:pPr>
                  <w:r>
                    <w:rPr>
                      <w:color w:val="auto"/>
                      <w:spacing w:val="6"/>
                      <w:sz w:val="20"/>
                      <w:szCs w:val="20"/>
                    </w:rPr>
                    <w:t>溶解性</w:t>
                  </w:r>
                  <w:r>
                    <w:rPr>
                      <w:color w:val="auto"/>
                      <w:spacing w:val="5"/>
                      <w:sz w:val="20"/>
                      <w:szCs w:val="20"/>
                    </w:rPr>
                    <w:t>总固体</w:t>
                  </w:r>
                </w:p>
              </w:tc>
              <w:tc>
                <w:tcPr>
                  <w:tcW w:w="578" w:type="pct"/>
                  <w:tcBorders>
                    <w:tl2br w:val="nil"/>
                    <w:tr2bl w:val="nil"/>
                  </w:tcBorders>
                  <w:shd w:val="clear" w:color="auto" w:fill="auto"/>
                  <w:vAlign w:val="center"/>
                </w:tcPr>
                <w:p w14:paraId="34AE843C">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default" w:ascii="Times New Roman" w:hAnsi="Times New Roman" w:eastAsia="宋体" w:cs="Times New Roman"/>
                      <w:snapToGrid w:val="0"/>
                      <w:color w:val="auto"/>
                      <w:kern w:val="0"/>
                      <w:sz w:val="20"/>
                      <w:szCs w:val="20"/>
                      <w:lang w:val="en-US" w:eastAsia="zh-CN" w:bidi="ar-SA"/>
                    </w:rPr>
                  </w:pPr>
                  <w:r>
                    <w:rPr>
                      <w:rFonts w:hint="eastAsia" w:ascii="Times New Roman" w:hAnsi="Times New Roman" w:eastAsia="宋体" w:cs="Times New Roman"/>
                      <w:snapToGrid w:val="0"/>
                      <w:color w:val="auto"/>
                      <w:kern w:val="0"/>
                      <w:sz w:val="20"/>
                      <w:szCs w:val="20"/>
                      <w:lang w:val="en-US" w:eastAsia="zh-CN" w:bidi="ar-SA"/>
                    </w:rPr>
                    <w:t>5000</w:t>
                  </w:r>
                </w:p>
              </w:tc>
              <w:tc>
                <w:tcPr>
                  <w:tcW w:w="599" w:type="pct"/>
                  <w:tcBorders>
                    <w:tl2br w:val="nil"/>
                    <w:tr2bl w:val="nil"/>
                  </w:tcBorders>
                  <w:shd w:val="clear" w:color="auto" w:fill="auto"/>
                  <w:vAlign w:val="center"/>
                </w:tcPr>
                <w:p w14:paraId="17C59349">
                  <w:pPr>
                    <w:keepNext w:val="0"/>
                    <w:keepLines w:val="0"/>
                    <w:widowControl/>
                    <w:suppressLineNumbers w:val="0"/>
                    <w:jc w:val="center"/>
                    <w:textAlignment w:val="center"/>
                    <w:rPr>
                      <w:rFonts w:hint="default" w:ascii="Times New Roman" w:hAnsi="Times New Roman" w:eastAsia="Times New Roman" w:cs="Times New Roman"/>
                      <w:snapToGrid w:val="0"/>
                      <w:color w:val="auto"/>
                      <w:kern w:val="0"/>
                      <w:sz w:val="21"/>
                      <w:szCs w:val="21"/>
                      <w:lang w:val="en-US" w:eastAsia="en-US" w:bidi="ar-SA"/>
                    </w:rPr>
                  </w:pPr>
                  <w:r>
                    <w:rPr>
                      <w:rFonts w:hint="default" w:ascii="Times New Roman" w:hAnsi="Times New Roman" w:eastAsia="宋体" w:cs="Times New Roman"/>
                      <w:i w:val="0"/>
                      <w:iCs w:val="0"/>
                      <w:color w:val="auto"/>
                      <w:kern w:val="0"/>
                      <w:sz w:val="21"/>
                      <w:szCs w:val="21"/>
                      <w:u w:val="none"/>
                      <w:lang w:val="en-US" w:eastAsia="zh-CN" w:bidi="ar"/>
                    </w:rPr>
                    <w:t>0.999</w:t>
                  </w:r>
                </w:p>
              </w:tc>
              <w:tc>
                <w:tcPr>
                  <w:tcW w:w="455" w:type="pct"/>
                  <w:vMerge w:val="continue"/>
                  <w:tcBorders>
                    <w:tl2br w:val="nil"/>
                    <w:tr2bl w:val="nil"/>
                  </w:tcBorders>
                  <w:vAlign w:val="center"/>
                </w:tcPr>
                <w:p w14:paraId="6D44A9DB">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c>
                <w:tcPr>
                  <w:tcW w:w="458" w:type="pct"/>
                  <w:tcBorders>
                    <w:tl2br w:val="nil"/>
                    <w:tr2bl w:val="nil"/>
                  </w:tcBorders>
                  <w:vAlign w:val="center"/>
                </w:tcPr>
                <w:p w14:paraId="4693D65F">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position w:val="-2"/>
                      <w:sz w:val="20"/>
                      <w:szCs w:val="20"/>
                    </w:rPr>
                    <w:t>-</w:t>
                  </w:r>
                </w:p>
              </w:tc>
              <w:tc>
                <w:tcPr>
                  <w:tcW w:w="497" w:type="pct"/>
                  <w:tcBorders>
                    <w:tl2br w:val="nil"/>
                    <w:tr2bl w:val="nil"/>
                  </w:tcBorders>
                  <w:vAlign w:val="center"/>
                </w:tcPr>
                <w:p w14:paraId="60C4942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position w:val="-2"/>
                      <w:sz w:val="20"/>
                      <w:szCs w:val="20"/>
                    </w:rPr>
                    <w:t>-</w:t>
                  </w:r>
                </w:p>
              </w:tc>
              <w:tc>
                <w:tcPr>
                  <w:tcW w:w="529" w:type="pct"/>
                  <w:tcBorders>
                    <w:tl2br w:val="nil"/>
                    <w:tr2bl w:val="nil"/>
                  </w:tcBorders>
                  <w:vAlign w:val="center"/>
                </w:tcPr>
                <w:p w14:paraId="202494FA">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Times New Roman" w:hAnsi="Times New Roman" w:eastAsia="Times New Roman" w:cs="Times New Roman"/>
                      <w:color w:val="auto"/>
                      <w:sz w:val="20"/>
                      <w:szCs w:val="20"/>
                    </w:rPr>
                  </w:pPr>
                  <w:r>
                    <w:rPr>
                      <w:rFonts w:ascii="Times New Roman" w:hAnsi="Times New Roman" w:eastAsia="Times New Roman" w:cs="Times New Roman"/>
                      <w:color w:val="auto"/>
                      <w:position w:val="-2"/>
                      <w:sz w:val="20"/>
                      <w:szCs w:val="20"/>
                    </w:rPr>
                    <w:t>-</w:t>
                  </w:r>
                </w:p>
              </w:tc>
              <w:tc>
                <w:tcPr>
                  <w:tcW w:w="385" w:type="pct"/>
                  <w:vMerge w:val="continue"/>
                  <w:tcBorders>
                    <w:tl2br w:val="nil"/>
                    <w:tr2bl w:val="nil"/>
                  </w:tcBorders>
                  <w:vAlign w:val="center"/>
                </w:tcPr>
                <w:p w14:paraId="5D902A8E">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color w:val="auto"/>
                      <w:sz w:val="21"/>
                    </w:rPr>
                  </w:pPr>
                </w:p>
              </w:tc>
            </w:tr>
          </w:tbl>
          <w:p w14:paraId="231F6381">
            <w:pPr>
              <w:keepNext w:val="0"/>
              <w:keepLines w:val="0"/>
              <w:pageBreakBefore w:val="0"/>
              <w:widowControl w:val="0"/>
              <w:kinsoku/>
              <w:wordWrap/>
              <w:overflowPunct/>
              <w:topLinePunct w:val="0"/>
              <w:autoSpaceDE/>
              <w:autoSpaceDN/>
              <w:bidi w:val="0"/>
              <w:adjustRightInd w:val="0"/>
              <w:snapToGrid w:val="0"/>
              <w:spacing w:before="120"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（2）排放口基本信息</w:t>
            </w:r>
          </w:p>
          <w:p w14:paraId="100826E2">
            <w:pPr>
              <w:keepNext w:val="0"/>
              <w:keepLines w:val="0"/>
              <w:pageBreakBefore w:val="0"/>
              <w:widowControl w:val="0"/>
              <w:tabs>
                <w:tab w:val="left" w:pos="2130"/>
              </w:tabs>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排放口</w:t>
            </w:r>
            <w:r>
              <w:rPr>
                <w:rFonts w:hint="default" w:ascii="Times New Roman" w:hAnsi="Times New Roman" w:eastAsia="宋体" w:cs="Times New Roman"/>
                <w:color w:val="auto"/>
                <w:sz w:val="24"/>
                <w:szCs w:val="24"/>
              </w:rPr>
              <w:t>具体信息见下表。</w:t>
            </w:r>
          </w:p>
          <w:p w14:paraId="043A46E3">
            <w:pPr>
              <w:pStyle w:val="10"/>
              <w:keepNext/>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 xml:space="preserve">表4-14  </w:t>
            </w:r>
            <w:r>
              <w:rPr>
                <w:rFonts w:hint="default" w:ascii="Times New Roman" w:hAnsi="Times New Roman" w:eastAsia="宋体" w:cs="Times New Roman"/>
                <w:b/>
                <w:color w:val="auto"/>
                <w:sz w:val="24"/>
                <w:szCs w:val="24"/>
              </w:rPr>
              <w:t>本项目废水类别、污染物及污染治理设施信息表</w:t>
            </w:r>
          </w:p>
          <w:tbl>
            <w:tblPr>
              <w:tblStyle w:val="27"/>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0"/>
              <w:gridCol w:w="983"/>
              <w:gridCol w:w="412"/>
              <w:gridCol w:w="951"/>
              <w:gridCol w:w="677"/>
              <w:gridCol w:w="677"/>
              <w:gridCol w:w="680"/>
              <w:gridCol w:w="851"/>
              <w:gridCol w:w="996"/>
              <w:gridCol w:w="1659"/>
            </w:tblGrid>
            <w:tr w14:paraId="4C392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3" w:type="pct"/>
                  <w:vMerge w:val="restart"/>
                  <w:tcBorders>
                    <w:tl2br w:val="nil"/>
                    <w:tr2bl w:val="nil"/>
                  </w:tcBorders>
                  <w:vAlign w:val="center"/>
                </w:tcPr>
                <w:p w14:paraId="4ABE16BB">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废水类型</w:t>
                  </w:r>
                </w:p>
              </w:tc>
              <w:tc>
                <w:tcPr>
                  <w:tcW w:w="592" w:type="pct"/>
                  <w:vMerge w:val="restart"/>
                  <w:tcBorders>
                    <w:tl2br w:val="nil"/>
                    <w:tr2bl w:val="nil"/>
                  </w:tcBorders>
                  <w:vAlign w:val="center"/>
                </w:tcPr>
                <w:p w14:paraId="797ADA79">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248" w:type="pct"/>
                  <w:vMerge w:val="restart"/>
                  <w:tcBorders>
                    <w:tl2br w:val="nil"/>
                    <w:tr2bl w:val="nil"/>
                  </w:tcBorders>
                  <w:vAlign w:val="center"/>
                </w:tcPr>
                <w:p w14:paraId="791C4C4A">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w:t>
                  </w:r>
                </w:p>
                <w:p w14:paraId="4DA7A84C">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去向</w:t>
                  </w:r>
                </w:p>
              </w:tc>
              <w:tc>
                <w:tcPr>
                  <w:tcW w:w="572" w:type="pct"/>
                  <w:vMerge w:val="restart"/>
                  <w:tcBorders>
                    <w:tl2br w:val="nil"/>
                    <w:tr2bl w:val="nil"/>
                  </w:tcBorders>
                  <w:vAlign w:val="center"/>
                </w:tcPr>
                <w:p w14:paraId="33F0375D">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w:t>
                  </w:r>
                </w:p>
                <w:p w14:paraId="2188B6C4">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规律</w:t>
                  </w:r>
                </w:p>
              </w:tc>
              <w:tc>
                <w:tcPr>
                  <w:tcW w:w="1223" w:type="pct"/>
                  <w:gridSpan w:val="3"/>
                  <w:tcBorders>
                    <w:tl2br w:val="nil"/>
                    <w:tr2bl w:val="nil"/>
                  </w:tcBorders>
                  <w:vAlign w:val="center"/>
                </w:tcPr>
                <w:p w14:paraId="14D837BA">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w:t>
                  </w:r>
                </w:p>
              </w:tc>
              <w:tc>
                <w:tcPr>
                  <w:tcW w:w="512" w:type="pct"/>
                  <w:vMerge w:val="restart"/>
                  <w:tcBorders>
                    <w:tl2br w:val="nil"/>
                    <w:tr2bl w:val="nil"/>
                  </w:tcBorders>
                  <w:vAlign w:val="center"/>
                </w:tcPr>
                <w:p w14:paraId="45DE88BA">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599" w:type="pct"/>
                  <w:vMerge w:val="restart"/>
                  <w:tcBorders>
                    <w:tl2br w:val="nil"/>
                    <w:tr2bl w:val="nil"/>
                  </w:tcBorders>
                  <w:vAlign w:val="center"/>
                </w:tcPr>
                <w:p w14:paraId="05301D38">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排放口设置是否符合要求</w:t>
                  </w:r>
                </w:p>
              </w:tc>
              <w:tc>
                <w:tcPr>
                  <w:tcW w:w="998" w:type="pct"/>
                  <w:vMerge w:val="restart"/>
                  <w:tcBorders>
                    <w:tl2br w:val="nil"/>
                    <w:tr2bl w:val="nil"/>
                  </w:tcBorders>
                  <w:vAlign w:val="center"/>
                </w:tcPr>
                <w:p w14:paraId="21DD9210">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排放口类型</w:t>
                  </w:r>
                </w:p>
              </w:tc>
            </w:tr>
            <w:tr w14:paraId="17141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3" w:type="pct"/>
                  <w:vMerge w:val="continue"/>
                  <w:tcBorders>
                    <w:tl2br w:val="nil"/>
                    <w:tr2bl w:val="nil"/>
                  </w:tcBorders>
                  <w:vAlign w:val="center"/>
                </w:tcPr>
                <w:p w14:paraId="47115F4C">
                  <w:pPr>
                    <w:autoSpaceDE w:val="0"/>
                    <w:autoSpaceDN w:val="0"/>
                    <w:snapToGrid w:val="0"/>
                    <w:jc w:val="center"/>
                    <w:rPr>
                      <w:rFonts w:hint="default" w:ascii="Times New Roman" w:hAnsi="Times New Roman" w:eastAsia="宋体" w:cs="Times New Roman"/>
                      <w:color w:val="auto"/>
                      <w:sz w:val="21"/>
                      <w:szCs w:val="21"/>
                    </w:rPr>
                  </w:pPr>
                </w:p>
              </w:tc>
              <w:tc>
                <w:tcPr>
                  <w:tcW w:w="592" w:type="pct"/>
                  <w:vMerge w:val="continue"/>
                  <w:tcBorders>
                    <w:tl2br w:val="nil"/>
                    <w:tr2bl w:val="nil"/>
                  </w:tcBorders>
                  <w:vAlign w:val="center"/>
                </w:tcPr>
                <w:p w14:paraId="0081B7C3">
                  <w:pPr>
                    <w:autoSpaceDE w:val="0"/>
                    <w:autoSpaceDN w:val="0"/>
                    <w:snapToGrid w:val="0"/>
                    <w:jc w:val="center"/>
                    <w:rPr>
                      <w:rFonts w:hint="default" w:ascii="Times New Roman" w:hAnsi="Times New Roman" w:eastAsia="宋体" w:cs="Times New Roman"/>
                      <w:color w:val="auto"/>
                      <w:sz w:val="21"/>
                      <w:szCs w:val="21"/>
                    </w:rPr>
                  </w:pPr>
                </w:p>
              </w:tc>
              <w:tc>
                <w:tcPr>
                  <w:tcW w:w="248" w:type="pct"/>
                  <w:vMerge w:val="continue"/>
                  <w:tcBorders>
                    <w:tl2br w:val="nil"/>
                    <w:tr2bl w:val="nil"/>
                  </w:tcBorders>
                  <w:vAlign w:val="center"/>
                </w:tcPr>
                <w:p w14:paraId="0B735C74">
                  <w:pPr>
                    <w:autoSpaceDE w:val="0"/>
                    <w:autoSpaceDN w:val="0"/>
                    <w:snapToGrid w:val="0"/>
                    <w:jc w:val="center"/>
                    <w:rPr>
                      <w:rFonts w:hint="default" w:ascii="Times New Roman" w:hAnsi="Times New Roman" w:eastAsia="宋体" w:cs="Times New Roman"/>
                      <w:color w:val="auto"/>
                      <w:sz w:val="21"/>
                      <w:szCs w:val="21"/>
                    </w:rPr>
                  </w:pPr>
                </w:p>
              </w:tc>
              <w:tc>
                <w:tcPr>
                  <w:tcW w:w="572" w:type="pct"/>
                  <w:vMerge w:val="continue"/>
                  <w:tcBorders>
                    <w:tl2br w:val="nil"/>
                    <w:tr2bl w:val="nil"/>
                  </w:tcBorders>
                  <w:vAlign w:val="center"/>
                </w:tcPr>
                <w:p w14:paraId="63AE92D9">
                  <w:pPr>
                    <w:autoSpaceDE w:val="0"/>
                    <w:autoSpaceDN w:val="0"/>
                    <w:snapToGrid w:val="0"/>
                    <w:jc w:val="center"/>
                    <w:rPr>
                      <w:rFonts w:hint="default" w:ascii="Times New Roman" w:hAnsi="Times New Roman" w:eastAsia="宋体" w:cs="Times New Roman"/>
                      <w:color w:val="auto"/>
                      <w:sz w:val="21"/>
                      <w:szCs w:val="21"/>
                    </w:rPr>
                  </w:pPr>
                </w:p>
              </w:tc>
              <w:tc>
                <w:tcPr>
                  <w:tcW w:w="407" w:type="pct"/>
                  <w:tcBorders>
                    <w:tl2br w:val="nil"/>
                    <w:tr2bl w:val="nil"/>
                  </w:tcBorders>
                  <w:vAlign w:val="center"/>
                </w:tcPr>
                <w:p w14:paraId="3B4489D4">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污染治理设施编号</w:t>
                  </w:r>
                </w:p>
              </w:tc>
              <w:tc>
                <w:tcPr>
                  <w:tcW w:w="407" w:type="pct"/>
                  <w:tcBorders>
                    <w:tl2br w:val="nil"/>
                    <w:tr2bl w:val="nil"/>
                  </w:tcBorders>
                  <w:vAlign w:val="center"/>
                </w:tcPr>
                <w:p w14:paraId="4F6856E4">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污染治理设施名称</w:t>
                  </w:r>
                </w:p>
              </w:tc>
              <w:tc>
                <w:tcPr>
                  <w:tcW w:w="408" w:type="pct"/>
                  <w:tcBorders>
                    <w:tl2br w:val="nil"/>
                    <w:tr2bl w:val="nil"/>
                  </w:tcBorders>
                  <w:vAlign w:val="center"/>
                </w:tcPr>
                <w:p w14:paraId="70DA509A">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污染治理设施工艺</w:t>
                  </w:r>
                </w:p>
              </w:tc>
              <w:tc>
                <w:tcPr>
                  <w:tcW w:w="512" w:type="pct"/>
                  <w:vMerge w:val="continue"/>
                  <w:tcBorders>
                    <w:tl2br w:val="nil"/>
                    <w:tr2bl w:val="nil"/>
                  </w:tcBorders>
                  <w:vAlign w:val="center"/>
                </w:tcPr>
                <w:p w14:paraId="025313BE">
                  <w:pPr>
                    <w:autoSpaceDE w:val="0"/>
                    <w:autoSpaceDN w:val="0"/>
                    <w:snapToGrid w:val="0"/>
                    <w:jc w:val="center"/>
                    <w:rPr>
                      <w:rFonts w:hint="default" w:ascii="Times New Roman" w:hAnsi="Times New Roman" w:eastAsia="宋体" w:cs="Times New Roman"/>
                      <w:color w:val="auto"/>
                      <w:sz w:val="21"/>
                      <w:szCs w:val="21"/>
                    </w:rPr>
                  </w:pPr>
                </w:p>
              </w:tc>
              <w:tc>
                <w:tcPr>
                  <w:tcW w:w="599" w:type="pct"/>
                  <w:vMerge w:val="continue"/>
                  <w:tcBorders>
                    <w:tl2br w:val="nil"/>
                    <w:tr2bl w:val="nil"/>
                  </w:tcBorders>
                  <w:vAlign w:val="center"/>
                </w:tcPr>
                <w:p w14:paraId="482913CC">
                  <w:pPr>
                    <w:autoSpaceDE w:val="0"/>
                    <w:autoSpaceDN w:val="0"/>
                    <w:snapToGrid w:val="0"/>
                    <w:jc w:val="center"/>
                    <w:rPr>
                      <w:rFonts w:hint="default" w:ascii="Times New Roman" w:hAnsi="Times New Roman" w:eastAsia="宋体" w:cs="Times New Roman"/>
                      <w:color w:val="auto"/>
                      <w:sz w:val="21"/>
                      <w:szCs w:val="21"/>
                    </w:rPr>
                  </w:pPr>
                </w:p>
              </w:tc>
              <w:tc>
                <w:tcPr>
                  <w:tcW w:w="998" w:type="pct"/>
                  <w:vMerge w:val="continue"/>
                  <w:tcBorders>
                    <w:tl2br w:val="nil"/>
                    <w:tr2bl w:val="nil"/>
                  </w:tcBorders>
                  <w:vAlign w:val="center"/>
                </w:tcPr>
                <w:p w14:paraId="6AE966A8">
                  <w:pPr>
                    <w:autoSpaceDE w:val="0"/>
                    <w:autoSpaceDN w:val="0"/>
                    <w:snapToGrid w:val="0"/>
                    <w:jc w:val="center"/>
                    <w:rPr>
                      <w:rFonts w:hint="default" w:ascii="Times New Roman" w:hAnsi="Times New Roman" w:eastAsia="宋体" w:cs="Times New Roman"/>
                      <w:color w:val="auto"/>
                      <w:sz w:val="21"/>
                      <w:szCs w:val="21"/>
                    </w:rPr>
                  </w:pPr>
                </w:p>
              </w:tc>
            </w:tr>
            <w:tr w14:paraId="4ABC13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53" w:type="pct"/>
                  <w:tcBorders>
                    <w:tl2br w:val="nil"/>
                    <w:tr2bl w:val="nil"/>
                  </w:tcBorders>
                  <w:vAlign w:val="center"/>
                </w:tcPr>
                <w:p w14:paraId="795A5634">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592" w:type="pct"/>
                  <w:tcBorders>
                    <w:tl2br w:val="nil"/>
                    <w:tr2bl w:val="nil"/>
                  </w:tcBorders>
                  <w:vAlign w:val="center"/>
                </w:tcPr>
                <w:p w14:paraId="19AA141C">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-N、TP、TN</w:t>
                  </w:r>
                </w:p>
              </w:tc>
              <w:tc>
                <w:tcPr>
                  <w:tcW w:w="248" w:type="pct"/>
                  <w:tcBorders>
                    <w:tl2br w:val="nil"/>
                    <w:tr2bl w:val="nil"/>
                  </w:tcBorders>
                  <w:vAlign w:val="center"/>
                </w:tcPr>
                <w:p w14:paraId="2CD23C88">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城市污水处理厂</w:t>
                  </w:r>
                </w:p>
              </w:tc>
              <w:tc>
                <w:tcPr>
                  <w:tcW w:w="572" w:type="pct"/>
                  <w:tcBorders>
                    <w:tl2br w:val="nil"/>
                    <w:tr2bl w:val="nil"/>
                  </w:tcBorders>
                  <w:vAlign w:val="center"/>
                </w:tcPr>
                <w:p w14:paraId="1868F664">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间断排放，排放期间流量不稳定且无规律，但不属于冲击型排放</w:t>
                  </w:r>
                </w:p>
              </w:tc>
              <w:tc>
                <w:tcPr>
                  <w:tcW w:w="677" w:type="dxa"/>
                  <w:tcBorders>
                    <w:tl2br w:val="nil"/>
                    <w:tr2bl w:val="nil"/>
                  </w:tcBorders>
                  <w:vAlign w:val="center"/>
                </w:tcPr>
                <w:p w14:paraId="0DC10AA9">
                  <w:pPr>
                    <w:autoSpaceDE w:val="0"/>
                    <w:autoSpaceDN w:val="0"/>
                    <w:snapToGrid w:val="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c>
                <w:tcPr>
                  <w:tcW w:w="677" w:type="dxa"/>
                  <w:tcBorders>
                    <w:tl2br w:val="nil"/>
                    <w:tr2bl w:val="nil"/>
                  </w:tcBorders>
                  <w:vAlign w:val="center"/>
                </w:tcPr>
                <w:p w14:paraId="41C2AEF1">
                  <w:pPr>
                    <w:autoSpaceDE w:val="0"/>
                    <w:autoSpaceDN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化粪池</w:t>
                  </w:r>
                </w:p>
              </w:tc>
              <w:tc>
                <w:tcPr>
                  <w:tcW w:w="408" w:type="pct"/>
                  <w:tcBorders>
                    <w:tl2br w:val="nil"/>
                    <w:tr2bl w:val="nil"/>
                  </w:tcBorders>
                  <w:vAlign w:val="center"/>
                </w:tcPr>
                <w:p w14:paraId="64BE1A35">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12" w:type="pct"/>
                  <w:tcBorders>
                    <w:tl2br w:val="nil"/>
                    <w:tr2bl w:val="nil"/>
                  </w:tcBorders>
                  <w:vAlign w:val="center"/>
                </w:tcPr>
                <w:p w14:paraId="6C00481B">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DW0</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1</w:t>
                  </w:r>
                </w:p>
              </w:tc>
              <w:tc>
                <w:tcPr>
                  <w:tcW w:w="599" w:type="pct"/>
                  <w:tcBorders>
                    <w:tl2br w:val="nil"/>
                    <w:tr2bl w:val="nil"/>
                  </w:tcBorders>
                  <w:vAlign w:val="center"/>
                </w:tcPr>
                <w:p w14:paraId="61DB2061">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p w14:paraId="2E760AB9">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□否</w:t>
                  </w:r>
                </w:p>
              </w:tc>
              <w:tc>
                <w:tcPr>
                  <w:tcW w:w="998" w:type="pct"/>
                  <w:tcBorders>
                    <w:tl2br w:val="nil"/>
                    <w:tr2bl w:val="nil"/>
                  </w:tcBorders>
                  <w:vAlign w:val="center"/>
                </w:tcPr>
                <w:p w14:paraId="01861AC0">
                  <w:pPr>
                    <w:autoSpaceDE w:val="0"/>
                    <w:autoSpaceDN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√企业总排口</w:t>
                  </w:r>
                </w:p>
                <w:p w14:paraId="10BCEC6E">
                  <w:pPr>
                    <w:autoSpaceDE w:val="0"/>
                    <w:autoSpaceDN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□雨水排放口</w:t>
                  </w:r>
                </w:p>
                <w:p w14:paraId="3AC6DFAD">
                  <w:pPr>
                    <w:autoSpaceDE w:val="0"/>
                    <w:autoSpaceDN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□清净下水排放口</w:t>
                  </w:r>
                </w:p>
                <w:p w14:paraId="7A7FB929">
                  <w:pPr>
                    <w:autoSpaceDE w:val="0"/>
                    <w:autoSpaceDN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□温排水排放口</w:t>
                  </w:r>
                </w:p>
                <w:p w14:paraId="10EF632B">
                  <w:pPr>
                    <w:autoSpaceDE w:val="0"/>
                    <w:autoSpaceDN w:val="0"/>
                    <w:snapToGrid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□车间或车间处理设施排放口</w:t>
                  </w:r>
                </w:p>
              </w:tc>
            </w:tr>
          </w:tbl>
          <w:p w14:paraId="270B7334">
            <w:pPr>
              <w:keepNext/>
              <w:spacing w:line="500" w:lineRule="exact"/>
              <w:jc w:val="center"/>
              <w:rPr>
                <w:rFonts w:hint="eastAsia" w:ascii="Times New Roman" w:hAnsi="Times New Roman" w:eastAsia="宋体" w:cs="Times New Roman"/>
                <w:b/>
                <w:color w:val="auto"/>
                <w:sz w:val="24"/>
                <w:szCs w:val="24"/>
                <w:lang w:val="en-US" w:eastAsia="zh-CN"/>
              </w:rPr>
            </w:pPr>
          </w:p>
          <w:p w14:paraId="4ED96BB0">
            <w:pPr>
              <w:keepNext/>
              <w:spacing w:line="500" w:lineRule="exact"/>
              <w:jc w:val="center"/>
              <w:rPr>
                <w:rFonts w:hint="eastAsia" w:ascii="Times New Roman" w:hAnsi="Times New Roman" w:eastAsia="宋体" w:cs="Times New Roman"/>
                <w:b/>
                <w:color w:val="auto"/>
                <w:sz w:val="24"/>
                <w:szCs w:val="24"/>
                <w:lang w:val="en-US" w:eastAsia="zh-CN"/>
              </w:rPr>
            </w:pPr>
          </w:p>
          <w:p w14:paraId="2C35CC46">
            <w:pPr>
              <w:keepNext/>
              <w:spacing w:line="500" w:lineRule="exact"/>
              <w:jc w:val="center"/>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 xml:space="preserve">表4-15  </w:t>
            </w:r>
            <w:r>
              <w:rPr>
                <w:rFonts w:hint="default" w:ascii="Times New Roman" w:hAnsi="Times New Roman" w:eastAsia="宋体" w:cs="Times New Roman"/>
                <w:b/>
                <w:color w:val="auto"/>
                <w:sz w:val="24"/>
                <w:szCs w:val="24"/>
              </w:rPr>
              <w:t>本项目废水间接排放口基本情况表</w:t>
            </w:r>
          </w:p>
          <w:tbl>
            <w:tblPr>
              <w:tblStyle w:val="27"/>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797"/>
              <w:gridCol w:w="753"/>
              <w:gridCol w:w="923"/>
              <w:gridCol w:w="789"/>
              <w:gridCol w:w="688"/>
              <w:gridCol w:w="571"/>
              <w:gridCol w:w="404"/>
              <w:gridCol w:w="954"/>
              <w:gridCol w:w="761"/>
              <w:gridCol w:w="801"/>
            </w:tblGrid>
            <w:tr w14:paraId="66720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9" w:type="pct"/>
                  <w:vMerge w:val="restart"/>
                  <w:tcBorders>
                    <w:top w:val="single" w:color="auto" w:sz="12" w:space="0"/>
                  </w:tcBorders>
                  <w:vAlign w:val="center"/>
                </w:tcPr>
                <w:p w14:paraId="26EA6EA0">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排放口编号</w:t>
                  </w:r>
                </w:p>
              </w:tc>
              <w:tc>
                <w:tcPr>
                  <w:tcW w:w="937" w:type="pct"/>
                  <w:gridSpan w:val="2"/>
                  <w:tcBorders>
                    <w:top w:val="single" w:color="auto" w:sz="12" w:space="0"/>
                  </w:tcBorders>
                  <w:vAlign w:val="center"/>
                </w:tcPr>
                <w:p w14:paraId="0AA2B7C3">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排放口地理坐标（°）</w:t>
                  </w:r>
                </w:p>
              </w:tc>
              <w:tc>
                <w:tcPr>
                  <w:tcW w:w="558" w:type="pct"/>
                  <w:vMerge w:val="restart"/>
                  <w:tcBorders>
                    <w:top w:val="single" w:color="auto" w:sz="12" w:space="0"/>
                  </w:tcBorders>
                  <w:vAlign w:val="center"/>
                </w:tcPr>
                <w:p w14:paraId="1F7059D5">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废水排放量（万t/a）</w:t>
                  </w:r>
                </w:p>
              </w:tc>
              <w:tc>
                <w:tcPr>
                  <w:tcW w:w="477" w:type="pct"/>
                  <w:vMerge w:val="restart"/>
                  <w:tcBorders>
                    <w:top w:val="single" w:color="auto" w:sz="12" w:space="0"/>
                  </w:tcBorders>
                  <w:vAlign w:val="center"/>
                </w:tcPr>
                <w:p w14:paraId="3432F761">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排放去向</w:t>
                  </w:r>
                </w:p>
              </w:tc>
              <w:tc>
                <w:tcPr>
                  <w:tcW w:w="416" w:type="pct"/>
                  <w:vMerge w:val="restart"/>
                  <w:tcBorders>
                    <w:top w:val="single" w:color="auto" w:sz="12" w:space="0"/>
                  </w:tcBorders>
                  <w:vAlign w:val="center"/>
                </w:tcPr>
                <w:p w14:paraId="22490427">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排放规律</w:t>
                  </w:r>
                </w:p>
              </w:tc>
              <w:tc>
                <w:tcPr>
                  <w:tcW w:w="345" w:type="pct"/>
                  <w:vMerge w:val="restart"/>
                  <w:tcBorders>
                    <w:top w:val="single" w:color="auto" w:sz="12" w:space="0"/>
                  </w:tcBorders>
                  <w:vAlign w:val="center"/>
                </w:tcPr>
                <w:p w14:paraId="663123AF">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间歇排放时段</w:t>
                  </w:r>
                </w:p>
              </w:tc>
              <w:tc>
                <w:tcPr>
                  <w:tcW w:w="1765" w:type="pct"/>
                  <w:gridSpan w:val="4"/>
                  <w:tcBorders>
                    <w:top w:val="single" w:color="auto" w:sz="12" w:space="0"/>
                    <w:right w:val="nil"/>
                  </w:tcBorders>
                  <w:vAlign w:val="center"/>
                </w:tcPr>
                <w:p w14:paraId="0632D069">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受纳污水厂信息</w:t>
                  </w:r>
                </w:p>
              </w:tc>
            </w:tr>
            <w:tr w14:paraId="26A4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9" w:type="pct"/>
                  <w:vMerge w:val="continue"/>
                  <w:tcBorders>
                    <w:left w:val="nil"/>
                  </w:tcBorders>
                  <w:vAlign w:val="center"/>
                </w:tcPr>
                <w:p w14:paraId="403CD35B">
                  <w:pPr>
                    <w:autoSpaceDE w:val="0"/>
                    <w:autoSpaceDN w:val="0"/>
                    <w:snapToGrid w:val="0"/>
                    <w:jc w:val="center"/>
                    <w:rPr>
                      <w:rFonts w:hint="default" w:ascii="Times New Roman" w:hAnsi="Times New Roman" w:eastAsia="宋体" w:cs="Times New Roman"/>
                      <w:b/>
                      <w:bCs/>
                      <w:color w:val="auto"/>
                      <w:sz w:val="21"/>
                      <w:szCs w:val="21"/>
                    </w:rPr>
                  </w:pPr>
                </w:p>
              </w:tc>
              <w:tc>
                <w:tcPr>
                  <w:tcW w:w="482" w:type="pct"/>
                  <w:vAlign w:val="center"/>
                </w:tcPr>
                <w:p w14:paraId="78850FE3">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经度</w:t>
                  </w:r>
                </w:p>
              </w:tc>
              <w:tc>
                <w:tcPr>
                  <w:tcW w:w="455" w:type="pct"/>
                  <w:vAlign w:val="center"/>
                </w:tcPr>
                <w:p w14:paraId="23BF82C2">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纬度</w:t>
                  </w:r>
                </w:p>
              </w:tc>
              <w:tc>
                <w:tcPr>
                  <w:tcW w:w="558" w:type="pct"/>
                  <w:vMerge w:val="continue"/>
                  <w:vAlign w:val="center"/>
                </w:tcPr>
                <w:p w14:paraId="050819BB">
                  <w:pPr>
                    <w:autoSpaceDE w:val="0"/>
                    <w:autoSpaceDN w:val="0"/>
                    <w:snapToGrid w:val="0"/>
                    <w:jc w:val="center"/>
                    <w:rPr>
                      <w:rFonts w:hint="default" w:ascii="Times New Roman" w:hAnsi="Times New Roman" w:eastAsia="宋体" w:cs="Times New Roman"/>
                      <w:b/>
                      <w:bCs/>
                      <w:color w:val="auto"/>
                      <w:sz w:val="21"/>
                      <w:szCs w:val="21"/>
                    </w:rPr>
                  </w:pPr>
                </w:p>
              </w:tc>
              <w:tc>
                <w:tcPr>
                  <w:tcW w:w="477" w:type="pct"/>
                  <w:vMerge w:val="continue"/>
                  <w:vAlign w:val="center"/>
                </w:tcPr>
                <w:p w14:paraId="22CFD8D4">
                  <w:pPr>
                    <w:autoSpaceDE w:val="0"/>
                    <w:autoSpaceDN w:val="0"/>
                    <w:snapToGrid w:val="0"/>
                    <w:jc w:val="center"/>
                    <w:rPr>
                      <w:rFonts w:hint="default" w:ascii="Times New Roman" w:hAnsi="Times New Roman" w:eastAsia="宋体" w:cs="Times New Roman"/>
                      <w:b/>
                      <w:bCs/>
                      <w:color w:val="auto"/>
                      <w:sz w:val="21"/>
                      <w:szCs w:val="21"/>
                    </w:rPr>
                  </w:pPr>
                </w:p>
              </w:tc>
              <w:tc>
                <w:tcPr>
                  <w:tcW w:w="416" w:type="pct"/>
                  <w:vMerge w:val="continue"/>
                  <w:vAlign w:val="center"/>
                </w:tcPr>
                <w:p w14:paraId="1ABDF1D8">
                  <w:pPr>
                    <w:autoSpaceDE w:val="0"/>
                    <w:autoSpaceDN w:val="0"/>
                    <w:snapToGrid w:val="0"/>
                    <w:jc w:val="center"/>
                    <w:rPr>
                      <w:rFonts w:hint="default" w:ascii="Times New Roman" w:hAnsi="Times New Roman" w:eastAsia="宋体" w:cs="Times New Roman"/>
                      <w:b/>
                      <w:bCs/>
                      <w:color w:val="auto"/>
                      <w:sz w:val="21"/>
                      <w:szCs w:val="21"/>
                    </w:rPr>
                  </w:pPr>
                </w:p>
              </w:tc>
              <w:tc>
                <w:tcPr>
                  <w:tcW w:w="345" w:type="pct"/>
                  <w:vMerge w:val="continue"/>
                  <w:vAlign w:val="center"/>
                </w:tcPr>
                <w:p w14:paraId="03F3A11F">
                  <w:pPr>
                    <w:autoSpaceDE w:val="0"/>
                    <w:autoSpaceDN w:val="0"/>
                    <w:snapToGrid w:val="0"/>
                    <w:jc w:val="center"/>
                    <w:rPr>
                      <w:rFonts w:hint="default" w:ascii="Times New Roman" w:hAnsi="Times New Roman" w:eastAsia="宋体" w:cs="Times New Roman"/>
                      <w:b/>
                      <w:bCs/>
                      <w:color w:val="auto"/>
                      <w:sz w:val="21"/>
                      <w:szCs w:val="21"/>
                    </w:rPr>
                  </w:pPr>
                </w:p>
              </w:tc>
              <w:tc>
                <w:tcPr>
                  <w:tcW w:w="244" w:type="pct"/>
                  <w:vAlign w:val="center"/>
                </w:tcPr>
                <w:p w14:paraId="3478D7D6">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577" w:type="pct"/>
                  <w:vAlign w:val="center"/>
                </w:tcPr>
                <w:p w14:paraId="1AFD01B7">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污染物种类</w:t>
                  </w:r>
                </w:p>
              </w:tc>
              <w:tc>
                <w:tcPr>
                  <w:tcW w:w="942" w:type="pct"/>
                  <w:gridSpan w:val="2"/>
                  <w:tcBorders>
                    <w:right w:val="nil"/>
                  </w:tcBorders>
                  <w:vAlign w:val="center"/>
                </w:tcPr>
                <w:p w14:paraId="77377C34">
                  <w:pPr>
                    <w:autoSpaceDE w:val="0"/>
                    <w:autoSpaceDN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国家或地方污染物排放标准浓度限值（mg/L）</w:t>
                  </w:r>
                </w:p>
              </w:tc>
            </w:tr>
            <w:tr w14:paraId="3D2D6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9" w:type="pct"/>
                  <w:vMerge w:val="restart"/>
                  <w:tcBorders>
                    <w:left w:val="nil"/>
                  </w:tcBorders>
                  <w:vAlign w:val="center"/>
                </w:tcPr>
                <w:p w14:paraId="1CB16755">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DW0</w:t>
                  </w:r>
                  <w:r>
                    <w:rPr>
                      <w:rFonts w:hint="eastAsia" w:ascii="Times New Roman" w:hAnsi="Times New Roman" w:eastAsia="宋体" w:cs="Times New Roman"/>
                      <w:color w:val="auto"/>
                      <w:sz w:val="21"/>
                      <w:szCs w:val="21"/>
                      <w:lang w:val="en-US" w:eastAsia="zh-CN"/>
                    </w:rPr>
                    <w:t>0</w:t>
                  </w:r>
                  <w:r>
                    <w:rPr>
                      <w:rFonts w:hint="default" w:ascii="Times New Roman" w:hAnsi="Times New Roman" w:eastAsia="宋体" w:cs="Times New Roman"/>
                      <w:color w:val="auto"/>
                      <w:sz w:val="21"/>
                      <w:szCs w:val="21"/>
                    </w:rPr>
                    <w:t>1</w:t>
                  </w:r>
                </w:p>
              </w:tc>
              <w:tc>
                <w:tcPr>
                  <w:tcW w:w="482" w:type="pct"/>
                  <w:vMerge w:val="restart"/>
                  <w:vAlign w:val="center"/>
                </w:tcPr>
                <w:p w14:paraId="5CD5F25B">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119.6746463</w:t>
                  </w:r>
                </w:p>
              </w:tc>
              <w:tc>
                <w:tcPr>
                  <w:tcW w:w="455" w:type="pct"/>
                  <w:vMerge w:val="restart"/>
                  <w:vAlign w:val="center"/>
                </w:tcPr>
                <w:p w14:paraId="16BF7C08">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31.7283643</w:t>
                  </w:r>
                </w:p>
              </w:tc>
              <w:tc>
                <w:tcPr>
                  <w:tcW w:w="558" w:type="pct"/>
                  <w:vMerge w:val="restart"/>
                  <w:vAlign w:val="center"/>
                </w:tcPr>
                <w:p w14:paraId="4B05F2C2">
                  <w:pPr>
                    <w:autoSpaceDE w:val="0"/>
                    <w:autoSpaceDN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0384</w:t>
                  </w:r>
                </w:p>
              </w:tc>
              <w:tc>
                <w:tcPr>
                  <w:tcW w:w="477" w:type="pct"/>
                  <w:vMerge w:val="restart"/>
                  <w:vAlign w:val="center"/>
                </w:tcPr>
                <w:p w14:paraId="3E3ECAA1">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城市污水处理厂</w:t>
                  </w:r>
                </w:p>
              </w:tc>
              <w:tc>
                <w:tcPr>
                  <w:tcW w:w="416" w:type="pct"/>
                  <w:vMerge w:val="restart"/>
                  <w:vAlign w:val="center"/>
                </w:tcPr>
                <w:p w14:paraId="09F04747">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一年300天，每天</w:t>
                  </w:r>
                  <w:r>
                    <w:rPr>
                      <w:rFonts w:hint="eastAsia" w:ascii="Times New Roman" w:hAnsi="Times New Roman" w:eastAsia="宋体" w:cs="Times New Roman"/>
                      <w:color w:val="auto"/>
                      <w:sz w:val="21"/>
                      <w:szCs w:val="21"/>
                      <w:lang w:val="en-US" w:eastAsia="zh-CN"/>
                    </w:rPr>
                    <w:t>16</w:t>
                  </w:r>
                  <w:r>
                    <w:rPr>
                      <w:rFonts w:hint="default" w:ascii="Times New Roman" w:hAnsi="Times New Roman" w:eastAsia="宋体" w:cs="Times New Roman"/>
                      <w:color w:val="auto"/>
                      <w:sz w:val="21"/>
                      <w:szCs w:val="21"/>
                    </w:rPr>
                    <w:t>小时</w:t>
                  </w:r>
                </w:p>
              </w:tc>
              <w:tc>
                <w:tcPr>
                  <w:tcW w:w="345" w:type="pct"/>
                  <w:vMerge w:val="restart"/>
                  <w:vAlign w:val="center"/>
                </w:tcPr>
                <w:p w14:paraId="61EB1887">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44" w:type="pct"/>
                  <w:vMerge w:val="restart"/>
                  <w:vAlign w:val="center"/>
                </w:tcPr>
                <w:p w14:paraId="1318D38E">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金坛区第二污水处理厂</w:t>
                  </w:r>
                </w:p>
              </w:tc>
              <w:tc>
                <w:tcPr>
                  <w:tcW w:w="577" w:type="pct"/>
                  <w:vMerge w:val="restart"/>
                  <w:vAlign w:val="center"/>
                </w:tcPr>
                <w:p w14:paraId="3A78A044">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COD、SS、NH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-N、TP、TN</w:t>
                  </w:r>
                </w:p>
              </w:tc>
              <w:tc>
                <w:tcPr>
                  <w:tcW w:w="460" w:type="pct"/>
                  <w:vAlign w:val="center"/>
                </w:tcPr>
                <w:p w14:paraId="40A91497">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COD</w:t>
                  </w:r>
                </w:p>
              </w:tc>
              <w:tc>
                <w:tcPr>
                  <w:tcW w:w="482" w:type="pct"/>
                  <w:tcBorders>
                    <w:right w:val="nil"/>
                  </w:tcBorders>
                  <w:vAlign w:val="center"/>
                </w:tcPr>
                <w:p w14:paraId="3187AE10">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r w14:paraId="5B329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9" w:type="pct"/>
                  <w:vMerge w:val="continue"/>
                  <w:tcBorders>
                    <w:left w:val="nil"/>
                  </w:tcBorders>
                  <w:vAlign w:val="center"/>
                </w:tcPr>
                <w:p w14:paraId="10F0DCE8">
                  <w:pPr>
                    <w:autoSpaceDE w:val="0"/>
                    <w:autoSpaceDN w:val="0"/>
                    <w:snapToGrid w:val="0"/>
                    <w:jc w:val="center"/>
                    <w:rPr>
                      <w:rFonts w:hint="default" w:ascii="Times New Roman" w:hAnsi="Times New Roman" w:eastAsia="宋体" w:cs="Times New Roman"/>
                      <w:color w:val="auto"/>
                      <w:sz w:val="21"/>
                      <w:szCs w:val="21"/>
                    </w:rPr>
                  </w:pPr>
                </w:p>
              </w:tc>
              <w:tc>
                <w:tcPr>
                  <w:tcW w:w="482" w:type="pct"/>
                  <w:vMerge w:val="continue"/>
                  <w:vAlign w:val="center"/>
                </w:tcPr>
                <w:p w14:paraId="03577811">
                  <w:pPr>
                    <w:autoSpaceDE w:val="0"/>
                    <w:autoSpaceDN w:val="0"/>
                    <w:snapToGrid w:val="0"/>
                    <w:jc w:val="center"/>
                    <w:rPr>
                      <w:rFonts w:hint="default" w:ascii="Times New Roman" w:hAnsi="Times New Roman" w:eastAsia="宋体" w:cs="Times New Roman"/>
                      <w:color w:val="auto"/>
                      <w:sz w:val="21"/>
                      <w:szCs w:val="21"/>
                    </w:rPr>
                  </w:pPr>
                </w:p>
              </w:tc>
              <w:tc>
                <w:tcPr>
                  <w:tcW w:w="455" w:type="pct"/>
                  <w:vMerge w:val="continue"/>
                  <w:vAlign w:val="center"/>
                </w:tcPr>
                <w:p w14:paraId="4DA5D81A">
                  <w:pPr>
                    <w:autoSpaceDE w:val="0"/>
                    <w:autoSpaceDN w:val="0"/>
                    <w:snapToGrid w:val="0"/>
                    <w:jc w:val="center"/>
                    <w:rPr>
                      <w:rFonts w:hint="default" w:ascii="Times New Roman" w:hAnsi="Times New Roman" w:eastAsia="宋体" w:cs="Times New Roman"/>
                      <w:color w:val="auto"/>
                      <w:sz w:val="21"/>
                      <w:szCs w:val="21"/>
                    </w:rPr>
                  </w:pPr>
                </w:p>
              </w:tc>
              <w:tc>
                <w:tcPr>
                  <w:tcW w:w="558" w:type="pct"/>
                  <w:vMerge w:val="continue"/>
                  <w:vAlign w:val="center"/>
                </w:tcPr>
                <w:p w14:paraId="6E603290">
                  <w:pPr>
                    <w:autoSpaceDE w:val="0"/>
                    <w:autoSpaceDN w:val="0"/>
                    <w:snapToGrid w:val="0"/>
                    <w:jc w:val="center"/>
                    <w:rPr>
                      <w:rFonts w:hint="default" w:ascii="Times New Roman" w:hAnsi="Times New Roman" w:eastAsia="宋体" w:cs="Times New Roman"/>
                      <w:color w:val="auto"/>
                      <w:sz w:val="21"/>
                      <w:szCs w:val="21"/>
                    </w:rPr>
                  </w:pPr>
                </w:p>
              </w:tc>
              <w:tc>
                <w:tcPr>
                  <w:tcW w:w="477" w:type="pct"/>
                  <w:vMerge w:val="continue"/>
                  <w:vAlign w:val="center"/>
                </w:tcPr>
                <w:p w14:paraId="7B80A556">
                  <w:pPr>
                    <w:autoSpaceDE w:val="0"/>
                    <w:autoSpaceDN w:val="0"/>
                    <w:snapToGrid w:val="0"/>
                    <w:jc w:val="center"/>
                    <w:rPr>
                      <w:rFonts w:hint="default" w:ascii="Times New Roman" w:hAnsi="Times New Roman" w:eastAsia="宋体" w:cs="Times New Roman"/>
                      <w:color w:val="auto"/>
                      <w:sz w:val="21"/>
                      <w:szCs w:val="21"/>
                    </w:rPr>
                  </w:pPr>
                </w:p>
              </w:tc>
              <w:tc>
                <w:tcPr>
                  <w:tcW w:w="416" w:type="pct"/>
                  <w:vMerge w:val="continue"/>
                  <w:vAlign w:val="center"/>
                </w:tcPr>
                <w:p w14:paraId="1153CB28">
                  <w:pPr>
                    <w:autoSpaceDE w:val="0"/>
                    <w:autoSpaceDN w:val="0"/>
                    <w:snapToGrid w:val="0"/>
                    <w:jc w:val="center"/>
                    <w:rPr>
                      <w:rFonts w:hint="default" w:ascii="Times New Roman" w:hAnsi="Times New Roman" w:eastAsia="宋体" w:cs="Times New Roman"/>
                      <w:color w:val="auto"/>
                      <w:sz w:val="21"/>
                      <w:szCs w:val="21"/>
                    </w:rPr>
                  </w:pPr>
                </w:p>
              </w:tc>
              <w:tc>
                <w:tcPr>
                  <w:tcW w:w="345" w:type="pct"/>
                  <w:vMerge w:val="continue"/>
                  <w:vAlign w:val="center"/>
                </w:tcPr>
                <w:p w14:paraId="56A57B32">
                  <w:pPr>
                    <w:autoSpaceDE w:val="0"/>
                    <w:autoSpaceDN w:val="0"/>
                    <w:snapToGrid w:val="0"/>
                    <w:jc w:val="center"/>
                    <w:rPr>
                      <w:rFonts w:hint="default" w:ascii="Times New Roman" w:hAnsi="Times New Roman" w:eastAsia="宋体" w:cs="Times New Roman"/>
                      <w:color w:val="auto"/>
                      <w:sz w:val="21"/>
                      <w:szCs w:val="21"/>
                    </w:rPr>
                  </w:pPr>
                </w:p>
              </w:tc>
              <w:tc>
                <w:tcPr>
                  <w:tcW w:w="244" w:type="pct"/>
                  <w:vMerge w:val="continue"/>
                  <w:vAlign w:val="center"/>
                </w:tcPr>
                <w:p w14:paraId="257419D0">
                  <w:pPr>
                    <w:autoSpaceDE w:val="0"/>
                    <w:autoSpaceDN w:val="0"/>
                    <w:snapToGrid w:val="0"/>
                    <w:jc w:val="center"/>
                    <w:rPr>
                      <w:rFonts w:hint="default" w:ascii="Times New Roman" w:hAnsi="Times New Roman" w:eastAsia="宋体" w:cs="Times New Roman"/>
                      <w:color w:val="auto"/>
                      <w:sz w:val="21"/>
                      <w:szCs w:val="21"/>
                    </w:rPr>
                  </w:pPr>
                </w:p>
              </w:tc>
              <w:tc>
                <w:tcPr>
                  <w:tcW w:w="577" w:type="pct"/>
                  <w:vMerge w:val="continue"/>
                  <w:vAlign w:val="center"/>
                </w:tcPr>
                <w:p w14:paraId="720F0292">
                  <w:pPr>
                    <w:autoSpaceDE w:val="0"/>
                    <w:autoSpaceDN w:val="0"/>
                    <w:snapToGrid w:val="0"/>
                    <w:jc w:val="center"/>
                    <w:rPr>
                      <w:rFonts w:hint="default" w:ascii="Times New Roman" w:hAnsi="Times New Roman" w:eastAsia="宋体" w:cs="Times New Roman"/>
                      <w:color w:val="auto"/>
                      <w:sz w:val="21"/>
                      <w:szCs w:val="21"/>
                    </w:rPr>
                  </w:pPr>
                </w:p>
              </w:tc>
              <w:tc>
                <w:tcPr>
                  <w:tcW w:w="460" w:type="pct"/>
                  <w:vAlign w:val="center"/>
                </w:tcPr>
                <w:p w14:paraId="44E29C37">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SS</w:t>
                  </w:r>
                </w:p>
              </w:tc>
              <w:tc>
                <w:tcPr>
                  <w:tcW w:w="482" w:type="pct"/>
                  <w:tcBorders>
                    <w:right w:val="nil"/>
                  </w:tcBorders>
                  <w:vAlign w:val="center"/>
                </w:tcPr>
                <w:p w14:paraId="448FC984">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r>
            <w:tr w14:paraId="4E18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9" w:type="pct"/>
                  <w:vMerge w:val="continue"/>
                  <w:tcBorders>
                    <w:left w:val="nil"/>
                  </w:tcBorders>
                  <w:vAlign w:val="center"/>
                </w:tcPr>
                <w:p w14:paraId="3EDCC673">
                  <w:pPr>
                    <w:autoSpaceDE w:val="0"/>
                    <w:autoSpaceDN w:val="0"/>
                    <w:snapToGrid w:val="0"/>
                    <w:jc w:val="center"/>
                    <w:rPr>
                      <w:rFonts w:hint="default" w:ascii="Times New Roman" w:hAnsi="Times New Roman" w:eastAsia="宋体" w:cs="Times New Roman"/>
                      <w:color w:val="auto"/>
                      <w:sz w:val="21"/>
                      <w:szCs w:val="21"/>
                    </w:rPr>
                  </w:pPr>
                </w:p>
              </w:tc>
              <w:tc>
                <w:tcPr>
                  <w:tcW w:w="482" w:type="pct"/>
                  <w:vMerge w:val="continue"/>
                  <w:vAlign w:val="center"/>
                </w:tcPr>
                <w:p w14:paraId="36B5EE1D">
                  <w:pPr>
                    <w:autoSpaceDE w:val="0"/>
                    <w:autoSpaceDN w:val="0"/>
                    <w:snapToGrid w:val="0"/>
                    <w:jc w:val="center"/>
                    <w:rPr>
                      <w:rFonts w:hint="default" w:ascii="Times New Roman" w:hAnsi="Times New Roman" w:eastAsia="宋体" w:cs="Times New Roman"/>
                      <w:color w:val="auto"/>
                      <w:sz w:val="21"/>
                      <w:szCs w:val="21"/>
                    </w:rPr>
                  </w:pPr>
                </w:p>
              </w:tc>
              <w:tc>
                <w:tcPr>
                  <w:tcW w:w="455" w:type="pct"/>
                  <w:vMerge w:val="continue"/>
                  <w:vAlign w:val="center"/>
                </w:tcPr>
                <w:p w14:paraId="7C7C9B2F">
                  <w:pPr>
                    <w:autoSpaceDE w:val="0"/>
                    <w:autoSpaceDN w:val="0"/>
                    <w:snapToGrid w:val="0"/>
                    <w:jc w:val="center"/>
                    <w:rPr>
                      <w:rFonts w:hint="default" w:ascii="Times New Roman" w:hAnsi="Times New Roman" w:eastAsia="宋体" w:cs="Times New Roman"/>
                      <w:color w:val="auto"/>
                      <w:sz w:val="21"/>
                      <w:szCs w:val="21"/>
                    </w:rPr>
                  </w:pPr>
                </w:p>
              </w:tc>
              <w:tc>
                <w:tcPr>
                  <w:tcW w:w="558" w:type="pct"/>
                  <w:vMerge w:val="continue"/>
                  <w:vAlign w:val="center"/>
                </w:tcPr>
                <w:p w14:paraId="535A534F">
                  <w:pPr>
                    <w:autoSpaceDE w:val="0"/>
                    <w:autoSpaceDN w:val="0"/>
                    <w:snapToGrid w:val="0"/>
                    <w:jc w:val="center"/>
                    <w:rPr>
                      <w:rFonts w:hint="default" w:ascii="Times New Roman" w:hAnsi="Times New Roman" w:eastAsia="宋体" w:cs="Times New Roman"/>
                      <w:color w:val="auto"/>
                      <w:sz w:val="21"/>
                      <w:szCs w:val="21"/>
                    </w:rPr>
                  </w:pPr>
                </w:p>
              </w:tc>
              <w:tc>
                <w:tcPr>
                  <w:tcW w:w="477" w:type="pct"/>
                  <w:vMerge w:val="continue"/>
                  <w:vAlign w:val="center"/>
                </w:tcPr>
                <w:p w14:paraId="4B3AD3A4">
                  <w:pPr>
                    <w:autoSpaceDE w:val="0"/>
                    <w:autoSpaceDN w:val="0"/>
                    <w:snapToGrid w:val="0"/>
                    <w:jc w:val="center"/>
                    <w:rPr>
                      <w:rFonts w:hint="default" w:ascii="Times New Roman" w:hAnsi="Times New Roman" w:eastAsia="宋体" w:cs="Times New Roman"/>
                      <w:color w:val="auto"/>
                      <w:sz w:val="21"/>
                      <w:szCs w:val="21"/>
                    </w:rPr>
                  </w:pPr>
                </w:p>
              </w:tc>
              <w:tc>
                <w:tcPr>
                  <w:tcW w:w="416" w:type="pct"/>
                  <w:vMerge w:val="continue"/>
                  <w:vAlign w:val="center"/>
                </w:tcPr>
                <w:p w14:paraId="2AD62188">
                  <w:pPr>
                    <w:autoSpaceDE w:val="0"/>
                    <w:autoSpaceDN w:val="0"/>
                    <w:snapToGrid w:val="0"/>
                    <w:jc w:val="center"/>
                    <w:rPr>
                      <w:rFonts w:hint="default" w:ascii="Times New Roman" w:hAnsi="Times New Roman" w:eastAsia="宋体" w:cs="Times New Roman"/>
                      <w:color w:val="auto"/>
                      <w:sz w:val="21"/>
                      <w:szCs w:val="21"/>
                    </w:rPr>
                  </w:pPr>
                </w:p>
              </w:tc>
              <w:tc>
                <w:tcPr>
                  <w:tcW w:w="345" w:type="pct"/>
                  <w:vMerge w:val="continue"/>
                  <w:vAlign w:val="center"/>
                </w:tcPr>
                <w:p w14:paraId="73D127E8">
                  <w:pPr>
                    <w:autoSpaceDE w:val="0"/>
                    <w:autoSpaceDN w:val="0"/>
                    <w:snapToGrid w:val="0"/>
                    <w:jc w:val="center"/>
                    <w:rPr>
                      <w:rFonts w:hint="default" w:ascii="Times New Roman" w:hAnsi="Times New Roman" w:eastAsia="宋体" w:cs="Times New Roman"/>
                      <w:color w:val="auto"/>
                      <w:sz w:val="21"/>
                      <w:szCs w:val="21"/>
                    </w:rPr>
                  </w:pPr>
                </w:p>
              </w:tc>
              <w:tc>
                <w:tcPr>
                  <w:tcW w:w="244" w:type="pct"/>
                  <w:vMerge w:val="continue"/>
                  <w:vAlign w:val="center"/>
                </w:tcPr>
                <w:p w14:paraId="39F4F6C1">
                  <w:pPr>
                    <w:autoSpaceDE w:val="0"/>
                    <w:autoSpaceDN w:val="0"/>
                    <w:snapToGrid w:val="0"/>
                    <w:jc w:val="center"/>
                    <w:rPr>
                      <w:rFonts w:hint="default" w:ascii="Times New Roman" w:hAnsi="Times New Roman" w:eastAsia="宋体" w:cs="Times New Roman"/>
                      <w:color w:val="auto"/>
                      <w:sz w:val="21"/>
                      <w:szCs w:val="21"/>
                    </w:rPr>
                  </w:pPr>
                </w:p>
              </w:tc>
              <w:tc>
                <w:tcPr>
                  <w:tcW w:w="577" w:type="pct"/>
                  <w:vMerge w:val="continue"/>
                  <w:vAlign w:val="center"/>
                </w:tcPr>
                <w:p w14:paraId="05AB0D2E">
                  <w:pPr>
                    <w:autoSpaceDE w:val="0"/>
                    <w:autoSpaceDN w:val="0"/>
                    <w:snapToGrid w:val="0"/>
                    <w:jc w:val="center"/>
                    <w:rPr>
                      <w:rFonts w:hint="default" w:ascii="Times New Roman" w:hAnsi="Times New Roman" w:eastAsia="宋体" w:cs="Times New Roman"/>
                      <w:color w:val="auto"/>
                      <w:sz w:val="21"/>
                      <w:szCs w:val="21"/>
                    </w:rPr>
                  </w:pPr>
                </w:p>
              </w:tc>
              <w:tc>
                <w:tcPr>
                  <w:tcW w:w="460" w:type="pct"/>
                  <w:vAlign w:val="center"/>
                </w:tcPr>
                <w:p w14:paraId="0E2540A2">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482" w:type="pct"/>
                  <w:tcBorders>
                    <w:right w:val="nil"/>
                  </w:tcBorders>
                  <w:vAlign w:val="center"/>
                </w:tcPr>
                <w:p w14:paraId="462D2CB1">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4（6）*</w:t>
                  </w:r>
                </w:p>
              </w:tc>
            </w:tr>
            <w:tr w14:paraId="1C29E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9" w:type="pct"/>
                  <w:vMerge w:val="continue"/>
                  <w:tcBorders>
                    <w:left w:val="nil"/>
                  </w:tcBorders>
                  <w:vAlign w:val="center"/>
                </w:tcPr>
                <w:p w14:paraId="160414BB">
                  <w:pPr>
                    <w:autoSpaceDE w:val="0"/>
                    <w:autoSpaceDN w:val="0"/>
                    <w:snapToGrid w:val="0"/>
                    <w:jc w:val="center"/>
                    <w:rPr>
                      <w:rFonts w:hint="default" w:ascii="Times New Roman" w:hAnsi="Times New Roman" w:eastAsia="宋体" w:cs="Times New Roman"/>
                      <w:color w:val="auto"/>
                      <w:sz w:val="21"/>
                      <w:szCs w:val="21"/>
                    </w:rPr>
                  </w:pPr>
                </w:p>
              </w:tc>
              <w:tc>
                <w:tcPr>
                  <w:tcW w:w="482" w:type="pct"/>
                  <w:vMerge w:val="continue"/>
                  <w:vAlign w:val="center"/>
                </w:tcPr>
                <w:p w14:paraId="359BFA57">
                  <w:pPr>
                    <w:autoSpaceDE w:val="0"/>
                    <w:autoSpaceDN w:val="0"/>
                    <w:snapToGrid w:val="0"/>
                    <w:jc w:val="center"/>
                    <w:rPr>
                      <w:rFonts w:hint="default" w:ascii="Times New Roman" w:hAnsi="Times New Roman" w:eastAsia="宋体" w:cs="Times New Roman"/>
                      <w:color w:val="auto"/>
                      <w:sz w:val="21"/>
                      <w:szCs w:val="21"/>
                    </w:rPr>
                  </w:pPr>
                </w:p>
              </w:tc>
              <w:tc>
                <w:tcPr>
                  <w:tcW w:w="455" w:type="pct"/>
                  <w:vMerge w:val="continue"/>
                  <w:vAlign w:val="center"/>
                </w:tcPr>
                <w:p w14:paraId="3BDF9C1F">
                  <w:pPr>
                    <w:autoSpaceDE w:val="0"/>
                    <w:autoSpaceDN w:val="0"/>
                    <w:snapToGrid w:val="0"/>
                    <w:jc w:val="center"/>
                    <w:rPr>
                      <w:rFonts w:hint="default" w:ascii="Times New Roman" w:hAnsi="Times New Roman" w:eastAsia="宋体" w:cs="Times New Roman"/>
                      <w:color w:val="auto"/>
                      <w:sz w:val="21"/>
                      <w:szCs w:val="21"/>
                    </w:rPr>
                  </w:pPr>
                </w:p>
              </w:tc>
              <w:tc>
                <w:tcPr>
                  <w:tcW w:w="558" w:type="pct"/>
                  <w:vMerge w:val="continue"/>
                  <w:vAlign w:val="center"/>
                </w:tcPr>
                <w:p w14:paraId="0C7513CD">
                  <w:pPr>
                    <w:autoSpaceDE w:val="0"/>
                    <w:autoSpaceDN w:val="0"/>
                    <w:snapToGrid w:val="0"/>
                    <w:jc w:val="center"/>
                    <w:rPr>
                      <w:rFonts w:hint="default" w:ascii="Times New Roman" w:hAnsi="Times New Roman" w:eastAsia="宋体" w:cs="Times New Roman"/>
                      <w:color w:val="auto"/>
                      <w:sz w:val="21"/>
                      <w:szCs w:val="21"/>
                    </w:rPr>
                  </w:pPr>
                </w:p>
              </w:tc>
              <w:tc>
                <w:tcPr>
                  <w:tcW w:w="477" w:type="pct"/>
                  <w:vMerge w:val="continue"/>
                  <w:vAlign w:val="center"/>
                </w:tcPr>
                <w:p w14:paraId="02855E57">
                  <w:pPr>
                    <w:autoSpaceDE w:val="0"/>
                    <w:autoSpaceDN w:val="0"/>
                    <w:snapToGrid w:val="0"/>
                    <w:jc w:val="center"/>
                    <w:rPr>
                      <w:rFonts w:hint="default" w:ascii="Times New Roman" w:hAnsi="Times New Roman" w:eastAsia="宋体" w:cs="Times New Roman"/>
                      <w:color w:val="auto"/>
                      <w:sz w:val="21"/>
                      <w:szCs w:val="21"/>
                    </w:rPr>
                  </w:pPr>
                </w:p>
              </w:tc>
              <w:tc>
                <w:tcPr>
                  <w:tcW w:w="416" w:type="pct"/>
                  <w:vMerge w:val="continue"/>
                  <w:vAlign w:val="center"/>
                </w:tcPr>
                <w:p w14:paraId="5180F24A">
                  <w:pPr>
                    <w:autoSpaceDE w:val="0"/>
                    <w:autoSpaceDN w:val="0"/>
                    <w:snapToGrid w:val="0"/>
                    <w:jc w:val="center"/>
                    <w:rPr>
                      <w:rFonts w:hint="default" w:ascii="Times New Roman" w:hAnsi="Times New Roman" w:eastAsia="宋体" w:cs="Times New Roman"/>
                      <w:color w:val="auto"/>
                      <w:sz w:val="21"/>
                      <w:szCs w:val="21"/>
                    </w:rPr>
                  </w:pPr>
                </w:p>
              </w:tc>
              <w:tc>
                <w:tcPr>
                  <w:tcW w:w="345" w:type="pct"/>
                  <w:vMerge w:val="continue"/>
                  <w:vAlign w:val="center"/>
                </w:tcPr>
                <w:p w14:paraId="5ADBF40C">
                  <w:pPr>
                    <w:autoSpaceDE w:val="0"/>
                    <w:autoSpaceDN w:val="0"/>
                    <w:snapToGrid w:val="0"/>
                    <w:jc w:val="center"/>
                    <w:rPr>
                      <w:rFonts w:hint="default" w:ascii="Times New Roman" w:hAnsi="Times New Roman" w:eastAsia="宋体" w:cs="Times New Roman"/>
                      <w:color w:val="auto"/>
                      <w:sz w:val="21"/>
                      <w:szCs w:val="21"/>
                    </w:rPr>
                  </w:pPr>
                </w:p>
              </w:tc>
              <w:tc>
                <w:tcPr>
                  <w:tcW w:w="244" w:type="pct"/>
                  <w:vMerge w:val="continue"/>
                  <w:vAlign w:val="center"/>
                </w:tcPr>
                <w:p w14:paraId="432E682B">
                  <w:pPr>
                    <w:autoSpaceDE w:val="0"/>
                    <w:autoSpaceDN w:val="0"/>
                    <w:snapToGrid w:val="0"/>
                    <w:jc w:val="center"/>
                    <w:rPr>
                      <w:rFonts w:hint="default" w:ascii="Times New Roman" w:hAnsi="Times New Roman" w:eastAsia="宋体" w:cs="Times New Roman"/>
                      <w:color w:val="auto"/>
                      <w:sz w:val="21"/>
                      <w:szCs w:val="21"/>
                    </w:rPr>
                  </w:pPr>
                </w:p>
              </w:tc>
              <w:tc>
                <w:tcPr>
                  <w:tcW w:w="577" w:type="pct"/>
                  <w:vMerge w:val="continue"/>
                  <w:vAlign w:val="center"/>
                </w:tcPr>
                <w:p w14:paraId="665F2478">
                  <w:pPr>
                    <w:autoSpaceDE w:val="0"/>
                    <w:autoSpaceDN w:val="0"/>
                    <w:snapToGrid w:val="0"/>
                    <w:jc w:val="center"/>
                    <w:rPr>
                      <w:rFonts w:hint="default" w:ascii="Times New Roman" w:hAnsi="Times New Roman" w:eastAsia="宋体" w:cs="Times New Roman"/>
                      <w:color w:val="auto"/>
                      <w:sz w:val="21"/>
                      <w:szCs w:val="21"/>
                    </w:rPr>
                  </w:pPr>
                </w:p>
              </w:tc>
              <w:tc>
                <w:tcPr>
                  <w:tcW w:w="460" w:type="pct"/>
                  <w:vAlign w:val="center"/>
                </w:tcPr>
                <w:p w14:paraId="6B06EA2E">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TP</w:t>
                  </w:r>
                </w:p>
              </w:tc>
              <w:tc>
                <w:tcPr>
                  <w:tcW w:w="482" w:type="pct"/>
                  <w:tcBorders>
                    <w:right w:val="nil"/>
                  </w:tcBorders>
                  <w:vAlign w:val="center"/>
                </w:tcPr>
                <w:p w14:paraId="0352D7B5">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0.5</w:t>
                  </w:r>
                </w:p>
              </w:tc>
            </w:tr>
            <w:tr w14:paraId="395A0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9" w:type="pct"/>
                  <w:vMerge w:val="continue"/>
                  <w:tcBorders>
                    <w:left w:val="nil"/>
                    <w:bottom w:val="single" w:color="auto" w:sz="12" w:space="0"/>
                  </w:tcBorders>
                  <w:vAlign w:val="center"/>
                </w:tcPr>
                <w:p w14:paraId="24B23034">
                  <w:pPr>
                    <w:autoSpaceDE w:val="0"/>
                    <w:autoSpaceDN w:val="0"/>
                    <w:snapToGrid w:val="0"/>
                    <w:jc w:val="center"/>
                    <w:rPr>
                      <w:rFonts w:hint="default" w:ascii="Times New Roman" w:hAnsi="Times New Roman" w:eastAsia="宋体" w:cs="Times New Roman"/>
                      <w:color w:val="auto"/>
                      <w:sz w:val="21"/>
                      <w:szCs w:val="21"/>
                    </w:rPr>
                  </w:pPr>
                </w:p>
              </w:tc>
              <w:tc>
                <w:tcPr>
                  <w:tcW w:w="482" w:type="pct"/>
                  <w:vMerge w:val="continue"/>
                  <w:tcBorders>
                    <w:bottom w:val="single" w:color="auto" w:sz="12" w:space="0"/>
                  </w:tcBorders>
                  <w:vAlign w:val="center"/>
                </w:tcPr>
                <w:p w14:paraId="62EFF230">
                  <w:pPr>
                    <w:autoSpaceDE w:val="0"/>
                    <w:autoSpaceDN w:val="0"/>
                    <w:snapToGrid w:val="0"/>
                    <w:jc w:val="center"/>
                    <w:rPr>
                      <w:rFonts w:hint="default" w:ascii="Times New Roman" w:hAnsi="Times New Roman" w:eastAsia="宋体" w:cs="Times New Roman"/>
                      <w:color w:val="auto"/>
                      <w:sz w:val="21"/>
                      <w:szCs w:val="21"/>
                    </w:rPr>
                  </w:pPr>
                </w:p>
              </w:tc>
              <w:tc>
                <w:tcPr>
                  <w:tcW w:w="455" w:type="pct"/>
                  <w:vMerge w:val="continue"/>
                  <w:tcBorders>
                    <w:bottom w:val="single" w:color="auto" w:sz="12" w:space="0"/>
                  </w:tcBorders>
                  <w:vAlign w:val="center"/>
                </w:tcPr>
                <w:p w14:paraId="2A2AF73A">
                  <w:pPr>
                    <w:autoSpaceDE w:val="0"/>
                    <w:autoSpaceDN w:val="0"/>
                    <w:snapToGrid w:val="0"/>
                    <w:jc w:val="center"/>
                    <w:rPr>
                      <w:rFonts w:hint="default" w:ascii="Times New Roman" w:hAnsi="Times New Roman" w:eastAsia="宋体" w:cs="Times New Roman"/>
                      <w:color w:val="auto"/>
                      <w:sz w:val="21"/>
                      <w:szCs w:val="21"/>
                    </w:rPr>
                  </w:pPr>
                </w:p>
              </w:tc>
              <w:tc>
                <w:tcPr>
                  <w:tcW w:w="558" w:type="pct"/>
                  <w:vMerge w:val="continue"/>
                  <w:tcBorders>
                    <w:bottom w:val="single" w:color="auto" w:sz="12" w:space="0"/>
                  </w:tcBorders>
                  <w:vAlign w:val="center"/>
                </w:tcPr>
                <w:p w14:paraId="4D5B331A">
                  <w:pPr>
                    <w:autoSpaceDE w:val="0"/>
                    <w:autoSpaceDN w:val="0"/>
                    <w:snapToGrid w:val="0"/>
                    <w:jc w:val="center"/>
                    <w:rPr>
                      <w:rFonts w:hint="default" w:ascii="Times New Roman" w:hAnsi="Times New Roman" w:eastAsia="宋体" w:cs="Times New Roman"/>
                      <w:color w:val="auto"/>
                      <w:sz w:val="21"/>
                      <w:szCs w:val="21"/>
                    </w:rPr>
                  </w:pPr>
                </w:p>
              </w:tc>
              <w:tc>
                <w:tcPr>
                  <w:tcW w:w="477" w:type="pct"/>
                  <w:vMerge w:val="continue"/>
                  <w:tcBorders>
                    <w:bottom w:val="single" w:color="auto" w:sz="12" w:space="0"/>
                  </w:tcBorders>
                  <w:vAlign w:val="center"/>
                </w:tcPr>
                <w:p w14:paraId="3EC44DC7">
                  <w:pPr>
                    <w:autoSpaceDE w:val="0"/>
                    <w:autoSpaceDN w:val="0"/>
                    <w:snapToGrid w:val="0"/>
                    <w:jc w:val="center"/>
                    <w:rPr>
                      <w:rFonts w:hint="default" w:ascii="Times New Roman" w:hAnsi="Times New Roman" w:eastAsia="宋体" w:cs="Times New Roman"/>
                      <w:color w:val="auto"/>
                      <w:sz w:val="21"/>
                      <w:szCs w:val="21"/>
                    </w:rPr>
                  </w:pPr>
                </w:p>
              </w:tc>
              <w:tc>
                <w:tcPr>
                  <w:tcW w:w="416" w:type="pct"/>
                  <w:vMerge w:val="continue"/>
                  <w:tcBorders>
                    <w:bottom w:val="single" w:color="auto" w:sz="12" w:space="0"/>
                  </w:tcBorders>
                  <w:vAlign w:val="center"/>
                </w:tcPr>
                <w:p w14:paraId="0BE8A343">
                  <w:pPr>
                    <w:autoSpaceDE w:val="0"/>
                    <w:autoSpaceDN w:val="0"/>
                    <w:snapToGrid w:val="0"/>
                    <w:jc w:val="center"/>
                    <w:rPr>
                      <w:rFonts w:hint="default" w:ascii="Times New Roman" w:hAnsi="Times New Roman" w:eastAsia="宋体" w:cs="Times New Roman"/>
                      <w:color w:val="auto"/>
                      <w:sz w:val="21"/>
                      <w:szCs w:val="21"/>
                    </w:rPr>
                  </w:pPr>
                </w:p>
              </w:tc>
              <w:tc>
                <w:tcPr>
                  <w:tcW w:w="345" w:type="pct"/>
                  <w:vMerge w:val="continue"/>
                  <w:tcBorders>
                    <w:bottom w:val="single" w:color="auto" w:sz="12" w:space="0"/>
                  </w:tcBorders>
                  <w:vAlign w:val="center"/>
                </w:tcPr>
                <w:p w14:paraId="76CBFE41">
                  <w:pPr>
                    <w:autoSpaceDE w:val="0"/>
                    <w:autoSpaceDN w:val="0"/>
                    <w:snapToGrid w:val="0"/>
                    <w:jc w:val="center"/>
                    <w:rPr>
                      <w:rFonts w:hint="default" w:ascii="Times New Roman" w:hAnsi="Times New Roman" w:eastAsia="宋体" w:cs="Times New Roman"/>
                      <w:color w:val="auto"/>
                      <w:sz w:val="21"/>
                      <w:szCs w:val="21"/>
                    </w:rPr>
                  </w:pPr>
                </w:p>
              </w:tc>
              <w:tc>
                <w:tcPr>
                  <w:tcW w:w="244" w:type="pct"/>
                  <w:vMerge w:val="continue"/>
                  <w:tcBorders>
                    <w:bottom w:val="single" w:color="auto" w:sz="12" w:space="0"/>
                  </w:tcBorders>
                  <w:vAlign w:val="center"/>
                </w:tcPr>
                <w:p w14:paraId="0AE5F74E">
                  <w:pPr>
                    <w:autoSpaceDE w:val="0"/>
                    <w:autoSpaceDN w:val="0"/>
                    <w:snapToGrid w:val="0"/>
                    <w:jc w:val="center"/>
                    <w:rPr>
                      <w:rFonts w:hint="default" w:ascii="Times New Roman" w:hAnsi="Times New Roman" w:eastAsia="宋体" w:cs="Times New Roman"/>
                      <w:color w:val="auto"/>
                      <w:sz w:val="21"/>
                      <w:szCs w:val="21"/>
                    </w:rPr>
                  </w:pPr>
                </w:p>
              </w:tc>
              <w:tc>
                <w:tcPr>
                  <w:tcW w:w="577" w:type="pct"/>
                  <w:vMerge w:val="continue"/>
                  <w:tcBorders>
                    <w:bottom w:val="single" w:color="auto" w:sz="12" w:space="0"/>
                  </w:tcBorders>
                  <w:vAlign w:val="center"/>
                </w:tcPr>
                <w:p w14:paraId="334D3032">
                  <w:pPr>
                    <w:autoSpaceDE w:val="0"/>
                    <w:autoSpaceDN w:val="0"/>
                    <w:snapToGrid w:val="0"/>
                    <w:jc w:val="center"/>
                    <w:rPr>
                      <w:rFonts w:hint="default" w:ascii="Times New Roman" w:hAnsi="Times New Roman" w:eastAsia="宋体" w:cs="Times New Roman"/>
                      <w:color w:val="auto"/>
                      <w:sz w:val="21"/>
                      <w:szCs w:val="21"/>
                    </w:rPr>
                  </w:pPr>
                </w:p>
              </w:tc>
              <w:tc>
                <w:tcPr>
                  <w:tcW w:w="460" w:type="pct"/>
                  <w:tcBorders>
                    <w:bottom w:val="single" w:color="auto" w:sz="12" w:space="0"/>
                  </w:tcBorders>
                  <w:vAlign w:val="center"/>
                </w:tcPr>
                <w:p w14:paraId="333EC53B">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TN</w:t>
                  </w:r>
                </w:p>
              </w:tc>
              <w:tc>
                <w:tcPr>
                  <w:tcW w:w="482" w:type="pct"/>
                  <w:tcBorders>
                    <w:bottom w:val="single" w:color="auto" w:sz="12" w:space="0"/>
                    <w:right w:val="nil"/>
                  </w:tcBorders>
                  <w:vAlign w:val="center"/>
                </w:tcPr>
                <w:p w14:paraId="0A2144D3">
                  <w:pPr>
                    <w:autoSpaceDE w:val="0"/>
                    <w:autoSpaceDN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12（15）*</w:t>
                  </w:r>
                </w:p>
              </w:tc>
            </w:tr>
          </w:tbl>
          <w:p w14:paraId="232A0E8E">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注*：2026年3月28日起，每年11月1日至次年3月31日执行括号内排放限值。</w:t>
            </w:r>
          </w:p>
          <w:p w14:paraId="281390CC">
            <w:pPr>
              <w:keepNext/>
              <w:spacing w:line="500" w:lineRule="exact"/>
              <w:jc w:val="center"/>
              <w:rPr>
                <w:rFonts w:hint="default" w:ascii="Times New Roman" w:hAnsi="Times New Roman" w:eastAsia="宋体" w:cs="Times New Roman"/>
                <w:b/>
                <w:color w:val="auto"/>
                <w:sz w:val="24"/>
                <w:szCs w:val="24"/>
              </w:rPr>
            </w:pPr>
            <w:r>
              <w:rPr>
                <w:rFonts w:hint="eastAsia" w:ascii="Times New Roman" w:hAnsi="Times New Roman" w:eastAsia="宋体" w:cs="Times New Roman"/>
                <w:b/>
                <w:color w:val="auto"/>
                <w:sz w:val="24"/>
                <w:szCs w:val="24"/>
                <w:lang w:val="en-US" w:eastAsia="zh-CN"/>
              </w:rPr>
              <w:t xml:space="preserve">表4-16  </w:t>
            </w:r>
            <w:r>
              <w:rPr>
                <w:rFonts w:hint="default" w:ascii="Times New Roman" w:hAnsi="Times New Roman" w:eastAsia="宋体" w:cs="Times New Roman"/>
                <w:b/>
                <w:color w:val="auto"/>
                <w:sz w:val="24"/>
                <w:szCs w:val="24"/>
              </w:rPr>
              <w:t>废水污染物排放执行标准表</w:t>
            </w:r>
          </w:p>
          <w:tbl>
            <w:tblPr>
              <w:tblStyle w:val="27"/>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9"/>
              <w:gridCol w:w="1794"/>
              <w:gridCol w:w="2207"/>
              <w:gridCol w:w="1839"/>
              <w:gridCol w:w="1232"/>
            </w:tblGrid>
            <w:tr w14:paraId="455198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pct"/>
                  <w:vMerge w:val="restart"/>
                  <w:tcBorders>
                    <w:tl2br w:val="nil"/>
                    <w:tr2bl w:val="nil"/>
                  </w:tcBorders>
                  <w:vAlign w:val="center"/>
                </w:tcPr>
                <w:p w14:paraId="11A6AD91">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排放口编号</w:t>
                  </w:r>
                </w:p>
              </w:tc>
              <w:tc>
                <w:tcPr>
                  <w:tcW w:w="1079" w:type="pct"/>
                  <w:vMerge w:val="restart"/>
                  <w:tcBorders>
                    <w:tl2br w:val="nil"/>
                    <w:tr2bl w:val="nil"/>
                  </w:tcBorders>
                  <w:vAlign w:val="center"/>
                </w:tcPr>
                <w:p w14:paraId="425D43C8">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污染物种类</w:t>
                  </w:r>
                </w:p>
              </w:tc>
              <w:tc>
                <w:tcPr>
                  <w:tcW w:w="3174" w:type="pct"/>
                  <w:gridSpan w:val="3"/>
                  <w:tcBorders>
                    <w:tl2br w:val="nil"/>
                    <w:tr2bl w:val="nil"/>
                  </w:tcBorders>
                  <w:vAlign w:val="center"/>
                </w:tcPr>
                <w:p w14:paraId="0EFE1AAA">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国家或地方排放标准及其他按规定商议的排放协议</w:t>
                  </w:r>
                </w:p>
              </w:tc>
            </w:tr>
            <w:tr w14:paraId="354AA7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pct"/>
                  <w:vMerge w:val="continue"/>
                  <w:tcBorders>
                    <w:tl2br w:val="nil"/>
                    <w:tr2bl w:val="nil"/>
                  </w:tcBorders>
                  <w:vAlign w:val="center"/>
                </w:tcPr>
                <w:p w14:paraId="6650FE3C">
                  <w:pPr>
                    <w:widowControl/>
                    <w:jc w:val="center"/>
                    <w:rPr>
                      <w:rFonts w:hint="default" w:ascii="Times New Roman" w:hAnsi="Times New Roman" w:eastAsia="宋体" w:cs="Times New Roman"/>
                      <w:b/>
                      <w:bCs/>
                      <w:color w:val="auto"/>
                      <w:kern w:val="0"/>
                      <w:sz w:val="21"/>
                      <w:szCs w:val="21"/>
                    </w:rPr>
                  </w:pPr>
                </w:p>
              </w:tc>
              <w:tc>
                <w:tcPr>
                  <w:tcW w:w="1079" w:type="pct"/>
                  <w:vMerge w:val="continue"/>
                  <w:tcBorders>
                    <w:tl2br w:val="nil"/>
                    <w:tr2bl w:val="nil"/>
                  </w:tcBorders>
                  <w:vAlign w:val="center"/>
                </w:tcPr>
                <w:p w14:paraId="4C363AEF">
                  <w:pPr>
                    <w:widowControl/>
                    <w:jc w:val="center"/>
                    <w:rPr>
                      <w:rFonts w:hint="default" w:ascii="Times New Roman" w:hAnsi="Times New Roman" w:eastAsia="宋体" w:cs="Times New Roman"/>
                      <w:b/>
                      <w:bCs/>
                      <w:color w:val="auto"/>
                      <w:kern w:val="0"/>
                      <w:sz w:val="21"/>
                      <w:szCs w:val="21"/>
                    </w:rPr>
                  </w:pPr>
                </w:p>
              </w:tc>
              <w:tc>
                <w:tcPr>
                  <w:tcW w:w="1327" w:type="pct"/>
                  <w:tcBorders>
                    <w:tl2br w:val="nil"/>
                    <w:tr2bl w:val="nil"/>
                  </w:tcBorders>
                  <w:vAlign w:val="center"/>
                </w:tcPr>
                <w:p w14:paraId="577FB552">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名称</w:t>
                  </w:r>
                </w:p>
              </w:tc>
              <w:tc>
                <w:tcPr>
                  <w:tcW w:w="1847" w:type="pct"/>
                  <w:gridSpan w:val="2"/>
                  <w:tcBorders>
                    <w:tl2br w:val="nil"/>
                    <w:tr2bl w:val="nil"/>
                  </w:tcBorders>
                  <w:vAlign w:val="center"/>
                </w:tcPr>
                <w:p w14:paraId="595BE41A">
                  <w:pPr>
                    <w:widowControl/>
                    <w:jc w:val="center"/>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浓度限值（mg/L）</w:t>
                  </w:r>
                </w:p>
              </w:tc>
            </w:tr>
            <w:tr w14:paraId="1619E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pct"/>
                  <w:vMerge w:val="restart"/>
                  <w:tcBorders>
                    <w:tl2br w:val="nil"/>
                    <w:tr2bl w:val="nil"/>
                  </w:tcBorders>
                  <w:vAlign w:val="center"/>
                </w:tcPr>
                <w:p w14:paraId="0BF8070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DW01</w:t>
                  </w:r>
                </w:p>
              </w:tc>
              <w:tc>
                <w:tcPr>
                  <w:tcW w:w="1079" w:type="pct"/>
                  <w:vMerge w:val="restart"/>
                  <w:tcBorders>
                    <w:tl2br w:val="nil"/>
                    <w:tr2bl w:val="nil"/>
                  </w:tcBorders>
                  <w:vAlign w:val="center"/>
                </w:tcPr>
                <w:p w14:paraId="45334953">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COD、SS、NH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-N、TN、TP</w:t>
                  </w:r>
                </w:p>
              </w:tc>
              <w:tc>
                <w:tcPr>
                  <w:tcW w:w="1327" w:type="pct"/>
                  <w:vMerge w:val="restart"/>
                  <w:tcBorders>
                    <w:tl2br w:val="nil"/>
                    <w:tr2bl w:val="nil"/>
                  </w:tcBorders>
                  <w:vAlign w:val="center"/>
                </w:tcPr>
                <w:p w14:paraId="5B90D98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金坛第二污水处理厂接管标准</w:t>
                  </w:r>
                </w:p>
              </w:tc>
              <w:tc>
                <w:tcPr>
                  <w:tcW w:w="1106" w:type="pct"/>
                  <w:tcBorders>
                    <w:tl2br w:val="nil"/>
                    <w:tr2bl w:val="nil"/>
                  </w:tcBorders>
                  <w:vAlign w:val="center"/>
                </w:tcPr>
                <w:p w14:paraId="5EF705B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COD</w:t>
                  </w:r>
                </w:p>
              </w:tc>
              <w:tc>
                <w:tcPr>
                  <w:tcW w:w="741" w:type="pct"/>
                  <w:tcBorders>
                    <w:tl2br w:val="nil"/>
                    <w:tr2bl w:val="nil"/>
                  </w:tcBorders>
                  <w:vAlign w:val="center"/>
                </w:tcPr>
                <w:p w14:paraId="45A2EAE3">
                  <w:pPr>
                    <w:pStyle w:val="7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r>
            <w:tr w14:paraId="53803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pct"/>
                  <w:vMerge w:val="continue"/>
                  <w:tcBorders>
                    <w:tl2br w:val="nil"/>
                    <w:tr2bl w:val="nil"/>
                  </w:tcBorders>
                  <w:vAlign w:val="center"/>
                </w:tcPr>
                <w:p w14:paraId="7A2C1D17">
                  <w:pPr>
                    <w:widowControl/>
                    <w:jc w:val="center"/>
                    <w:rPr>
                      <w:rFonts w:hint="default" w:ascii="Times New Roman" w:hAnsi="Times New Roman" w:eastAsia="宋体" w:cs="Times New Roman"/>
                      <w:color w:val="auto"/>
                      <w:kern w:val="0"/>
                      <w:sz w:val="21"/>
                      <w:szCs w:val="21"/>
                    </w:rPr>
                  </w:pPr>
                </w:p>
              </w:tc>
              <w:tc>
                <w:tcPr>
                  <w:tcW w:w="1079" w:type="pct"/>
                  <w:vMerge w:val="continue"/>
                  <w:tcBorders>
                    <w:tl2br w:val="nil"/>
                    <w:tr2bl w:val="nil"/>
                  </w:tcBorders>
                  <w:vAlign w:val="center"/>
                </w:tcPr>
                <w:p w14:paraId="0964F7F7">
                  <w:pPr>
                    <w:widowControl/>
                    <w:rPr>
                      <w:rFonts w:hint="default" w:ascii="Times New Roman" w:hAnsi="Times New Roman" w:eastAsia="宋体" w:cs="Times New Roman"/>
                      <w:color w:val="auto"/>
                      <w:kern w:val="0"/>
                      <w:sz w:val="21"/>
                      <w:szCs w:val="21"/>
                    </w:rPr>
                  </w:pPr>
                </w:p>
              </w:tc>
              <w:tc>
                <w:tcPr>
                  <w:tcW w:w="1327" w:type="pct"/>
                  <w:vMerge w:val="continue"/>
                  <w:tcBorders>
                    <w:tl2br w:val="nil"/>
                    <w:tr2bl w:val="nil"/>
                  </w:tcBorders>
                  <w:vAlign w:val="center"/>
                </w:tcPr>
                <w:p w14:paraId="018974E8">
                  <w:pPr>
                    <w:widowControl/>
                    <w:jc w:val="center"/>
                    <w:rPr>
                      <w:rFonts w:hint="default" w:ascii="Times New Roman" w:hAnsi="Times New Roman" w:eastAsia="宋体" w:cs="Times New Roman"/>
                      <w:color w:val="auto"/>
                      <w:kern w:val="0"/>
                      <w:sz w:val="21"/>
                      <w:szCs w:val="21"/>
                    </w:rPr>
                  </w:pPr>
                </w:p>
              </w:tc>
              <w:tc>
                <w:tcPr>
                  <w:tcW w:w="1106" w:type="pct"/>
                  <w:tcBorders>
                    <w:tl2br w:val="nil"/>
                    <w:tr2bl w:val="nil"/>
                  </w:tcBorders>
                  <w:vAlign w:val="center"/>
                </w:tcPr>
                <w:p w14:paraId="1156A846">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SS</w:t>
                  </w:r>
                </w:p>
              </w:tc>
              <w:tc>
                <w:tcPr>
                  <w:tcW w:w="741" w:type="pct"/>
                  <w:tcBorders>
                    <w:tl2br w:val="nil"/>
                    <w:tr2bl w:val="nil"/>
                  </w:tcBorders>
                  <w:vAlign w:val="center"/>
                </w:tcPr>
                <w:p w14:paraId="44823D8D">
                  <w:pPr>
                    <w:pStyle w:val="7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250</w:t>
                  </w:r>
                </w:p>
              </w:tc>
            </w:tr>
            <w:tr w14:paraId="1E04B8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pct"/>
                  <w:vMerge w:val="continue"/>
                  <w:tcBorders>
                    <w:tl2br w:val="nil"/>
                    <w:tr2bl w:val="nil"/>
                  </w:tcBorders>
                  <w:vAlign w:val="center"/>
                </w:tcPr>
                <w:p w14:paraId="77F5645C">
                  <w:pPr>
                    <w:widowControl/>
                    <w:jc w:val="center"/>
                    <w:rPr>
                      <w:rFonts w:hint="default" w:ascii="Times New Roman" w:hAnsi="Times New Roman" w:eastAsia="宋体" w:cs="Times New Roman"/>
                      <w:color w:val="auto"/>
                      <w:kern w:val="0"/>
                      <w:sz w:val="21"/>
                      <w:szCs w:val="21"/>
                    </w:rPr>
                  </w:pPr>
                </w:p>
              </w:tc>
              <w:tc>
                <w:tcPr>
                  <w:tcW w:w="1079" w:type="pct"/>
                  <w:vMerge w:val="continue"/>
                  <w:tcBorders>
                    <w:tl2br w:val="nil"/>
                    <w:tr2bl w:val="nil"/>
                  </w:tcBorders>
                  <w:vAlign w:val="center"/>
                </w:tcPr>
                <w:p w14:paraId="1C1812FD">
                  <w:pPr>
                    <w:widowControl/>
                    <w:jc w:val="center"/>
                    <w:rPr>
                      <w:rFonts w:hint="default" w:ascii="Times New Roman" w:hAnsi="Times New Roman" w:eastAsia="宋体" w:cs="Times New Roman"/>
                      <w:color w:val="auto"/>
                      <w:kern w:val="0"/>
                      <w:sz w:val="21"/>
                      <w:szCs w:val="21"/>
                    </w:rPr>
                  </w:pPr>
                </w:p>
              </w:tc>
              <w:tc>
                <w:tcPr>
                  <w:tcW w:w="1327" w:type="pct"/>
                  <w:vMerge w:val="continue"/>
                  <w:tcBorders>
                    <w:tl2br w:val="nil"/>
                    <w:tr2bl w:val="nil"/>
                  </w:tcBorders>
                  <w:vAlign w:val="center"/>
                </w:tcPr>
                <w:p w14:paraId="629D273C">
                  <w:pPr>
                    <w:widowControl/>
                    <w:jc w:val="center"/>
                    <w:rPr>
                      <w:rFonts w:hint="default" w:ascii="Times New Roman" w:hAnsi="Times New Roman" w:eastAsia="宋体" w:cs="Times New Roman"/>
                      <w:color w:val="auto"/>
                      <w:kern w:val="0"/>
                      <w:sz w:val="21"/>
                      <w:szCs w:val="21"/>
                    </w:rPr>
                  </w:pPr>
                </w:p>
              </w:tc>
              <w:tc>
                <w:tcPr>
                  <w:tcW w:w="1106" w:type="pct"/>
                  <w:tcBorders>
                    <w:tl2br w:val="nil"/>
                    <w:tr2bl w:val="nil"/>
                  </w:tcBorders>
                  <w:vAlign w:val="center"/>
                </w:tcPr>
                <w:p w14:paraId="41F712E5">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NH</w:t>
                  </w:r>
                  <w:r>
                    <w:rPr>
                      <w:rFonts w:hint="default" w:ascii="Times New Roman" w:hAnsi="Times New Roman" w:eastAsia="宋体" w:cs="Times New Roman"/>
                      <w:color w:val="auto"/>
                      <w:kern w:val="0"/>
                      <w:sz w:val="21"/>
                      <w:szCs w:val="21"/>
                      <w:vertAlign w:val="subscript"/>
                    </w:rPr>
                    <w:t>3</w:t>
                  </w:r>
                  <w:r>
                    <w:rPr>
                      <w:rFonts w:hint="default" w:ascii="Times New Roman" w:hAnsi="Times New Roman" w:eastAsia="宋体" w:cs="Times New Roman"/>
                      <w:color w:val="auto"/>
                      <w:kern w:val="0"/>
                      <w:sz w:val="21"/>
                      <w:szCs w:val="21"/>
                    </w:rPr>
                    <w:t>-N</w:t>
                  </w:r>
                </w:p>
              </w:tc>
              <w:tc>
                <w:tcPr>
                  <w:tcW w:w="741" w:type="pct"/>
                  <w:tcBorders>
                    <w:tl2br w:val="nil"/>
                    <w:tr2bl w:val="nil"/>
                  </w:tcBorders>
                  <w:vAlign w:val="center"/>
                </w:tcPr>
                <w:p w14:paraId="3E9CBCD3">
                  <w:pPr>
                    <w:pStyle w:val="7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35</w:t>
                  </w:r>
                </w:p>
              </w:tc>
            </w:tr>
            <w:tr w14:paraId="2306BF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pct"/>
                  <w:vMerge w:val="continue"/>
                  <w:tcBorders>
                    <w:tl2br w:val="nil"/>
                    <w:tr2bl w:val="nil"/>
                  </w:tcBorders>
                  <w:vAlign w:val="center"/>
                </w:tcPr>
                <w:p w14:paraId="36189CC9">
                  <w:pPr>
                    <w:widowControl/>
                    <w:jc w:val="center"/>
                    <w:rPr>
                      <w:rFonts w:hint="default" w:ascii="Times New Roman" w:hAnsi="Times New Roman" w:eastAsia="宋体" w:cs="Times New Roman"/>
                      <w:color w:val="auto"/>
                      <w:kern w:val="0"/>
                      <w:sz w:val="21"/>
                      <w:szCs w:val="21"/>
                    </w:rPr>
                  </w:pPr>
                </w:p>
              </w:tc>
              <w:tc>
                <w:tcPr>
                  <w:tcW w:w="1079" w:type="pct"/>
                  <w:vMerge w:val="continue"/>
                  <w:tcBorders>
                    <w:tl2br w:val="nil"/>
                    <w:tr2bl w:val="nil"/>
                  </w:tcBorders>
                  <w:vAlign w:val="center"/>
                </w:tcPr>
                <w:p w14:paraId="694399D8">
                  <w:pPr>
                    <w:widowControl/>
                    <w:jc w:val="center"/>
                    <w:rPr>
                      <w:rFonts w:hint="default" w:ascii="Times New Roman" w:hAnsi="Times New Roman" w:eastAsia="宋体" w:cs="Times New Roman"/>
                      <w:color w:val="auto"/>
                      <w:kern w:val="0"/>
                      <w:sz w:val="21"/>
                      <w:szCs w:val="21"/>
                    </w:rPr>
                  </w:pPr>
                </w:p>
              </w:tc>
              <w:tc>
                <w:tcPr>
                  <w:tcW w:w="1327" w:type="pct"/>
                  <w:vMerge w:val="continue"/>
                  <w:tcBorders>
                    <w:tl2br w:val="nil"/>
                    <w:tr2bl w:val="nil"/>
                  </w:tcBorders>
                  <w:vAlign w:val="center"/>
                </w:tcPr>
                <w:p w14:paraId="6171D09A">
                  <w:pPr>
                    <w:widowControl/>
                    <w:jc w:val="center"/>
                    <w:rPr>
                      <w:rFonts w:hint="default" w:ascii="Times New Roman" w:hAnsi="Times New Roman" w:eastAsia="宋体" w:cs="Times New Roman"/>
                      <w:color w:val="auto"/>
                      <w:kern w:val="0"/>
                      <w:sz w:val="21"/>
                      <w:szCs w:val="21"/>
                    </w:rPr>
                  </w:pPr>
                </w:p>
              </w:tc>
              <w:tc>
                <w:tcPr>
                  <w:tcW w:w="1106" w:type="pct"/>
                  <w:tcBorders>
                    <w:tl2br w:val="nil"/>
                    <w:tr2bl w:val="nil"/>
                  </w:tcBorders>
                  <w:vAlign w:val="center"/>
                </w:tcPr>
                <w:p w14:paraId="665C9BAE">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TP</w:t>
                  </w:r>
                </w:p>
              </w:tc>
              <w:tc>
                <w:tcPr>
                  <w:tcW w:w="741" w:type="pct"/>
                  <w:tcBorders>
                    <w:tl2br w:val="nil"/>
                    <w:tr2bl w:val="nil"/>
                  </w:tcBorders>
                  <w:vAlign w:val="center"/>
                </w:tcPr>
                <w:p w14:paraId="09CD4618">
                  <w:pPr>
                    <w:pStyle w:val="7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r>
            <w:tr w14:paraId="1DDF8C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45" w:type="pct"/>
                  <w:vMerge w:val="continue"/>
                  <w:tcBorders>
                    <w:tl2br w:val="nil"/>
                    <w:tr2bl w:val="nil"/>
                  </w:tcBorders>
                  <w:vAlign w:val="center"/>
                </w:tcPr>
                <w:p w14:paraId="09EEB00B">
                  <w:pPr>
                    <w:widowControl/>
                    <w:jc w:val="center"/>
                    <w:rPr>
                      <w:rFonts w:hint="default" w:ascii="Times New Roman" w:hAnsi="Times New Roman" w:eastAsia="宋体" w:cs="Times New Roman"/>
                      <w:color w:val="auto"/>
                      <w:kern w:val="0"/>
                      <w:sz w:val="21"/>
                      <w:szCs w:val="21"/>
                    </w:rPr>
                  </w:pPr>
                </w:p>
              </w:tc>
              <w:tc>
                <w:tcPr>
                  <w:tcW w:w="1079" w:type="pct"/>
                  <w:vMerge w:val="continue"/>
                  <w:tcBorders>
                    <w:tl2br w:val="nil"/>
                    <w:tr2bl w:val="nil"/>
                  </w:tcBorders>
                  <w:vAlign w:val="center"/>
                </w:tcPr>
                <w:p w14:paraId="24E45D08">
                  <w:pPr>
                    <w:widowControl/>
                    <w:jc w:val="center"/>
                    <w:rPr>
                      <w:rFonts w:hint="default" w:ascii="Times New Roman" w:hAnsi="Times New Roman" w:eastAsia="宋体" w:cs="Times New Roman"/>
                      <w:color w:val="auto"/>
                      <w:kern w:val="0"/>
                      <w:sz w:val="21"/>
                      <w:szCs w:val="21"/>
                    </w:rPr>
                  </w:pPr>
                </w:p>
              </w:tc>
              <w:tc>
                <w:tcPr>
                  <w:tcW w:w="1327" w:type="pct"/>
                  <w:vMerge w:val="continue"/>
                  <w:tcBorders>
                    <w:tl2br w:val="nil"/>
                    <w:tr2bl w:val="nil"/>
                  </w:tcBorders>
                  <w:vAlign w:val="center"/>
                </w:tcPr>
                <w:p w14:paraId="67D1B6DF">
                  <w:pPr>
                    <w:widowControl/>
                    <w:jc w:val="center"/>
                    <w:rPr>
                      <w:rFonts w:hint="default" w:ascii="Times New Roman" w:hAnsi="Times New Roman" w:eastAsia="宋体" w:cs="Times New Roman"/>
                      <w:color w:val="auto"/>
                      <w:kern w:val="0"/>
                      <w:sz w:val="21"/>
                      <w:szCs w:val="21"/>
                    </w:rPr>
                  </w:pPr>
                </w:p>
              </w:tc>
              <w:tc>
                <w:tcPr>
                  <w:tcW w:w="1106" w:type="pct"/>
                  <w:tcBorders>
                    <w:tl2br w:val="nil"/>
                    <w:tr2bl w:val="nil"/>
                  </w:tcBorders>
                  <w:vAlign w:val="center"/>
                </w:tcPr>
                <w:p w14:paraId="73618757">
                  <w:pPr>
                    <w:widowControl/>
                    <w:jc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TN</w:t>
                  </w:r>
                </w:p>
              </w:tc>
              <w:tc>
                <w:tcPr>
                  <w:tcW w:w="741" w:type="pct"/>
                  <w:tcBorders>
                    <w:tl2br w:val="nil"/>
                    <w:tr2bl w:val="nil"/>
                  </w:tcBorders>
                  <w:vAlign w:val="center"/>
                </w:tcPr>
                <w:p w14:paraId="7F91F7E2">
                  <w:pPr>
                    <w:pStyle w:val="76"/>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w:t>
                  </w:r>
                </w:p>
              </w:tc>
            </w:tr>
          </w:tbl>
          <w:p w14:paraId="37FC993A">
            <w:pPr>
              <w:keepNext w:val="0"/>
              <w:keepLines w:val="0"/>
              <w:pageBreakBefore w:val="0"/>
              <w:widowControl w:val="0"/>
              <w:kinsoku/>
              <w:wordWrap/>
              <w:overflowPunct/>
              <w:topLinePunct w:val="0"/>
              <w:autoSpaceDE/>
              <w:autoSpaceDN/>
              <w:bidi w:val="0"/>
              <w:adjustRightInd w:val="0"/>
              <w:snapToGrid w:val="0"/>
              <w:spacing w:before="120"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5.</w:t>
            </w:r>
            <w:r>
              <w:rPr>
                <w:rFonts w:hint="default" w:ascii="Times New Roman" w:hAnsi="Times New Roman" w:eastAsia="宋体" w:cs="Times New Roman"/>
                <w:b/>
                <w:bCs/>
                <w:color w:val="auto"/>
                <w:sz w:val="24"/>
              </w:rPr>
              <w:t>监测要求</w:t>
            </w:r>
          </w:p>
          <w:p w14:paraId="47FF4212">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eastAsia="宋体" w:cs="Times New Roman"/>
                <w:bCs/>
                <w:color w:val="auto"/>
                <w:kern w:val="2"/>
                <w:sz w:val="24"/>
                <w:szCs w:val="24"/>
                <w:highlight w:val="none"/>
                <w:lang w:val="en-US" w:eastAsia="zh-CN" w:bidi="ar-SA"/>
              </w:rPr>
              <w:t>根据《排污许可证申请与核发技术规范 总则》（HJ819-2018）和《排污单位自行监测技术指南 总则》（HJ819-2017），本项目生活污水间接排放口不需监测，则项目不需监测污水排放口。</w:t>
            </w:r>
          </w:p>
          <w:p w14:paraId="5CDDBB5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6.排污口规范化设置</w:t>
            </w:r>
          </w:p>
          <w:p w14:paraId="66E034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本项目依托出租方现有雨水和污水排放口，不改变现有排水系统。目前项目所在地地块内已实施</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雨污分流</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，并设置规范化雨水排放口。</w:t>
            </w:r>
          </w:p>
          <w:p w14:paraId="31E336A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val="0"/>
                <w:color w:val="auto"/>
                <w:sz w:val="24"/>
                <w:highlight w:val="none"/>
                <w:lang w:val="en-US" w:eastAsia="zh-CN"/>
              </w:rPr>
            </w:pPr>
            <w:r>
              <w:rPr>
                <w:rFonts w:hint="default" w:ascii="Times New Roman" w:hAnsi="Times New Roman" w:eastAsia="宋体" w:cs="Times New Roman"/>
                <w:b/>
                <w:bCs w:val="0"/>
                <w:color w:val="auto"/>
                <w:sz w:val="24"/>
                <w:highlight w:val="none"/>
                <w:lang w:val="en-US" w:eastAsia="zh-CN"/>
              </w:rPr>
              <w:t>7.环境影响分析小结</w:t>
            </w:r>
          </w:p>
          <w:p w14:paraId="03D81EC5">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highlight w:val="none"/>
                <w:lang w:val="en-US" w:eastAsia="zh-CN"/>
              </w:rPr>
              <w:t>本项目生活污水经化粪池预处理后接管至</w:t>
            </w:r>
            <w:r>
              <w:rPr>
                <w:rFonts w:hint="default" w:ascii="Times New Roman" w:hAnsi="Times New Roman" w:eastAsia="宋体" w:cs="Times New Roman"/>
                <w:b w:val="0"/>
                <w:bCs w:val="0"/>
                <w:color w:val="auto"/>
                <w:kern w:val="2"/>
                <w:sz w:val="24"/>
                <w:szCs w:val="24"/>
                <w:highlight w:val="none"/>
                <w:lang w:val="en-US" w:eastAsia="zh-CN" w:bidi="ar-SA"/>
              </w:rPr>
              <w:t>金坛第二污水处理厂</w:t>
            </w:r>
            <w:r>
              <w:rPr>
                <w:rFonts w:hint="default" w:ascii="Times New Roman" w:hAnsi="Times New Roman" w:eastAsia="宋体" w:cs="Times New Roman"/>
                <w:bCs/>
                <w:color w:val="auto"/>
                <w:sz w:val="24"/>
                <w:highlight w:val="none"/>
                <w:lang w:val="en-US" w:eastAsia="zh-CN"/>
              </w:rPr>
              <w:t>集中处理，尾水排入尧塘河。故本项目废水排放对地表水环境影响很小，是可以接受的。</w:t>
            </w:r>
          </w:p>
          <w:p w14:paraId="7306224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三、噪声</w:t>
            </w:r>
          </w:p>
          <w:p w14:paraId="789B82A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1、噪声源强分析</w:t>
            </w:r>
          </w:p>
          <w:p w14:paraId="6B056B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本项目高噪声源主要为喷砂机</w:t>
            </w:r>
            <w:r>
              <w:rPr>
                <w:rFonts w:hint="eastAsia" w:ascii="Times New Roman" w:hAnsi="Times New Roman" w:eastAsia="宋体" w:cs="Times New Roman"/>
                <w:bCs/>
                <w:color w:val="auto"/>
                <w:sz w:val="24"/>
                <w:highlight w:val="none"/>
                <w:lang w:val="en-US" w:eastAsia="zh-CN"/>
              </w:rPr>
              <w:t>、拉力测试机</w:t>
            </w:r>
            <w:r>
              <w:rPr>
                <w:rFonts w:hint="default" w:ascii="Times New Roman" w:hAnsi="Times New Roman" w:eastAsia="宋体" w:cs="Times New Roman"/>
                <w:bCs/>
                <w:color w:val="auto"/>
                <w:sz w:val="24"/>
                <w:highlight w:val="none"/>
                <w:lang w:val="en-US" w:eastAsia="zh-CN"/>
              </w:rPr>
              <w:t>等设备，项目噪声源距离1米处声压级在</w:t>
            </w:r>
            <w:r>
              <w:rPr>
                <w:rFonts w:hint="eastAsia" w:ascii="Times New Roman" w:hAnsi="Times New Roman" w:eastAsia="宋体" w:cs="Times New Roman"/>
                <w:bCs/>
                <w:color w:val="auto"/>
                <w:sz w:val="24"/>
                <w:highlight w:val="none"/>
                <w:lang w:val="en-US" w:eastAsia="zh-CN"/>
              </w:rPr>
              <w:t>8</w:t>
            </w:r>
            <w:r>
              <w:rPr>
                <w:rFonts w:hint="default" w:ascii="Times New Roman" w:hAnsi="Times New Roman" w:eastAsia="宋体" w:cs="Times New Roman"/>
                <w:bCs/>
                <w:color w:val="auto"/>
                <w:sz w:val="24"/>
                <w:highlight w:val="none"/>
                <w:lang w:val="en-US" w:eastAsia="zh-CN"/>
              </w:rPr>
              <w:t>0~85dB（A）之间。</w:t>
            </w:r>
          </w:p>
          <w:p w14:paraId="78D5B7A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highlight w:val="none"/>
                <w:lang w:val="en-US" w:eastAsia="zh-CN"/>
              </w:rPr>
              <w:t>项目采取的主要治理措施有：合理布局，充分利用厂区建筑物隔声、降噪；在高噪声、高振动设备底部设置减振垫铁；设备加强日常的维护，确保设备的正常运行，避免产生异常噪声。项目主要噪声源产生及排放情况如下表所示。</w:t>
            </w:r>
          </w:p>
          <w:p w14:paraId="2223BDE5">
            <w:pPr>
              <w:spacing w:line="360" w:lineRule="auto"/>
              <w:ind w:firstLine="480" w:firstLineChars="200"/>
              <w:rPr>
                <w:rFonts w:hint="default" w:ascii="Times New Roman" w:hAnsi="Times New Roman" w:eastAsia="宋体" w:cs="Times New Roman"/>
                <w:color w:val="auto"/>
                <w:sz w:val="24"/>
              </w:rPr>
            </w:pPr>
          </w:p>
          <w:p w14:paraId="4BCCB2EE">
            <w:pPr>
              <w:spacing w:line="360" w:lineRule="auto"/>
              <w:rPr>
                <w:rFonts w:hint="default" w:ascii="Times New Roman" w:hAnsi="Times New Roman" w:eastAsia="宋体" w:cs="Times New Roman"/>
                <w:color w:val="auto"/>
                <w:sz w:val="24"/>
              </w:rPr>
            </w:pPr>
          </w:p>
        </w:tc>
      </w:tr>
    </w:tbl>
    <w:p w14:paraId="39996786">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9"/>
        <w:gridCol w:w="13445"/>
      </w:tblGrid>
      <w:tr w14:paraId="485C3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1" w:hRule="atLeast"/>
        </w:trPr>
        <w:tc>
          <w:tcPr>
            <w:tcW w:w="257" w:type="pct"/>
            <w:vAlign w:val="center"/>
          </w:tcPr>
          <w:p w14:paraId="47945A7A">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运营期环境影响和保护措施</w:t>
            </w:r>
          </w:p>
        </w:tc>
        <w:tc>
          <w:tcPr>
            <w:tcW w:w="4742" w:type="pct"/>
            <w:vAlign w:val="center"/>
          </w:tcPr>
          <w:p w14:paraId="48522AF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rPr>
              <w:t>表4-1</w:t>
            </w:r>
            <w:r>
              <w:rPr>
                <w:rFonts w:hint="eastAsia" w:ascii="Times New Roman" w:hAnsi="Times New Roman" w:eastAsia="宋体" w:cs="Times New Roman"/>
                <w:b/>
                <w:bCs/>
                <w:color w:val="auto"/>
                <w:sz w:val="24"/>
                <w:szCs w:val="24"/>
                <w:lang w:val="en-US" w:eastAsia="zh-CN"/>
              </w:rPr>
              <w:t xml:space="preserve">7  </w:t>
            </w:r>
            <w:r>
              <w:rPr>
                <w:rFonts w:hint="default" w:ascii="Times New Roman" w:hAnsi="Times New Roman" w:eastAsia="宋体" w:cs="Times New Roman"/>
                <w:b/>
                <w:bCs/>
                <w:color w:val="auto"/>
                <w:sz w:val="24"/>
                <w:szCs w:val="24"/>
              </w:rPr>
              <w:t>本项目主要噪声污染源一览表</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lang w:val="en-US" w:eastAsia="zh-CN"/>
              </w:rPr>
              <w:t>室内声源</w:t>
            </w:r>
            <w:r>
              <w:rPr>
                <w:rFonts w:hint="default" w:ascii="Times New Roman" w:hAnsi="Times New Roman" w:eastAsia="宋体" w:cs="Times New Roman"/>
                <w:b/>
                <w:bCs/>
                <w:color w:val="auto"/>
                <w:sz w:val="24"/>
                <w:szCs w:val="24"/>
                <w:lang w:eastAsia="zh-CN"/>
              </w:rPr>
              <w:t>）</w:t>
            </w:r>
          </w:p>
          <w:tbl>
            <w:tblPr>
              <w:tblStyle w:val="27"/>
              <w:tblW w:w="4995"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559"/>
              <w:gridCol w:w="1546"/>
              <w:gridCol w:w="916"/>
              <w:gridCol w:w="609"/>
              <w:gridCol w:w="1461"/>
              <w:gridCol w:w="1064"/>
              <w:gridCol w:w="556"/>
              <w:gridCol w:w="556"/>
              <w:gridCol w:w="614"/>
              <w:gridCol w:w="694"/>
              <w:gridCol w:w="688"/>
              <w:gridCol w:w="535"/>
              <w:gridCol w:w="958"/>
              <w:gridCol w:w="958"/>
              <w:gridCol w:w="1028"/>
            </w:tblGrid>
            <w:tr w14:paraId="4C75C1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vMerge w:val="restart"/>
                  <w:noWrap w:val="0"/>
                  <w:vAlign w:val="center"/>
                </w:tcPr>
                <w:p w14:paraId="516D67D2">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11" w:type="pct"/>
                  <w:vMerge w:val="restart"/>
                  <w:noWrap w:val="0"/>
                  <w:vAlign w:val="center"/>
                </w:tcPr>
                <w:p w14:paraId="6C8ADDFE">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建筑物名称</w:t>
                  </w:r>
                </w:p>
              </w:tc>
              <w:tc>
                <w:tcPr>
                  <w:tcW w:w="584" w:type="pct"/>
                  <w:vMerge w:val="restart"/>
                  <w:noWrap w:val="0"/>
                  <w:vAlign w:val="center"/>
                </w:tcPr>
                <w:p w14:paraId="435F2ACD">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声源名称</w:t>
                  </w:r>
                </w:p>
              </w:tc>
              <w:tc>
                <w:tcPr>
                  <w:tcW w:w="346" w:type="pct"/>
                  <w:vMerge w:val="restart"/>
                  <w:noWrap w:val="0"/>
                  <w:vAlign w:val="center"/>
                </w:tcPr>
                <w:p w14:paraId="5FADCE79">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型号</w:t>
                  </w:r>
                </w:p>
              </w:tc>
              <w:tc>
                <w:tcPr>
                  <w:tcW w:w="230" w:type="pct"/>
                  <w:vMerge w:val="restart"/>
                  <w:noWrap w:val="0"/>
                  <w:vAlign w:val="center"/>
                </w:tcPr>
                <w:p w14:paraId="1001DEAC">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lang w:val="en-US" w:eastAsia="zh-CN"/>
                    </w:rPr>
                    <w:t>数量</w:t>
                  </w:r>
                </w:p>
              </w:tc>
              <w:tc>
                <w:tcPr>
                  <w:tcW w:w="552" w:type="pct"/>
                  <w:noWrap w:val="0"/>
                  <w:vAlign w:val="center"/>
                </w:tcPr>
                <w:p w14:paraId="65692300">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声源源强</w:t>
                  </w:r>
                </w:p>
              </w:tc>
              <w:tc>
                <w:tcPr>
                  <w:tcW w:w="402" w:type="pct"/>
                  <w:vMerge w:val="restart"/>
                  <w:noWrap w:val="0"/>
                  <w:vAlign w:val="center"/>
                </w:tcPr>
                <w:p w14:paraId="49C42C46">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声源控制措施</w:t>
                  </w:r>
                </w:p>
              </w:tc>
              <w:tc>
                <w:tcPr>
                  <w:tcW w:w="652" w:type="pct"/>
                  <w:gridSpan w:val="3"/>
                  <w:noWrap w:val="0"/>
                  <w:vAlign w:val="center"/>
                </w:tcPr>
                <w:p w14:paraId="02A38C68">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空间相对位置/m</w:t>
                  </w:r>
                </w:p>
              </w:tc>
              <w:tc>
                <w:tcPr>
                  <w:tcW w:w="262" w:type="pct"/>
                  <w:vMerge w:val="restart"/>
                  <w:noWrap w:val="0"/>
                  <w:vAlign w:val="center"/>
                </w:tcPr>
                <w:p w14:paraId="284426B7">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距室内边界</w:t>
                  </w:r>
                  <w:r>
                    <w:rPr>
                      <w:rFonts w:hint="default" w:ascii="Times New Roman" w:hAnsi="Times New Roman" w:eastAsia="宋体" w:cs="Times New Roman"/>
                      <w:b/>
                      <w:color w:val="auto"/>
                      <w:sz w:val="21"/>
                      <w:szCs w:val="21"/>
                      <w:lang w:eastAsia="zh-CN"/>
                    </w:rPr>
                    <w:t>最近</w:t>
                  </w:r>
                  <w:r>
                    <w:rPr>
                      <w:rFonts w:hint="default" w:ascii="Times New Roman" w:hAnsi="Times New Roman" w:eastAsia="宋体" w:cs="Times New Roman"/>
                      <w:b/>
                      <w:color w:val="auto"/>
                      <w:sz w:val="21"/>
                      <w:szCs w:val="21"/>
                    </w:rPr>
                    <w:t>距离/m</w:t>
                  </w:r>
                </w:p>
              </w:tc>
              <w:tc>
                <w:tcPr>
                  <w:tcW w:w="260" w:type="pct"/>
                  <w:vMerge w:val="restart"/>
                  <w:noWrap w:val="0"/>
                  <w:vAlign w:val="center"/>
                </w:tcPr>
                <w:p w14:paraId="63568FB8">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室内边界声级</w:t>
                  </w:r>
                </w:p>
              </w:tc>
              <w:tc>
                <w:tcPr>
                  <w:tcW w:w="202" w:type="pct"/>
                  <w:vMerge w:val="restart"/>
                  <w:noWrap w:val="0"/>
                  <w:vAlign w:val="center"/>
                </w:tcPr>
                <w:p w14:paraId="398437EB">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运行时段</w:t>
                  </w:r>
                </w:p>
              </w:tc>
              <w:tc>
                <w:tcPr>
                  <w:tcW w:w="362" w:type="pct"/>
                  <w:vMerge w:val="restart"/>
                  <w:noWrap w:val="0"/>
                  <w:vAlign w:val="center"/>
                </w:tcPr>
                <w:p w14:paraId="080A179A">
                  <w:pPr>
                    <w:adjustRightInd w:val="0"/>
                    <w:snapToGrid w:val="0"/>
                    <w:ind w:left="-105" w:leftChars="-50" w:right="-105" w:rightChars="-5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建筑物插入损失/dB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p>
              </w:tc>
              <w:tc>
                <w:tcPr>
                  <w:tcW w:w="750" w:type="pct"/>
                  <w:gridSpan w:val="2"/>
                  <w:noWrap w:val="0"/>
                  <w:vAlign w:val="center"/>
                </w:tcPr>
                <w:p w14:paraId="113F39DD">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建筑物外噪声</w:t>
                  </w:r>
                </w:p>
              </w:tc>
            </w:tr>
            <w:tr w14:paraId="2EBA9C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8" w:hRule="atLeast"/>
                <w:jc w:val="center"/>
              </w:trPr>
              <w:tc>
                <w:tcPr>
                  <w:tcW w:w="179" w:type="pct"/>
                  <w:vMerge w:val="continue"/>
                  <w:noWrap w:val="0"/>
                  <w:vAlign w:val="center"/>
                </w:tcPr>
                <w:p w14:paraId="5DA41305">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211" w:type="pct"/>
                  <w:vMerge w:val="continue"/>
                  <w:noWrap w:val="0"/>
                  <w:vAlign w:val="center"/>
                </w:tcPr>
                <w:p w14:paraId="03C7BFFC">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584" w:type="pct"/>
                  <w:vMerge w:val="continue"/>
                  <w:noWrap w:val="0"/>
                  <w:vAlign w:val="center"/>
                </w:tcPr>
                <w:p w14:paraId="229A8715">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346" w:type="pct"/>
                  <w:vMerge w:val="continue"/>
                  <w:noWrap w:val="0"/>
                  <w:vAlign w:val="center"/>
                </w:tcPr>
                <w:p w14:paraId="1812EAFE">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230" w:type="pct"/>
                  <w:vMerge w:val="continue"/>
                  <w:noWrap w:val="0"/>
                  <w:vAlign w:val="center"/>
                </w:tcPr>
                <w:p w14:paraId="2D0A19BB">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552" w:type="pct"/>
                  <w:noWrap w:val="0"/>
                  <w:vAlign w:val="center"/>
                </w:tcPr>
                <w:p w14:paraId="784F0170">
                  <w:pPr>
                    <w:adjustRightInd w:val="0"/>
                    <w:snapToGrid w:val="0"/>
                    <w:ind w:left="-105" w:leftChars="-50" w:right="-105" w:rightChars="-5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声</w:t>
                  </w:r>
                  <w:r>
                    <w:rPr>
                      <w:rFonts w:hint="default" w:ascii="Times New Roman" w:hAnsi="Times New Roman" w:eastAsia="宋体" w:cs="Times New Roman"/>
                      <w:b/>
                      <w:color w:val="auto"/>
                      <w:sz w:val="21"/>
                      <w:szCs w:val="21"/>
                      <w:lang w:eastAsia="zh-CN"/>
                    </w:rPr>
                    <w:t>功率</w:t>
                  </w:r>
                  <w:r>
                    <w:rPr>
                      <w:rFonts w:hint="default" w:ascii="Times New Roman" w:hAnsi="Times New Roman" w:eastAsia="宋体" w:cs="Times New Roman"/>
                      <w:b/>
                      <w:color w:val="auto"/>
                      <w:sz w:val="21"/>
                      <w:szCs w:val="21"/>
                    </w:rPr>
                    <w:t>级/dB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p>
              </w:tc>
              <w:tc>
                <w:tcPr>
                  <w:tcW w:w="402" w:type="pct"/>
                  <w:vMerge w:val="continue"/>
                  <w:noWrap w:val="0"/>
                  <w:vAlign w:val="center"/>
                </w:tcPr>
                <w:p w14:paraId="14604D49">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210" w:type="pct"/>
                  <w:noWrap w:val="0"/>
                  <w:vAlign w:val="center"/>
                </w:tcPr>
                <w:p w14:paraId="6E8B14A2">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X</w:t>
                  </w:r>
                </w:p>
              </w:tc>
              <w:tc>
                <w:tcPr>
                  <w:tcW w:w="210" w:type="pct"/>
                  <w:noWrap w:val="0"/>
                  <w:vAlign w:val="center"/>
                </w:tcPr>
                <w:p w14:paraId="69541F64">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Y</w:t>
                  </w:r>
                </w:p>
              </w:tc>
              <w:tc>
                <w:tcPr>
                  <w:tcW w:w="232" w:type="pct"/>
                  <w:noWrap w:val="0"/>
                  <w:vAlign w:val="center"/>
                </w:tcPr>
                <w:p w14:paraId="413C1D85">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Z</w:t>
                  </w:r>
                </w:p>
              </w:tc>
              <w:tc>
                <w:tcPr>
                  <w:tcW w:w="262" w:type="pct"/>
                  <w:vMerge w:val="continue"/>
                  <w:noWrap w:val="0"/>
                  <w:vAlign w:val="center"/>
                </w:tcPr>
                <w:p w14:paraId="7A75A594">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260" w:type="pct"/>
                  <w:vMerge w:val="continue"/>
                  <w:noWrap w:val="0"/>
                  <w:vAlign w:val="center"/>
                </w:tcPr>
                <w:p w14:paraId="070D0BBF">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202" w:type="pct"/>
                  <w:vMerge w:val="continue"/>
                  <w:noWrap w:val="0"/>
                  <w:vAlign w:val="center"/>
                </w:tcPr>
                <w:p w14:paraId="14574B26">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362" w:type="pct"/>
                  <w:vMerge w:val="continue"/>
                  <w:noWrap w:val="0"/>
                  <w:vAlign w:val="center"/>
                </w:tcPr>
                <w:p w14:paraId="5BAB4C1F">
                  <w:pPr>
                    <w:adjustRightInd w:val="0"/>
                    <w:snapToGrid w:val="0"/>
                    <w:ind w:left="-105" w:leftChars="-50" w:right="-105" w:rightChars="-50"/>
                    <w:jc w:val="center"/>
                    <w:rPr>
                      <w:rFonts w:hint="default" w:ascii="Times New Roman" w:hAnsi="Times New Roman" w:eastAsia="宋体" w:cs="Times New Roman"/>
                      <w:b/>
                      <w:color w:val="auto"/>
                      <w:sz w:val="21"/>
                      <w:szCs w:val="21"/>
                    </w:rPr>
                  </w:pPr>
                </w:p>
              </w:tc>
              <w:tc>
                <w:tcPr>
                  <w:tcW w:w="362" w:type="pct"/>
                  <w:noWrap w:val="0"/>
                  <w:vAlign w:val="center"/>
                </w:tcPr>
                <w:p w14:paraId="113068F1">
                  <w:pPr>
                    <w:adjustRightInd w:val="0"/>
                    <w:snapToGrid w:val="0"/>
                    <w:ind w:left="-105" w:leftChars="-50" w:right="-105" w:rightChars="-50"/>
                    <w:jc w:val="center"/>
                    <w:rPr>
                      <w:rFonts w:hint="default" w:ascii="Times New Roman" w:hAnsi="Times New Roman" w:eastAsia="宋体" w:cs="Times New Roman"/>
                      <w:b/>
                      <w:color w:val="auto"/>
                      <w:sz w:val="21"/>
                      <w:szCs w:val="21"/>
                      <w:lang w:eastAsia="zh-CN"/>
                    </w:rPr>
                  </w:pPr>
                  <w:r>
                    <w:rPr>
                      <w:rFonts w:hint="default" w:ascii="Times New Roman" w:hAnsi="Times New Roman" w:eastAsia="宋体" w:cs="Times New Roman"/>
                      <w:b/>
                      <w:color w:val="auto"/>
                      <w:sz w:val="21"/>
                      <w:szCs w:val="21"/>
                    </w:rPr>
                    <w:t>声压级/dB</w:t>
                  </w:r>
                  <w:r>
                    <w:rPr>
                      <w:rFonts w:hint="default" w:ascii="Times New Roman" w:hAnsi="Times New Roman" w:eastAsia="宋体" w:cs="Times New Roman"/>
                      <w:b/>
                      <w:color w:val="auto"/>
                      <w:sz w:val="21"/>
                      <w:szCs w:val="21"/>
                      <w:lang w:eastAsia="zh-CN"/>
                    </w:rPr>
                    <w:t>（</w:t>
                  </w:r>
                  <w:r>
                    <w:rPr>
                      <w:rFonts w:hint="default" w:ascii="Times New Roman" w:hAnsi="Times New Roman" w:eastAsia="宋体" w:cs="Times New Roman"/>
                      <w:b/>
                      <w:color w:val="auto"/>
                      <w:sz w:val="21"/>
                      <w:szCs w:val="21"/>
                    </w:rPr>
                    <w:t>A</w:t>
                  </w:r>
                  <w:r>
                    <w:rPr>
                      <w:rFonts w:hint="default" w:ascii="Times New Roman" w:hAnsi="Times New Roman" w:eastAsia="宋体" w:cs="Times New Roman"/>
                      <w:b/>
                      <w:color w:val="auto"/>
                      <w:sz w:val="21"/>
                      <w:szCs w:val="21"/>
                      <w:lang w:eastAsia="zh-CN"/>
                    </w:rPr>
                    <w:t>）</w:t>
                  </w:r>
                </w:p>
              </w:tc>
              <w:tc>
                <w:tcPr>
                  <w:tcW w:w="388" w:type="pct"/>
                  <w:noWrap w:val="0"/>
                  <w:vAlign w:val="center"/>
                </w:tcPr>
                <w:p w14:paraId="754AF330">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建筑物外距离</w:t>
                  </w:r>
                </w:p>
              </w:tc>
            </w:tr>
            <w:tr w14:paraId="26472B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noWrap w:val="0"/>
                  <w:vAlign w:val="center"/>
                </w:tcPr>
                <w:p w14:paraId="059D54BB">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211" w:type="pct"/>
                  <w:vMerge w:val="restart"/>
                  <w:noWrap w:val="0"/>
                  <w:vAlign w:val="center"/>
                </w:tcPr>
                <w:p w14:paraId="0729DDFE">
                  <w:pPr>
                    <w:adjustRightInd w:val="0"/>
                    <w:snapToGrid w:val="0"/>
                    <w:ind w:left="-105" w:leftChars="-50" w:right="-105" w:rightChars="-5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车间</w:t>
                  </w:r>
                </w:p>
              </w:tc>
              <w:tc>
                <w:tcPr>
                  <w:tcW w:w="584" w:type="pct"/>
                  <w:noWrap w:val="0"/>
                  <w:vAlign w:val="center"/>
                </w:tcPr>
                <w:p w14:paraId="25B241F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bidi="ar"/>
                    </w:rPr>
                    <w:t>喷砂机</w:t>
                  </w:r>
                </w:p>
              </w:tc>
              <w:tc>
                <w:tcPr>
                  <w:tcW w:w="346" w:type="pct"/>
                  <w:noWrap w:val="0"/>
                  <w:vAlign w:val="center"/>
                </w:tcPr>
                <w:p w14:paraId="5F9743F1">
                  <w:pPr>
                    <w:widowControl/>
                    <w:adjustRightInd w:val="0"/>
                    <w:snapToGrid w:val="0"/>
                    <w:ind w:left="-105" w:leftChars="-50" w:right="-105" w:rightChars="-5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30" w:type="pct"/>
                  <w:noWrap w:val="0"/>
                  <w:vAlign w:val="center"/>
                </w:tcPr>
                <w:p w14:paraId="2CCA6B1A">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10</w:t>
                  </w:r>
                </w:p>
              </w:tc>
              <w:tc>
                <w:tcPr>
                  <w:tcW w:w="552" w:type="pct"/>
                  <w:noWrap w:val="0"/>
                  <w:vAlign w:val="center"/>
                </w:tcPr>
                <w:p w14:paraId="12C6FA8B">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80</w:t>
                  </w:r>
                </w:p>
              </w:tc>
              <w:tc>
                <w:tcPr>
                  <w:tcW w:w="402" w:type="pct"/>
                  <w:vMerge w:val="restart"/>
                  <w:noWrap w:val="0"/>
                  <w:vAlign w:val="center"/>
                </w:tcPr>
                <w:p w14:paraId="0D977AE1">
                  <w:pPr>
                    <w:adjustRightInd w:val="0"/>
                    <w:snapToGrid w:val="0"/>
                    <w:ind w:left="-105" w:leftChars="-50" w:right="-105" w:rightChars="-5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减振、厂房隔音</w:t>
                  </w:r>
                </w:p>
              </w:tc>
              <w:tc>
                <w:tcPr>
                  <w:tcW w:w="210" w:type="pct"/>
                  <w:noWrap w:val="0"/>
                  <w:vAlign w:val="center"/>
                </w:tcPr>
                <w:p w14:paraId="222BA864">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210" w:type="pct"/>
                  <w:noWrap w:val="0"/>
                  <w:vAlign w:val="center"/>
                </w:tcPr>
                <w:p w14:paraId="72905F78">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32" w:type="pct"/>
                  <w:noWrap w:val="0"/>
                  <w:vAlign w:val="center"/>
                </w:tcPr>
                <w:p w14:paraId="3AC56EFC">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noWrap w:val="0"/>
                  <w:vAlign w:val="center"/>
                </w:tcPr>
                <w:p w14:paraId="7C6C5E51">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w:t>
                  </w:r>
                </w:p>
              </w:tc>
              <w:tc>
                <w:tcPr>
                  <w:tcW w:w="689" w:type="dxa"/>
                  <w:noWrap w:val="0"/>
                  <w:vAlign w:val="bottom"/>
                </w:tcPr>
                <w:p w14:paraId="1F95A60C">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76.0</w:t>
                  </w:r>
                </w:p>
              </w:tc>
              <w:tc>
                <w:tcPr>
                  <w:tcW w:w="202" w:type="pct"/>
                  <w:noWrap w:val="0"/>
                  <w:vAlign w:val="center"/>
                </w:tcPr>
                <w:p w14:paraId="64258512">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r>
                    <w:rPr>
                      <w:rFonts w:hint="default" w:ascii="Times New Roman" w:hAnsi="Times New Roman" w:eastAsia="宋体" w:cs="Times New Roman"/>
                      <w:color w:val="auto"/>
                      <w:sz w:val="21"/>
                      <w:szCs w:val="21"/>
                    </w:rPr>
                    <w:t>h</w:t>
                  </w:r>
                </w:p>
              </w:tc>
              <w:tc>
                <w:tcPr>
                  <w:tcW w:w="362" w:type="pct"/>
                  <w:noWrap w:val="0"/>
                  <w:vAlign w:val="center"/>
                </w:tcPr>
                <w:p w14:paraId="2E597B68">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958" w:type="dxa"/>
                  <w:noWrap w:val="0"/>
                  <w:vAlign w:val="center"/>
                </w:tcPr>
                <w:p w14:paraId="006B6AD0">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51.0</w:t>
                  </w:r>
                </w:p>
              </w:tc>
              <w:tc>
                <w:tcPr>
                  <w:tcW w:w="388" w:type="pct"/>
                  <w:noWrap w:val="0"/>
                  <w:vAlign w:val="center"/>
                </w:tcPr>
                <w:p w14:paraId="1BF43149">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0A6108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shd w:val="clear" w:color="auto" w:fill="auto"/>
                  <w:noWrap w:val="0"/>
                  <w:vAlign w:val="center"/>
                </w:tcPr>
                <w:p w14:paraId="5A52A845">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211" w:type="pct"/>
                  <w:vMerge w:val="continue"/>
                  <w:noWrap w:val="0"/>
                  <w:vAlign w:val="center"/>
                </w:tcPr>
                <w:p w14:paraId="2106F9BB">
                  <w:pPr>
                    <w:adjustRightInd w:val="0"/>
                    <w:snapToGrid w:val="0"/>
                    <w:ind w:left="-105" w:leftChars="-50" w:right="-105" w:rightChars="-50"/>
                    <w:jc w:val="center"/>
                    <w:rPr>
                      <w:rFonts w:hint="default" w:ascii="Times New Roman" w:hAnsi="Times New Roman" w:eastAsia="宋体" w:cs="Times New Roman"/>
                      <w:color w:val="auto"/>
                      <w:sz w:val="21"/>
                      <w:szCs w:val="21"/>
                      <w:lang w:eastAsia="zh-CN"/>
                    </w:rPr>
                  </w:pPr>
                </w:p>
              </w:tc>
              <w:tc>
                <w:tcPr>
                  <w:tcW w:w="584" w:type="pct"/>
                  <w:noWrap w:val="0"/>
                  <w:vAlign w:val="center"/>
                </w:tcPr>
                <w:p w14:paraId="11EC3AC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bidi="ar"/>
                    </w:rPr>
                  </w:pPr>
                  <w:r>
                    <w:rPr>
                      <w:rFonts w:hint="default" w:ascii="Times New Roman" w:hAnsi="Times New Roman" w:eastAsia="宋体" w:cs="Times New Roman"/>
                      <w:color w:val="auto"/>
                      <w:kern w:val="0"/>
                      <w:sz w:val="21"/>
                      <w:szCs w:val="21"/>
                      <w:lang w:bidi="ar"/>
                    </w:rPr>
                    <w:t>拉力测试机</w:t>
                  </w:r>
                </w:p>
              </w:tc>
              <w:tc>
                <w:tcPr>
                  <w:tcW w:w="346" w:type="pct"/>
                  <w:noWrap w:val="0"/>
                  <w:vAlign w:val="center"/>
                </w:tcPr>
                <w:p w14:paraId="13AC437E">
                  <w:pPr>
                    <w:widowControl/>
                    <w:adjustRightInd w:val="0"/>
                    <w:snapToGrid w:val="0"/>
                    <w:ind w:left="-105" w:leftChars="-50" w:right="-105" w:rightChars="-5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230" w:type="pct"/>
                  <w:noWrap w:val="0"/>
                  <w:vAlign w:val="center"/>
                </w:tcPr>
                <w:p w14:paraId="1B1C8C1E">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552" w:type="pct"/>
                  <w:noWrap w:val="0"/>
                  <w:vAlign w:val="center"/>
                </w:tcPr>
                <w:p w14:paraId="439C107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402" w:type="pct"/>
                  <w:vMerge w:val="continue"/>
                  <w:noWrap w:val="0"/>
                  <w:vAlign w:val="center"/>
                </w:tcPr>
                <w:p w14:paraId="7D322DD6">
                  <w:pPr>
                    <w:adjustRightInd w:val="0"/>
                    <w:snapToGrid w:val="0"/>
                    <w:ind w:left="-105" w:leftChars="-50" w:right="-105" w:rightChars="-50"/>
                    <w:jc w:val="center"/>
                    <w:rPr>
                      <w:rFonts w:hint="default" w:ascii="Times New Roman" w:hAnsi="Times New Roman" w:eastAsia="宋体" w:cs="Times New Roman"/>
                      <w:bCs/>
                      <w:color w:val="auto"/>
                      <w:sz w:val="21"/>
                      <w:szCs w:val="21"/>
                    </w:rPr>
                  </w:pPr>
                </w:p>
              </w:tc>
              <w:tc>
                <w:tcPr>
                  <w:tcW w:w="210" w:type="pct"/>
                  <w:noWrap w:val="0"/>
                  <w:vAlign w:val="center"/>
                </w:tcPr>
                <w:p w14:paraId="5138584D">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210" w:type="pct"/>
                  <w:noWrap w:val="0"/>
                  <w:vAlign w:val="center"/>
                </w:tcPr>
                <w:p w14:paraId="6D4DB0CC">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232" w:type="pct"/>
                  <w:noWrap w:val="0"/>
                  <w:vAlign w:val="center"/>
                </w:tcPr>
                <w:p w14:paraId="6CB23436">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262" w:type="pct"/>
                  <w:noWrap w:val="0"/>
                  <w:vAlign w:val="center"/>
                </w:tcPr>
                <w:p w14:paraId="78739D5A">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689" w:type="dxa"/>
                  <w:noWrap w:val="0"/>
                  <w:vAlign w:val="bottom"/>
                </w:tcPr>
                <w:p w14:paraId="092E5176">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54.0</w:t>
                  </w:r>
                </w:p>
              </w:tc>
              <w:tc>
                <w:tcPr>
                  <w:tcW w:w="202" w:type="pct"/>
                  <w:noWrap w:val="0"/>
                  <w:vAlign w:val="center"/>
                </w:tcPr>
                <w:p w14:paraId="5CF60117">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16</w:t>
                  </w:r>
                  <w:r>
                    <w:rPr>
                      <w:rFonts w:hint="default" w:ascii="Times New Roman" w:hAnsi="Times New Roman" w:eastAsia="宋体" w:cs="Times New Roman"/>
                      <w:color w:val="auto"/>
                      <w:sz w:val="21"/>
                      <w:szCs w:val="21"/>
                    </w:rPr>
                    <w:t>h</w:t>
                  </w:r>
                </w:p>
              </w:tc>
              <w:tc>
                <w:tcPr>
                  <w:tcW w:w="362" w:type="pct"/>
                  <w:noWrap w:val="0"/>
                  <w:vAlign w:val="center"/>
                </w:tcPr>
                <w:p w14:paraId="7B5AC332">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958" w:type="dxa"/>
                  <w:noWrap w:val="0"/>
                  <w:vAlign w:val="center"/>
                </w:tcPr>
                <w:p w14:paraId="0FC7D6A2">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29.0</w:t>
                  </w:r>
                </w:p>
              </w:tc>
              <w:tc>
                <w:tcPr>
                  <w:tcW w:w="388" w:type="pct"/>
                  <w:noWrap w:val="0"/>
                  <w:vAlign w:val="center"/>
                </w:tcPr>
                <w:p w14:paraId="28B80D75">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5B9177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shd w:val="clear" w:color="auto" w:fill="auto"/>
                  <w:noWrap w:val="0"/>
                  <w:vAlign w:val="center"/>
                </w:tcPr>
                <w:p w14:paraId="721C84D9">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211" w:type="pct"/>
                  <w:vMerge w:val="continue"/>
                  <w:noWrap w:val="0"/>
                  <w:vAlign w:val="center"/>
                </w:tcPr>
                <w:p w14:paraId="74B41333">
                  <w:pPr>
                    <w:adjustRightInd w:val="0"/>
                    <w:snapToGrid w:val="0"/>
                    <w:ind w:left="-105" w:leftChars="-50" w:right="-105" w:rightChars="-50"/>
                    <w:jc w:val="center"/>
                    <w:rPr>
                      <w:rFonts w:hint="default" w:ascii="Times New Roman" w:hAnsi="Times New Roman" w:eastAsia="宋体" w:cs="Times New Roman"/>
                      <w:color w:val="auto"/>
                      <w:sz w:val="21"/>
                      <w:szCs w:val="21"/>
                      <w:lang w:eastAsia="zh-CN"/>
                    </w:rPr>
                  </w:pPr>
                </w:p>
              </w:tc>
              <w:tc>
                <w:tcPr>
                  <w:tcW w:w="584" w:type="pct"/>
                  <w:noWrap w:val="0"/>
                  <w:vAlign w:val="center"/>
                </w:tcPr>
                <w:p w14:paraId="415E3293">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bidi="ar"/>
                    </w:rPr>
                    <w:t>活塞式空压机</w:t>
                  </w:r>
                </w:p>
              </w:tc>
              <w:tc>
                <w:tcPr>
                  <w:tcW w:w="346" w:type="pct"/>
                  <w:noWrap w:val="0"/>
                  <w:vAlign w:val="center"/>
                </w:tcPr>
                <w:p w14:paraId="1C17C6C9">
                  <w:pPr>
                    <w:widowControl/>
                    <w:adjustRightInd w:val="0"/>
                    <w:snapToGrid w:val="0"/>
                    <w:ind w:left="-105" w:leftChars="-50" w:right="-105" w:rightChars="-5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230" w:type="pct"/>
                  <w:noWrap w:val="0"/>
                  <w:vAlign w:val="center"/>
                </w:tcPr>
                <w:p w14:paraId="31ADEE05">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552" w:type="pct"/>
                  <w:noWrap w:val="0"/>
                  <w:vAlign w:val="center"/>
                </w:tcPr>
                <w:p w14:paraId="0296861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5</w:t>
                  </w:r>
                </w:p>
              </w:tc>
              <w:tc>
                <w:tcPr>
                  <w:tcW w:w="402" w:type="pct"/>
                  <w:vMerge w:val="continue"/>
                  <w:noWrap w:val="0"/>
                  <w:vAlign w:val="center"/>
                </w:tcPr>
                <w:p w14:paraId="4621C8A9">
                  <w:pPr>
                    <w:adjustRightInd w:val="0"/>
                    <w:snapToGrid w:val="0"/>
                    <w:ind w:left="-105" w:leftChars="-50" w:right="-105" w:rightChars="-50"/>
                    <w:jc w:val="center"/>
                    <w:rPr>
                      <w:rFonts w:hint="default" w:ascii="Times New Roman" w:hAnsi="Times New Roman" w:eastAsia="宋体" w:cs="Times New Roman"/>
                      <w:bCs/>
                      <w:color w:val="auto"/>
                      <w:sz w:val="21"/>
                      <w:szCs w:val="21"/>
                    </w:rPr>
                  </w:pPr>
                </w:p>
              </w:tc>
              <w:tc>
                <w:tcPr>
                  <w:tcW w:w="210" w:type="pct"/>
                  <w:noWrap w:val="0"/>
                  <w:vAlign w:val="center"/>
                </w:tcPr>
                <w:p w14:paraId="3C682158">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w:t>
                  </w:r>
                </w:p>
              </w:tc>
              <w:tc>
                <w:tcPr>
                  <w:tcW w:w="210" w:type="pct"/>
                  <w:noWrap w:val="0"/>
                  <w:vAlign w:val="center"/>
                </w:tcPr>
                <w:p w14:paraId="1020CCAA">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232" w:type="pct"/>
                  <w:noWrap w:val="0"/>
                  <w:vAlign w:val="center"/>
                </w:tcPr>
                <w:p w14:paraId="24FD5625">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noWrap w:val="0"/>
                  <w:vAlign w:val="center"/>
                </w:tcPr>
                <w:p w14:paraId="77D8D6CA">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w:t>
                  </w:r>
                </w:p>
              </w:tc>
              <w:tc>
                <w:tcPr>
                  <w:tcW w:w="689" w:type="dxa"/>
                  <w:noWrap w:val="0"/>
                  <w:vAlign w:val="bottom"/>
                </w:tcPr>
                <w:p w14:paraId="7126865F">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74.0</w:t>
                  </w:r>
                </w:p>
              </w:tc>
              <w:tc>
                <w:tcPr>
                  <w:tcW w:w="202" w:type="pct"/>
                  <w:noWrap w:val="0"/>
                  <w:vAlign w:val="center"/>
                </w:tcPr>
                <w:p w14:paraId="626AC9FF">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h</w:t>
                  </w:r>
                </w:p>
              </w:tc>
              <w:tc>
                <w:tcPr>
                  <w:tcW w:w="362" w:type="pct"/>
                  <w:noWrap w:val="0"/>
                  <w:vAlign w:val="center"/>
                </w:tcPr>
                <w:p w14:paraId="12DB6CC4">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958" w:type="dxa"/>
                  <w:noWrap w:val="0"/>
                  <w:vAlign w:val="center"/>
                </w:tcPr>
                <w:p w14:paraId="1D51D3D6">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49.0</w:t>
                  </w:r>
                </w:p>
              </w:tc>
              <w:tc>
                <w:tcPr>
                  <w:tcW w:w="388" w:type="pct"/>
                  <w:noWrap w:val="0"/>
                  <w:vAlign w:val="center"/>
                </w:tcPr>
                <w:p w14:paraId="04231CE1">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61C80C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shd w:val="clear" w:color="auto" w:fill="auto"/>
                  <w:noWrap w:val="0"/>
                  <w:vAlign w:val="center"/>
                </w:tcPr>
                <w:p w14:paraId="3170BA16">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211" w:type="pct"/>
                  <w:vMerge w:val="continue"/>
                  <w:noWrap w:val="0"/>
                  <w:vAlign w:val="center"/>
                </w:tcPr>
                <w:p w14:paraId="51860B30">
                  <w:pPr>
                    <w:adjustRightInd w:val="0"/>
                    <w:snapToGrid w:val="0"/>
                    <w:ind w:left="-105" w:leftChars="-50" w:right="-105" w:rightChars="-50"/>
                    <w:jc w:val="center"/>
                    <w:rPr>
                      <w:rFonts w:hint="default" w:ascii="Times New Roman" w:hAnsi="Times New Roman" w:eastAsia="宋体" w:cs="Times New Roman"/>
                      <w:color w:val="auto"/>
                      <w:sz w:val="21"/>
                      <w:szCs w:val="21"/>
                      <w:lang w:eastAsia="zh-CN"/>
                    </w:rPr>
                  </w:pPr>
                </w:p>
              </w:tc>
              <w:tc>
                <w:tcPr>
                  <w:tcW w:w="584" w:type="pct"/>
                  <w:noWrap w:val="0"/>
                  <w:vAlign w:val="center"/>
                </w:tcPr>
                <w:p w14:paraId="2085E41C">
                  <w:pPr>
                    <w:keepNext w:val="0"/>
                    <w:keepLines w:val="0"/>
                    <w:pageBreakBefore w:val="0"/>
                    <w:widowControl/>
                    <w:kinsoku/>
                    <w:wordWrap/>
                    <w:overflowPunct/>
                    <w:topLinePunct w:val="0"/>
                    <w:autoSpaceDE/>
                    <w:autoSpaceDN/>
                    <w:bidi w:val="0"/>
                    <w:adjustRightInd/>
                    <w:snapToGrid/>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kern w:val="0"/>
                      <w:sz w:val="21"/>
                      <w:szCs w:val="21"/>
                      <w:lang w:bidi="ar"/>
                    </w:rPr>
                    <w:t>螺杆式空压机</w:t>
                  </w:r>
                </w:p>
              </w:tc>
              <w:tc>
                <w:tcPr>
                  <w:tcW w:w="346" w:type="pct"/>
                  <w:noWrap w:val="0"/>
                  <w:vAlign w:val="center"/>
                </w:tcPr>
                <w:p w14:paraId="09C42628">
                  <w:pPr>
                    <w:widowControl/>
                    <w:adjustRightInd w:val="0"/>
                    <w:snapToGrid w:val="0"/>
                    <w:ind w:left="-105" w:leftChars="-50" w:right="-105" w:rightChars="-50"/>
                    <w:jc w:val="center"/>
                    <w:textAlignment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w:t>
                  </w:r>
                </w:p>
              </w:tc>
              <w:tc>
                <w:tcPr>
                  <w:tcW w:w="230" w:type="pct"/>
                  <w:noWrap w:val="0"/>
                  <w:vAlign w:val="center"/>
                </w:tcPr>
                <w:p w14:paraId="0D87A029">
                  <w:pPr>
                    <w:keepNext w:val="0"/>
                    <w:keepLines w:val="0"/>
                    <w:pageBreakBefore w:val="0"/>
                    <w:widowControl/>
                    <w:suppressLineNumbers w:val="0"/>
                    <w:wordWrap/>
                    <w:overflowPunct/>
                    <w:topLinePunct w:val="0"/>
                    <w:bidi w:val="0"/>
                    <w:spacing w:line="240" w:lineRule="auto"/>
                    <w:ind w:right="0" w:rightChars="0"/>
                    <w:jc w:val="center"/>
                    <w:textAlignment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552" w:type="pct"/>
                  <w:noWrap w:val="0"/>
                  <w:vAlign w:val="center"/>
                </w:tcPr>
                <w:p w14:paraId="649B217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75</w:t>
                  </w:r>
                </w:p>
              </w:tc>
              <w:tc>
                <w:tcPr>
                  <w:tcW w:w="402" w:type="pct"/>
                  <w:vMerge w:val="continue"/>
                  <w:noWrap w:val="0"/>
                  <w:vAlign w:val="center"/>
                </w:tcPr>
                <w:p w14:paraId="3BD3638E">
                  <w:pPr>
                    <w:adjustRightInd w:val="0"/>
                    <w:snapToGrid w:val="0"/>
                    <w:ind w:left="-105" w:leftChars="-50" w:right="-105" w:rightChars="-50"/>
                    <w:jc w:val="center"/>
                    <w:rPr>
                      <w:rFonts w:hint="default" w:ascii="Times New Roman" w:hAnsi="Times New Roman" w:eastAsia="宋体" w:cs="Times New Roman"/>
                      <w:bCs/>
                      <w:color w:val="auto"/>
                      <w:sz w:val="21"/>
                      <w:szCs w:val="21"/>
                    </w:rPr>
                  </w:pPr>
                </w:p>
              </w:tc>
              <w:tc>
                <w:tcPr>
                  <w:tcW w:w="210" w:type="pct"/>
                  <w:shd w:val="clear" w:color="auto" w:fill="auto"/>
                  <w:noWrap w:val="0"/>
                  <w:vAlign w:val="center"/>
                </w:tcPr>
                <w:p w14:paraId="607AEDF1">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45</w:t>
                  </w:r>
                </w:p>
              </w:tc>
              <w:tc>
                <w:tcPr>
                  <w:tcW w:w="210" w:type="pct"/>
                  <w:shd w:val="clear" w:color="auto" w:fill="auto"/>
                  <w:noWrap w:val="0"/>
                  <w:vAlign w:val="center"/>
                </w:tcPr>
                <w:p w14:paraId="4223157B">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15</w:t>
                  </w:r>
                </w:p>
              </w:tc>
              <w:tc>
                <w:tcPr>
                  <w:tcW w:w="232" w:type="pct"/>
                  <w:noWrap w:val="0"/>
                  <w:vAlign w:val="center"/>
                </w:tcPr>
                <w:p w14:paraId="6F0895E0">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262" w:type="pct"/>
                  <w:noWrap w:val="0"/>
                  <w:vAlign w:val="center"/>
                </w:tcPr>
                <w:p w14:paraId="7140C5A0">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w:t>
                  </w:r>
                </w:p>
              </w:tc>
              <w:tc>
                <w:tcPr>
                  <w:tcW w:w="689" w:type="dxa"/>
                  <w:noWrap w:val="0"/>
                  <w:vAlign w:val="bottom"/>
                </w:tcPr>
                <w:p w14:paraId="6B123EB0">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65.8</w:t>
                  </w:r>
                </w:p>
              </w:tc>
              <w:tc>
                <w:tcPr>
                  <w:tcW w:w="202" w:type="pct"/>
                  <w:noWrap w:val="0"/>
                  <w:vAlign w:val="center"/>
                </w:tcPr>
                <w:p w14:paraId="73753B41">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h</w:t>
                  </w:r>
                </w:p>
              </w:tc>
              <w:tc>
                <w:tcPr>
                  <w:tcW w:w="362" w:type="pct"/>
                  <w:noWrap w:val="0"/>
                  <w:vAlign w:val="center"/>
                </w:tcPr>
                <w:p w14:paraId="690574A2">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958" w:type="dxa"/>
                  <w:noWrap w:val="0"/>
                  <w:vAlign w:val="center"/>
                </w:tcPr>
                <w:p w14:paraId="7EAF8D24">
                  <w:pPr>
                    <w:keepNext w:val="0"/>
                    <w:keepLines w:val="0"/>
                    <w:widowControl/>
                    <w:suppressLineNumbers w:val="0"/>
                    <w:jc w:val="center"/>
                    <w:textAlignment w:val="bottom"/>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40.8</w:t>
                  </w:r>
                </w:p>
              </w:tc>
              <w:tc>
                <w:tcPr>
                  <w:tcW w:w="388" w:type="pct"/>
                  <w:noWrap w:val="0"/>
                  <w:vAlign w:val="center"/>
                </w:tcPr>
                <w:p w14:paraId="2A04103E">
                  <w:pPr>
                    <w:adjustRightInd w:val="0"/>
                    <w:snapToGrid w:val="0"/>
                    <w:ind w:left="-105" w:leftChars="-50" w:right="-105" w:rightChars="-5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1m</w:t>
                  </w:r>
                </w:p>
              </w:tc>
            </w:tr>
            <w:tr w14:paraId="27AE73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79" w:type="pct"/>
                  <w:shd w:val="clear" w:color="auto" w:fill="auto"/>
                  <w:noWrap w:val="0"/>
                  <w:vAlign w:val="center"/>
                </w:tcPr>
                <w:p w14:paraId="38C8D638">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211" w:type="pct"/>
                  <w:vMerge w:val="continue"/>
                  <w:noWrap w:val="0"/>
                  <w:vAlign w:val="center"/>
                </w:tcPr>
                <w:p w14:paraId="745E3FC3">
                  <w:pPr>
                    <w:adjustRightInd w:val="0"/>
                    <w:snapToGrid w:val="0"/>
                    <w:ind w:left="-105" w:leftChars="-50" w:right="-105" w:rightChars="-50"/>
                    <w:jc w:val="center"/>
                    <w:rPr>
                      <w:rFonts w:hint="default" w:ascii="Times New Roman" w:hAnsi="Times New Roman" w:eastAsia="宋体" w:cs="Times New Roman"/>
                      <w:color w:val="auto"/>
                      <w:sz w:val="21"/>
                      <w:szCs w:val="21"/>
                      <w:lang w:eastAsia="zh-CN"/>
                    </w:rPr>
                  </w:pPr>
                </w:p>
              </w:tc>
              <w:tc>
                <w:tcPr>
                  <w:tcW w:w="584" w:type="pct"/>
                  <w:noWrap w:val="0"/>
                  <w:vAlign w:val="center"/>
                </w:tcPr>
                <w:p w14:paraId="479E9650">
                  <w:pPr>
                    <w:keepNext w:val="0"/>
                    <w:keepLines w:val="0"/>
                    <w:pageBreakBefore w:val="0"/>
                    <w:widowControl/>
                    <w:kinsoku/>
                    <w:wordWrap/>
                    <w:overflowPunct/>
                    <w:topLinePunct w:val="0"/>
                    <w:autoSpaceDE/>
                    <w:autoSpaceDN/>
                    <w:bidi w:val="0"/>
                    <w:adjustRightInd/>
                    <w:snapToGrid/>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冷却塔</w:t>
                  </w:r>
                </w:p>
              </w:tc>
              <w:tc>
                <w:tcPr>
                  <w:tcW w:w="346" w:type="pct"/>
                  <w:noWrap w:val="0"/>
                  <w:vAlign w:val="center"/>
                </w:tcPr>
                <w:p w14:paraId="3AD9164B">
                  <w:pPr>
                    <w:widowControl/>
                    <w:adjustRightInd w:val="0"/>
                    <w:snapToGrid w:val="0"/>
                    <w:ind w:left="-105" w:leftChars="-50" w:right="-105" w:rightChars="-5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230" w:type="pct"/>
                  <w:shd w:val="clear" w:color="auto" w:fill="auto"/>
                  <w:noWrap w:val="0"/>
                  <w:vAlign w:val="center"/>
                </w:tcPr>
                <w:p w14:paraId="7EAAA76D">
                  <w:pPr>
                    <w:adjustRightInd w:val="0"/>
                    <w:snapToGrid w:val="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2</w:t>
                  </w:r>
                </w:p>
              </w:tc>
              <w:tc>
                <w:tcPr>
                  <w:tcW w:w="552" w:type="pct"/>
                  <w:shd w:val="clear" w:color="auto" w:fill="auto"/>
                  <w:noWrap w:val="0"/>
                  <w:vAlign w:val="center"/>
                </w:tcPr>
                <w:p w14:paraId="53E690E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0</w:t>
                  </w:r>
                </w:p>
              </w:tc>
              <w:tc>
                <w:tcPr>
                  <w:tcW w:w="402" w:type="pct"/>
                  <w:vMerge w:val="continue"/>
                  <w:noWrap w:val="0"/>
                  <w:vAlign w:val="center"/>
                </w:tcPr>
                <w:p w14:paraId="7B14F53D">
                  <w:pPr>
                    <w:adjustRightInd w:val="0"/>
                    <w:snapToGrid w:val="0"/>
                    <w:ind w:left="-105" w:leftChars="-50" w:right="-105" w:rightChars="-50"/>
                    <w:jc w:val="center"/>
                    <w:rPr>
                      <w:rFonts w:hint="default" w:ascii="Times New Roman" w:hAnsi="Times New Roman" w:eastAsia="宋体" w:cs="Times New Roman"/>
                      <w:bCs/>
                      <w:color w:val="auto"/>
                      <w:sz w:val="21"/>
                      <w:szCs w:val="21"/>
                    </w:rPr>
                  </w:pPr>
                </w:p>
              </w:tc>
              <w:tc>
                <w:tcPr>
                  <w:tcW w:w="210" w:type="pct"/>
                  <w:shd w:val="clear" w:color="auto" w:fill="auto"/>
                  <w:noWrap w:val="0"/>
                  <w:vAlign w:val="center"/>
                </w:tcPr>
                <w:p w14:paraId="4121A10F">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35</w:t>
                  </w:r>
                </w:p>
              </w:tc>
              <w:tc>
                <w:tcPr>
                  <w:tcW w:w="210" w:type="pct"/>
                  <w:shd w:val="clear" w:color="auto" w:fill="auto"/>
                  <w:noWrap w:val="0"/>
                  <w:vAlign w:val="center"/>
                </w:tcPr>
                <w:p w14:paraId="70FEE727">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232" w:type="pct"/>
                  <w:shd w:val="clear" w:color="auto" w:fill="auto"/>
                  <w:noWrap w:val="0"/>
                  <w:vAlign w:val="center"/>
                </w:tcPr>
                <w:p w14:paraId="10094858">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262" w:type="pct"/>
                  <w:shd w:val="clear" w:color="auto" w:fill="auto"/>
                  <w:noWrap w:val="0"/>
                  <w:vAlign w:val="center"/>
                </w:tcPr>
                <w:p w14:paraId="3C9009B8">
                  <w:pPr>
                    <w:adjustRightInd w:val="0"/>
                    <w:snapToGrid w:val="0"/>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5</w:t>
                  </w:r>
                </w:p>
              </w:tc>
              <w:tc>
                <w:tcPr>
                  <w:tcW w:w="689" w:type="dxa"/>
                  <w:shd w:val="clear" w:color="auto" w:fill="auto"/>
                  <w:noWrap w:val="0"/>
                  <w:vAlign w:val="bottom"/>
                </w:tcPr>
                <w:p w14:paraId="692A1D37">
                  <w:pPr>
                    <w:keepNext w:val="0"/>
                    <w:keepLines w:val="0"/>
                    <w:widowControl/>
                    <w:suppressLineNumbers w:val="0"/>
                    <w:jc w:val="center"/>
                    <w:textAlignment w:val="bottom"/>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74.0</w:t>
                  </w:r>
                </w:p>
              </w:tc>
              <w:tc>
                <w:tcPr>
                  <w:tcW w:w="202" w:type="pct"/>
                  <w:shd w:val="clear" w:color="auto" w:fill="auto"/>
                  <w:noWrap w:val="0"/>
                  <w:vAlign w:val="center"/>
                </w:tcPr>
                <w:p w14:paraId="1290AD56">
                  <w:pPr>
                    <w:adjustRightInd w:val="0"/>
                    <w:snapToGrid w:val="0"/>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rPr>
                    <w:t>h</w:t>
                  </w:r>
                </w:p>
              </w:tc>
              <w:tc>
                <w:tcPr>
                  <w:tcW w:w="362" w:type="pct"/>
                  <w:shd w:val="clear" w:color="auto" w:fill="auto"/>
                  <w:noWrap w:val="0"/>
                  <w:vAlign w:val="center"/>
                </w:tcPr>
                <w:p w14:paraId="581EE687">
                  <w:pPr>
                    <w:adjustRightInd w:val="0"/>
                    <w:snapToGrid w:val="0"/>
                    <w:ind w:left="-105" w:leftChars="-50" w:right="-105" w:rightChars="-5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25</w:t>
                  </w:r>
                </w:p>
              </w:tc>
              <w:tc>
                <w:tcPr>
                  <w:tcW w:w="958" w:type="dxa"/>
                  <w:noWrap w:val="0"/>
                  <w:vAlign w:val="center"/>
                </w:tcPr>
                <w:p w14:paraId="4BF81D6D">
                  <w:pPr>
                    <w:keepNext w:val="0"/>
                    <w:keepLines w:val="0"/>
                    <w:widowControl/>
                    <w:suppressLineNumbers w:val="0"/>
                    <w:jc w:val="center"/>
                    <w:textAlignment w:val="bottom"/>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49.0</w:t>
                  </w:r>
                </w:p>
              </w:tc>
              <w:tc>
                <w:tcPr>
                  <w:tcW w:w="388" w:type="pct"/>
                  <w:noWrap w:val="0"/>
                  <w:vAlign w:val="center"/>
                </w:tcPr>
                <w:p w14:paraId="5BC1DB14">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1m</w:t>
                  </w:r>
                </w:p>
              </w:tc>
            </w:tr>
          </w:tbl>
          <w:p w14:paraId="1A25B695">
            <w:pPr>
              <w:keepNext w:val="0"/>
              <w:keepLines w:val="0"/>
              <w:pageBreakBefore w:val="0"/>
              <w:widowControl w:val="0"/>
              <w:kinsoku/>
              <w:wordWrap/>
              <w:overflowPunct/>
              <w:topLinePunct w:val="0"/>
              <w:autoSpaceDE/>
              <w:autoSpaceDN/>
              <w:bidi w:val="0"/>
              <w:adjustRightInd/>
              <w:snapToGrid w:val="0"/>
              <w:spacing w:line="500" w:lineRule="exact"/>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表4-1</w:t>
            </w:r>
            <w:r>
              <w:rPr>
                <w:rFonts w:hint="eastAsia" w:ascii="Times New Roman" w:hAnsi="Times New Roman" w:eastAsia="宋体" w:cs="Times New Roman"/>
                <w:b/>
                <w:bCs/>
                <w:color w:val="auto"/>
                <w:sz w:val="24"/>
                <w:szCs w:val="24"/>
                <w:lang w:val="en-US" w:eastAsia="zh-CN"/>
              </w:rPr>
              <w:t xml:space="preserve">8  </w:t>
            </w:r>
            <w:r>
              <w:rPr>
                <w:rFonts w:hint="default" w:ascii="Times New Roman" w:hAnsi="Times New Roman" w:eastAsia="宋体" w:cs="Times New Roman"/>
                <w:b/>
                <w:bCs/>
                <w:color w:val="auto"/>
                <w:sz w:val="24"/>
                <w:szCs w:val="24"/>
                <w:lang w:eastAsia="zh-CN"/>
              </w:rPr>
              <w:t>本项目</w:t>
            </w:r>
            <w:r>
              <w:rPr>
                <w:rFonts w:hint="default" w:ascii="Times New Roman" w:hAnsi="Times New Roman" w:eastAsia="宋体" w:cs="Times New Roman"/>
                <w:b/>
                <w:bCs/>
                <w:color w:val="auto"/>
                <w:sz w:val="24"/>
                <w:szCs w:val="24"/>
                <w:lang w:val="en-US" w:eastAsia="zh-CN"/>
              </w:rPr>
              <w:t>主要噪声污染源一览表（室外声源）</w:t>
            </w:r>
          </w:p>
          <w:tbl>
            <w:tblPr>
              <w:tblStyle w:val="27"/>
              <w:tblW w:w="4998" w:type="pct"/>
              <w:jc w:val="center"/>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807"/>
              <w:gridCol w:w="1493"/>
              <w:gridCol w:w="974"/>
              <w:gridCol w:w="1244"/>
              <w:gridCol w:w="1244"/>
              <w:gridCol w:w="1257"/>
              <w:gridCol w:w="2038"/>
              <w:gridCol w:w="2104"/>
              <w:gridCol w:w="2063"/>
            </w:tblGrid>
            <w:tr w14:paraId="498EAAF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5" w:type="pct"/>
                  <w:vMerge w:val="restart"/>
                  <w:tcBorders>
                    <w:tl2br w:val="nil"/>
                    <w:tr2bl w:val="nil"/>
                  </w:tcBorders>
                  <w:vAlign w:val="center"/>
                </w:tcPr>
                <w:p w14:paraId="315566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rPr>
                    <w:t>序号</w:t>
                  </w:r>
                </w:p>
              </w:tc>
              <w:tc>
                <w:tcPr>
                  <w:tcW w:w="564" w:type="pct"/>
                  <w:vMerge w:val="restart"/>
                  <w:tcBorders>
                    <w:tl2br w:val="nil"/>
                    <w:tr2bl w:val="nil"/>
                  </w:tcBorders>
                  <w:vAlign w:val="center"/>
                </w:tcPr>
                <w:p w14:paraId="6C4282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lang w:val="en-US" w:eastAsia="zh-CN"/>
                    </w:rPr>
                    <w:t>声源名称</w:t>
                  </w:r>
                </w:p>
              </w:tc>
              <w:tc>
                <w:tcPr>
                  <w:tcW w:w="368" w:type="pct"/>
                  <w:vMerge w:val="restart"/>
                  <w:tcBorders>
                    <w:tl2br w:val="nil"/>
                    <w:tr2bl w:val="nil"/>
                  </w:tcBorders>
                  <w:vAlign w:val="center"/>
                </w:tcPr>
                <w:p w14:paraId="12B53B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数量</w:t>
                  </w:r>
                </w:p>
              </w:tc>
              <w:tc>
                <w:tcPr>
                  <w:tcW w:w="1415" w:type="pct"/>
                  <w:gridSpan w:val="3"/>
                  <w:tcBorders>
                    <w:tl2br w:val="nil"/>
                    <w:tr2bl w:val="nil"/>
                  </w:tcBorders>
                  <w:vAlign w:val="center"/>
                </w:tcPr>
                <w:p w14:paraId="1C35E6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空间相对位置/m</w:t>
                  </w:r>
                </w:p>
              </w:tc>
              <w:tc>
                <w:tcPr>
                  <w:tcW w:w="770" w:type="pct"/>
                  <w:vMerge w:val="restart"/>
                  <w:tcBorders>
                    <w:tl2br w:val="nil"/>
                    <w:tr2bl w:val="nil"/>
                  </w:tcBorders>
                  <w:vAlign w:val="center"/>
                </w:tcPr>
                <w:p w14:paraId="08C77A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单台声功率级dB（A）</w:t>
                  </w:r>
                </w:p>
              </w:tc>
              <w:tc>
                <w:tcPr>
                  <w:tcW w:w="795" w:type="pct"/>
                  <w:vMerge w:val="restart"/>
                  <w:tcBorders>
                    <w:tl2br w:val="nil"/>
                    <w:tr2bl w:val="nil"/>
                  </w:tcBorders>
                  <w:vAlign w:val="center"/>
                </w:tcPr>
                <w:p w14:paraId="3E088C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声源控制</w:t>
                  </w:r>
                </w:p>
                <w:p w14:paraId="5F1188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措施</w:t>
                  </w:r>
                </w:p>
              </w:tc>
              <w:tc>
                <w:tcPr>
                  <w:tcW w:w="779" w:type="pct"/>
                  <w:vMerge w:val="restart"/>
                  <w:tcBorders>
                    <w:tl2br w:val="nil"/>
                    <w:tr2bl w:val="nil"/>
                  </w:tcBorders>
                  <w:vAlign w:val="center"/>
                </w:tcPr>
                <w:p w14:paraId="3047FE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运行时段</w:t>
                  </w:r>
                </w:p>
              </w:tc>
            </w:tr>
            <w:tr w14:paraId="7A97B35A">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5" w:type="pct"/>
                  <w:vMerge w:val="continue"/>
                  <w:tcBorders>
                    <w:tl2br w:val="nil"/>
                    <w:tr2bl w:val="nil"/>
                  </w:tcBorders>
                  <w:vAlign w:val="center"/>
                </w:tcPr>
                <w:p w14:paraId="7B7B8D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c>
                <w:tcPr>
                  <w:tcW w:w="564" w:type="pct"/>
                  <w:vMerge w:val="continue"/>
                  <w:tcBorders>
                    <w:tl2br w:val="nil"/>
                    <w:tr2bl w:val="nil"/>
                  </w:tcBorders>
                  <w:vAlign w:val="center"/>
                </w:tcPr>
                <w:p w14:paraId="452145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p>
              </w:tc>
              <w:tc>
                <w:tcPr>
                  <w:tcW w:w="368" w:type="pct"/>
                  <w:vMerge w:val="continue"/>
                  <w:tcBorders>
                    <w:tl2br w:val="nil"/>
                    <w:tr2bl w:val="nil"/>
                  </w:tcBorders>
                  <w:vAlign w:val="center"/>
                </w:tcPr>
                <w:p w14:paraId="01C4B9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p>
              </w:tc>
              <w:tc>
                <w:tcPr>
                  <w:tcW w:w="470" w:type="pct"/>
                  <w:tcBorders>
                    <w:tl2br w:val="nil"/>
                    <w:tr2bl w:val="nil"/>
                  </w:tcBorders>
                  <w:vAlign w:val="center"/>
                </w:tcPr>
                <w:p w14:paraId="6DB486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X</w:t>
                  </w:r>
                </w:p>
              </w:tc>
              <w:tc>
                <w:tcPr>
                  <w:tcW w:w="470" w:type="pct"/>
                  <w:tcBorders>
                    <w:tl2br w:val="nil"/>
                    <w:tr2bl w:val="nil"/>
                  </w:tcBorders>
                  <w:vAlign w:val="center"/>
                </w:tcPr>
                <w:p w14:paraId="307B58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Y</w:t>
                  </w:r>
                </w:p>
              </w:tc>
              <w:tc>
                <w:tcPr>
                  <w:tcW w:w="475" w:type="pct"/>
                  <w:tcBorders>
                    <w:tl2br w:val="nil"/>
                    <w:tr2bl w:val="nil"/>
                  </w:tcBorders>
                  <w:vAlign w:val="center"/>
                </w:tcPr>
                <w:p w14:paraId="05B8D7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Z</w:t>
                  </w:r>
                </w:p>
              </w:tc>
              <w:tc>
                <w:tcPr>
                  <w:tcW w:w="770" w:type="pct"/>
                  <w:vMerge w:val="continue"/>
                  <w:tcBorders>
                    <w:tl2br w:val="nil"/>
                    <w:tr2bl w:val="nil"/>
                  </w:tcBorders>
                  <w:vAlign w:val="center"/>
                </w:tcPr>
                <w:p w14:paraId="235AB5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p>
              </w:tc>
              <w:tc>
                <w:tcPr>
                  <w:tcW w:w="795" w:type="pct"/>
                  <w:vMerge w:val="continue"/>
                  <w:tcBorders>
                    <w:tl2br w:val="nil"/>
                    <w:tr2bl w:val="nil"/>
                  </w:tcBorders>
                  <w:vAlign w:val="center"/>
                </w:tcPr>
                <w:p w14:paraId="788521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p>
              </w:tc>
              <w:tc>
                <w:tcPr>
                  <w:tcW w:w="779" w:type="pct"/>
                  <w:vMerge w:val="continue"/>
                  <w:tcBorders>
                    <w:tl2br w:val="nil"/>
                    <w:tr2bl w:val="nil"/>
                  </w:tcBorders>
                  <w:vAlign w:val="center"/>
                </w:tcPr>
                <w:p w14:paraId="3264A7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lang w:val="en-US" w:eastAsia="zh-CN"/>
                    </w:rPr>
                  </w:pPr>
                </w:p>
              </w:tc>
            </w:tr>
            <w:tr w14:paraId="6DAA0A50">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5" w:type="pct"/>
                  <w:tcBorders>
                    <w:tl2br w:val="nil"/>
                    <w:tr2bl w:val="nil"/>
                  </w:tcBorders>
                  <w:vAlign w:val="center"/>
                </w:tcPr>
                <w:p w14:paraId="04C813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564" w:type="pct"/>
                  <w:tcBorders>
                    <w:tl2br w:val="nil"/>
                    <w:tr2bl w:val="nil"/>
                  </w:tcBorders>
                  <w:vAlign w:val="center"/>
                </w:tcPr>
                <w:p w14:paraId="51DAB114">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lang w:val="en-US" w:eastAsia="zh-CN"/>
                    </w:rPr>
                    <w:t>风机1</w:t>
                  </w:r>
                </w:p>
              </w:tc>
              <w:tc>
                <w:tcPr>
                  <w:tcW w:w="368" w:type="pct"/>
                  <w:tcBorders>
                    <w:tl2br w:val="nil"/>
                    <w:tr2bl w:val="nil"/>
                  </w:tcBorders>
                  <w:vAlign w:val="center"/>
                </w:tcPr>
                <w:p w14:paraId="043B128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Cs w:val="21"/>
                      <w:lang w:val="en-US" w:eastAsia="zh-CN"/>
                    </w:rPr>
                    <w:t>1</w:t>
                  </w:r>
                </w:p>
              </w:tc>
              <w:tc>
                <w:tcPr>
                  <w:tcW w:w="470" w:type="pct"/>
                  <w:tcBorders>
                    <w:tl2br w:val="nil"/>
                    <w:tr2bl w:val="nil"/>
                  </w:tcBorders>
                  <w:vAlign w:val="center"/>
                </w:tcPr>
                <w:p w14:paraId="60727EA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80</w:t>
                  </w:r>
                </w:p>
              </w:tc>
              <w:tc>
                <w:tcPr>
                  <w:tcW w:w="470" w:type="pct"/>
                  <w:tcBorders>
                    <w:tl2br w:val="nil"/>
                    <w:tr2bl w:val="nil"/>
                  </w:tcBorders>
                  <w:vAlign w:val="center"/>
                </w:tcPr>
                <w:p w14:paraId="0DDE38A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15</w:t>
                  </w:r>
                </w:p>
              </w:tc>
              <w:tc>
                <w:tcPr>
                  <w:tcW w:w="475" w:type="pct"/>
                  <w:tcBorders>
                    <w:tl2br w:val="nil"/>
                    <w:tr2bl w:val="nil"/>
                  </w:tcBorders>
                  <w:vAlign w:val="center"/>
                </w:tcPr>
                <w:p w14:paraId="4B6E156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16</w:t>
                  </w:r>
                </w:p>
              </w:tc>
              <w:tc>
                <w:tcPr>
                  <w:tcW w:w="770" w:type="pct"/>
                  <w:tcBorders>
                    <w:tl2br w:val="nil"/>
                    <w:tr2bl w:val="nil"/>
                  </w:tcBorders>
                  <w:vAlign w:val="center"/>
                </w:tcPr>
                <w:p w14:paraId="185532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Cs w:val="21"/>
                      <w:lang w:val="en-US" w:eastAsia="zh-CN"/>
                    </w:rPr>
                    <w:t>8</w:t>
                  </w:r>
                  <w:r>
                    <w:rPr>
                      <w:rFonts w:hint="eastAsia" w:ascii="Times New Roman" w:hAnsi="Times New Roman" w:eastAsia="宋体" w:cs="Times New Roman"/>
                      <w:color w:val="auto"/>
                      <w:szCs w:val="21"/>
                      <w:lang w:val="en-US" w:eastAsia="zh-CN"/>
                    </w:rPr>
                    <w:t>0</w:t>
                  </w:r>
                </w:p>
              </w:tc>
              <w:tc>
                <w:tcPr>
                  <w:tcW w:w="795" w:type="pct"/>
                  <w:tcBorders>
                    <w:tl2br w:val="nil"/>
                    <w:tr2bl w:val="nil"/>
                  </w:tcBorders>
                  <w:vAlign w:val="center"/>
                </w:tcPr>
                <w:p w14:paraId="11E552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Cs/>
                      <w:color w:val="auto"/>
                      <w:szCs w:val="20"/>
                    </w:rPr>
                    <w:t>减振、隔音</w:t>
                  </w:r>
                </w:p>
              </w:tc>
              <w:tc>
                <w:tcPr>
                  <w:tcW w:w="779" w:type="pct"/>
                  <w:tcBorders>
                    <w:tl2br w:val="nil"/>
                    <w:tr2bl w:val="nil"/>
                  </w:tcBorders>
                  <w:vAlign w:val="center"/>
                </w:tcPr>
                <w:p w14:paraId="3CD0B9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工作时</w:t>
                  </w:r>
                </w:p>
              </w:tc>
            </w:tr>
            <w:tr w14:paraId="4F25BCCB">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5" w:type="pct"/>
                  <w:tcBorders>
                    <w:tl2br w:val="nil"/>
                    <w:tr2bl w:val="nil"/>
                  </w:tcBorders>
                  <w:vAlign w:val="center"/>
                </w:tcPr>
                <w:p w14:paraId="1D03EE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w:t>
                  </w:r>
                </w:p>
              </w:tc>
              <w:tc>
                <w:tcPr>
                  <w:tcW w:w="564" w:type="pct"/>
                  <w:tcBorders>
                    <w:tl2br w:val="nil"/>
                    <w:tr2bl w:val="nil"/>
                  </w:tcBorders>
                  <w:vAlign w:val="center"/>
                </w:tcPr>
                <w:p w14:paraId="4E43CFA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风机2</w:t>
                  </w:r>
                </w:p>
              </w:tc>
              <w:tc>
                <w:tcPr>
                  <w:tcW w:w="368" w:type="pct"/>
                  <w:tcBorders>
                    <w:tl2br w:val="nil"/>
                    <w:tr2bl w:val="nil"/>
                  </w:tcBorders>
                  <w:vAlign w:val="center"/>
                </w:tcPr>
                <w:p w14:paraId="35F70574">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470" w:type="pct"/>
                  <w:tcBorders>
                    <w:tl2br w:val="nil"/>
                    <w:tr2bl w:val="nil"/>
                  </w:tcBorders>
                  <w:vAlign w:val="center"/>
                </w:tcPr>
                <w:p w14:paraId="494AC45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50</w:t>
                  </w:r>
                </w:p>
              </w:tc>
              <w:tc>
                <w:tcPr>
                  <w:tcW w:w="470" w:type="pct"/>
                  <w:tcBorders>
                    <w:tl2br w:val="nil"/>
                    <w:tr2bl w:val="nil"/>
                  </w:tcBorders>
                  <w:vAlign w:val="center"/>
                </w:tcPr>
                <w:p w14:paraId="2C69607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25</w:t>
                  </w:r>
                </w:p>
              </w:tc>
              <w:tc>
                <w:tcPr>
                  <w:tcW w:w="475" w:type="pct"/>
                  <w:tcBorders>
                    <w:tl2br w:val="nil"/>
                    <w:tr2bl w:val="nil"/>
                  </w:tcBorders>
                  <w:vAlign w:val="center"/>
                </w:tcPr>
                <w:p w14:paraId="3E66D23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16</w:t>
                  </w:r>
                </w:p>
              </w:tc>
              <w:tc>
                <w:tcPr>
                  <w:tcW w:w="770" w:type="pct"/>
                  <w:tcBorders>
                    <w:tl2br w:val="nil"/>
                    <w:tr2bl w:val="nil"/>
                  </w:tcBorders>
                  <w:vAlign w:val="center"/>
                </w:tcPr>
                <w:p w14:paraId="74817BF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szCs w:val="21"/>
                      <w:lang w:val="en-US" w:eastAsia="zh-CN"/>
                    </w:rPr>
                    <w:t>8</w:t>
                  </w:r>
                  <w:r>
                    <w:rPr>
                      <w:rFonts w:hint="eastAsia" w:ascii="Times New Roman" w:hAnsi="Times New Roman" w:eastAsia="宋体" w:cs="Times New Roman"/>
                      <w:color w:val="auto"/>
                      <w:szCs w:val="21"/>
                      <w:lang w:val="en-US" w:eastAsia="zh-CN"/>
                    </w:rPr>
                    <w:t>0</w:t>
                  </w:r>
                </w:p>
              </w:tc>
              <w:tc>
                <w:tcPr>
                  <w:tcW w:w="795" w:type="pct"/>
                  <w:tcBorders>
                    <w:tl2br w:val="nil"/>
                    <w:tr2bl w:val="nil"/>
                  </w:tcBorders>
                  <w:vAlign w:val="center"/>
                </w:tcPr>
                <w:p w14:paraId="3FEF2DC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bCs/>
                      <w:color w:val="auto"/>
                      <w:szCs w:val="20"/>
                    </w:rPr>
                    <w:t>减振、隔音</w:t>
                  </w:r>
                </w:p>
              </w:tc>
              <w:tc>
                <w:tcPr>
                  <w:tcW w:w="779" w:type="pct"/>
                  <w:tcBorders>
                    <w:tl2br w:val="nil"/>
                    <w:tr2bl w:val="nil"/>
                  </w:tcBorders>
                  <w:vAlign w:val="center"/>
                </w:tcPr>
                <w:p w14:paraId="1625F35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工作时</w:t>
                  </w:r>
                </w:p>
              </w:tc>
            </w:tr>
            <w:tr w14:paraId="50D8DF34">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05" w:type="pct"/>
                  <w:tcBorders>
                    <w:tl2br w:val="nil"/>
                    <w:tr2bl w:val="nil"/>
                  </w:tcBorders>
                  <w:vAlign w:val="center"/>
                </w:tcPr>
                <w:p w14:paraId="63080D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564" w:type="pct"/>
                  <w:tcBorders>
                    <w:tl2br w:val="nil"/>
                    <w:tr2bl w:val="nil"/>
                  </w:tcBorders>
                  <w:shd w:val="clear" w:color="auto" w:fill="auto"/>
                  <w:vAlign w:val="center"/>
                </w:tcPr>
                <w:p w14:paraId="1442F53C">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风机</w:t>
                  </w:r>
                  <w:r>
                    <w:rPr>
                      <w:rFonts w:hint="eastAsia" w:ascii="Times New Roman" w:hAnsi="Times New Roman" w:eastAsia="宋体" w:cs="Times New Roman"/>
                      <w:color w:val="auto"/>
                      <w:szCs w:val="21"/>
                      <w:lang w:val="en-US" w:eastAsia="zh-CN"/>
                    </w:rPr>
                    <w:t>3</w:t>
                  </w:r>
                </w:p>
              </w:tc>
              <w:tc>
                <w:tcPr>
                  <w:tcW w:w="368" w:type="pct"/>
                  <w:tcBorders>
                    <w:tl2br w:val="nil"/>
                    <w:tr2bl w:val="nil"/>
                  </w:tcBorders>
                  <w:shd w:val="clear" w:color="auto" w:fill="auto"/>
                  <w:vAlign w:val="center"/>
                </w:tcPr>
                <w:p w14:paraId="13BA28D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w:t>
                  </w:r>
                </w:p>
              </w:tc>
              <w:tc>
                <w:tcPr>
                  <w:tcW w:w="470" w:type="pct"/>
                  <w:tcBorders>
                    <w:tl2br w:val="nil"/>
                    <w:tr2bl w:val="nil"/>
                  </w:tcBorders>
                  <w:shd w:val="clear" w:color="auto" w:fill="auto"/>
                  <w:vAlign w:val="center"/>
                </w:tcPr>
                <w:p w14:paraId="7CB99E1A">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50</w:t>
                  </w:r>
                </w:p>
              </w:tc>
              <w:tc>
                <w:tcPr>
                  <w:tcW w:w="470" w:type="pct"/>
                  <w:tcBorders>
                    <w:tl2br w:val="nil"/>
                    <w:tr2bl w:val="nil"/>
                  </w:tcBorders>
                  <w:shd w:val="clear" w:color="auto" w:fill="auto"/>
                  <w:vAlign w:val="center"/>
                </w:tcPr>
                <w:p w14:paraId="260A85A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w:t>
                  </w:r>
                </w:p>
              </w:tc>
              <w:tc>
                <w:tcPr>
                  <w:tcW w:w="475" w:type="pct"/>
                  <w:tcBorders>
                    <w:tl2br w:val="nil"/>
                    <w:tr2bl w:val="nil"/>
                  </w:tcBorders>
                  <w:shd w:val="clear" w:color="auto" w:fill="auto"/>
                  <w:vAlign w:val="center"/>
                </w:tcPr>
                <w:p w14:paraId="19E435B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16</w:t>
                  </w:r>
                </w:p>
              </w:tc>
              <w:tc>
                <w:tcPr>
                  <w:tcW w:w="770" w:type="pct"/>
                  <w:tcBorders>
                    <w:tl2br w:val="nil"/>
                    <w:tr2bl w:val="nil"/>
                  </w:tcBorders>
                  <w:shd w:val="clear" w:color="auto" w:fill="auto"/>
                  <w:vAlign w:val="center"/>
                </w:tcPr>
                <w:p w14:paraId="2562EAB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8</w:t>
                  </w:r>
                  <w:r>
                    <w:rPr>
                      <w:rFonts w:hint="eastAsia" w:ascii="Times New Roman" w:hAnsi="Times New Roman" w:eastAsia="宋体" w:cs="Times New Roman"/>
                      <w:color w:val="auto"/>
                      <w:szCs w:val="21"/>
                      <w:lang w:val="en-US" w:eastAsia="zh-CN"/>
                    </w:rPr>
                    <w:t>0</w:t>
                  </w:r>
                </w:p>
              </w:tc>
              <w:tc>
                <w:tcPr>
                  <w:tcW w:w="795" w:type="pct"/>
                  <w:tcBorders>
                    <w:tl2br w:val="nil"/>
                    <w:tr2bl w:val="nil"/>
                  </w:tcBorders>
                  <w:shd w:val="clear" w:color="auto" w:fill="auto"/>
                  <w:vAlign w:val="center"/>
                </w:tcPr>
                <w:p w14:paraId="695C9CBF">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0"/>
                      <w:lang w:val="en-US" w:eastAsia="zh-CN" w:bidi="ar-SA"/>
                    </w:rPr>
                  </w:pPr>
                  <w:r>
                    <w:rPr>
                      <w:rFonts w:hint="default" w:ascii="Times New Roman" w:hAnsi="Times New Roman" w:eastAsia="宋体" w:cs="Times New Roman"/>
                      <w:bCs/>
                      <w:color w:val="auto"/>
                      <w:szCs w:val="20"/>
                    </w:rPr>
                    <w:t>减振、隔音</w:t>
                  </w:r>
                </w:p>
              </w:tc>
              <w:tc>
                <w:tcPr>
                  <w:tcW w:w="779" w:type="pct"/>
                  <w:tcBorders>
                    <w:tl2br w:val="nil"/>
                    <w:tr2bl w:val="nil"/>
                  </w:tcBorders>
                  <w:shd w:val="clear" w:color="auto" w:fill="auto"/>
                  <w:vAlign w:val="center"/>
                </w:tcPr>
                <w:p w14:paraId="5BAB647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工作时</w:t>
                  </w:r>
                </w:p>
              </w:tc>
            </w:tr>
            <w:tr w14:paraId="0A3386D5">
              <w:tblPrEx>
                <w:tblBorders>
                  <w:top w:val="single" w:color="auto" w:sz="4" w:space="0"/>
                  <w:left w:val="none" w:color="auto" w:sz="0" w:space="0"/>
                  <w:bottom w:val="single" w:color="auto"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05" w:type="pct"/>
                  <w:tcBorders>
                    <w:tl2br w:val="nil"/>
                    <w:tr2bl w:val="nil"/>
                  </w:tcBorders>
                  <w:vAlign w:val="center"/>
                </w:tcPr>
                <w:p w14:paraId="633AB0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564" w:type="pct"/>
                  <w:tcBorders>
                    <w:tl2br w:val="nil"/>
                    <w:tr2bl w:val="nil"/>
                  </w:tcBorders>
                  <w:shd w:val="clear" w:color="auto" w:fill="auto"/>
                  <w:vAlign w:val="center"/>
                </w:tcPr>
                <w:p w14:paraId="3B0E2E47">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风机</w:t>
                  </w:r>
                  <w:r>
                    <w:rPr>
                      <w:rFonts w:hint="eastAsia" w:ascii="Times New Roman" w:hAnsi="Times New Roman" w:eastAsia="宋体" w:cs="Times New Roman"/>
                      <w:color w:val="auto"/>
                      <w:szCs w:val="21"/>
                      <w:lang w:val="en-US" w:eastAsia="zh-CN"/>
                    </w:rPr>
                    <w:t>4</w:t>
                  </w:r>
                </w:p>
              </w:tc>
              <w:tc>
                <w:tcPr>
                  <w:tcW w:w="368" w:type="pct"/>
                  <w:tcBorders>
                    <w:tl2br w:val="nil"/>
                    <w:tr2bl w:val="nil"/>
                  </w:tcBorders>
                  <w:shd w:val="clear" w:color="auto" w:fill="auto"/>
                  <w:vAlign w:val="center"/>
                </w:tcPr>
                <w:p w14:paraId="180D9BE8">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w:t>
                  </w:r>
                </w:p>
              </w:tc>
              <w:tc>
                <w:tcPr>
                  <w:tcW w:w="470" w:type="pct"/>
                  <w:tcBorders>
                    <w:tl2br w:val="nil"/>
                    <w:tr2bl w:val="nil"/>
                  </w:tcBorders>
                  <w:shd w:val="clear" w:color="auto" w:fill="auto"/>
                  <w:vAlign w:val="center"/>
                </w:tcPr>
                <w:p w14:paraId="0E4E41CB">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90</w:t>
                  </w:r>
                </w:p>
              </w:tc>
              <w:tc>
                <w:tcPr>
                  <w:tcW w:w="470" w:type="pct"/>
                  <w:tcBorders>
                    <w:tl2br w:val="nil"/>
                    <w:tr2bl w:val="nil"/>
                  </w:tcBorders>
                  <w:shd w:val="clear" w:color="auto" w:fill="auto"/>
                  <w:vAlign w:val="center"/>
                </w:tcPr>
                <w:p w14:paraId="6E6AE14E">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5</w:t>
                  </w:r>
                </w:p>
              </w:tc>
              <w:tc>
                <w:tcPr>
                  <w:tcW w:w="475" w:type="pct"/>
                  <w:tcBorders>
                    <w:tl2br w:val="nil"/>
                    <w:tr2bl w:val="nil"/>
                  </w:tcBorders>
                  <w:shd w:val="clear" w:color="auto" w:fill="auto"/>
                  <w:vAlign w:val="center"/>
                </w:tcPr>
                <w:p w14:paraId="7E50BB16">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16</w:t>
                  </w:r>
                </w:p>
              </w:tc>
              <w:tc>
                <w:tcPr>
                  <w:tcW w:w="770" w:type="pct"/>
                  <w:tcBorders>
                    <w:tl2br w:val="nil"/>
                    <w:tr2bl w:val="nil"/>
                  </w:tcBorders>
                  <w:shd w:val="clear" w:color="auto" w:fill="auto"/>
                  <w:vAlign w:val="center"/>
                </w:tcPr>
                <w:p w14:paraId="29A0EA19">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8</w:t>
                  </w:r>
                  <w:r>
                    <w:rPr>
                      <w:rFonts w:hint="eastAsia" w:ascii="Times New Roman" w:hAnsi="Times New Roman" w:eastAsia="宋体" w:cs="Times New Roman"/>
                      <w:color w:val="auto"/>
                      <w:szCs w:val="21"/>
                      <w:lang w:val="en-US" w:eastAsia="zh-CN"/>
                    </w:rPr>
                    <w:t>0</w:t>
                  </w:r>
                </w:p>
              </w:tc>
              <w:tc>
                <w:tcPr>
                  <w:tcW w:w="795" w:type="pct"/>
                  <w:tcBorders>
                    <w:tl2br w:val="nil"/>
                    <w:tr2bl w:val="nil"/>
                  </w:tcBorders>
                  <w:shd w:val="clear" w:color="auto" w:fill="auto"/>
                  <w:vAlign w:val="center"/>
                </w:tcPr>
                <w:p w14:paraId="6B070C65">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0"/>
                      <w:lang w:val="en-US" w:eastAsia="zh-CN" w:bidi="ar-SA"/>
                    </w:rPr>
                  </w:pPr>
                  <w:r>
                    <w:rPr>
                      <w:rFonts w:hint="default" w:ascii="Times New Roman" w:hAnsi="Times New Roman" w:eastAsia="宋体" w:cs="Times New Roman"/>
                      <w:bCs/>
                      <w:color w:val="auto"/>
                      <w:szCs w:val="20"/>
                    </w:rPr>
                    <w:t>减振、隔音</w:t>
                  </w:r>
                </w:p>
              </w:tc>
              <w:tc>
                <w:tcPr>
                  <w:tcW w:w="779" w:type="pct"/>
                  <w:tcBorders>
                    <w:tl2br w:val="nil"/>
                    <w:tr2bl w:val="nil"/>
                  </w:tcBorders>
                  <w:shd w:val="clear" w:color="auto" w:fill="auto"/>
                  <w:vAlign w:val="center"/>
                </w:tcPr>
                <w:p w14:paraId="7D5F8F3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工作时</w:t>
                  </w:r>
                </w:p>
              </w:tc>
            </w:tr>
          </w:tbl>
          <w:p w14:paraId="3A40DC1B">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注：表4-13及表4-14中空间相对坐标以车间西南角为原点（0，0，0），东西方向为X轴，南北方向为Y轴，垂直方向为Z轴。</w:t>
            </w:r>
          </w:p>
          <w:p w14:paraId="781F05AF">
            <w:pPr>
              <w:spacing w:line="360" w:lineRule="auto"/>
              <w:jc w:val="center"/>
              <w:rPr>
                <w:rFonts w:hint="default" w:ascii="Times New Roman" w:hAnsi="Times New Roman" w:eastAsia="宋体" w:cs="Times New Roman"/>
                <w:color w:val="auto"/>
                <w:sz w:val="24"/>
              </w:rPr>
            </w:pPr>
          </w:p>
        </w:tc>
      </w:tr>
    </w:tbl>
    <w:p w14:paraId="2AA100EC">
      <w:pPr>
        <w:rPr>
          <w:rFonts w:hint="default" w:ascii="Times New Roman" w:hAnsi="Times New Roman" w:cs="Times New Roman"/>
          <w:color w:val="auto"/>
        </w:rPr>
        <w:sectPr>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8564"/>
      </w:tblGrid>
      <w:tr w14:paraId="02661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89" w:type="pct"/>
            <w:vAlign w:val="center"/>
          </w:tcPr>
          <w:p w14:paraId="185984DA">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运营期环境影响和保护措施</w:t>
            </w:r>
          </w:p>
        </w:tc>
        <w:tc>
          <w:tcPr>
            <w:tcW w:w="4610" w:type="pct"/>
          </w:tcPr>
          <w:p w14:paraId="463231FA">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2、降噪措施</w:t>
            </w:r>
          </w:p>
          <w:p w14:paraId="6E38C45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①企业在选购设备时购置符合国家颁布的各类机械噪声标准的低噪声设备，保证运行时能符合工业企业车间噪声卫生标准，同时能保证达到厂界噪声控制值。</w:t>
            </w:r>
          </w:p>
          <w:p w14:paraId="349BA6E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②针对较大的设备噪声源，可通过设备安装减振座、加设减振垫等方式来进行减振处理。</w:t>
            </w:r>
          </w:p>
          <w:p w14:paraId="3BEEC3B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③对产生的机械撞击性噪声采用性能好的隔声门窗将噪声封隔起来，以减少噪声的传播，设置隔声控制室，将操作人员与噪声源分离开等。</w:t>
            </w:r>
          </w:p>
          <w:p w14:paraId="111BBD2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④在噪声传播途径上采取措施加以控制，如</w:t>
            </w:r>
            <w:r>
              <w:rPr>
                <w:rFonts w:hint="eastAsia" w:ascii="Times New Roman" w:hAnsi="Times New Roman" w:eastAsia="宋体" w:cs="Times New Roman"/>
                <w:color w:val="auto"/>
                <w:sz w:val="24"/>
                <w:lang w:val="en-US" w:eastAsia="zh-CN"/>
              </w:rPr>
              <w:t>加强</w:t>
            </w:r>
            <w:r>
              <w:rPr>
                <w:rFonts w:hint="default" w:ascii="Times New Roman" w:hAnsi="Times New Roman" w:eastAsia="宋体" w:cs="Times New Roman"/>
                <w:color w:val="auto"/>
                <w:sz w:val="24"/>
              </w:rPr>
              <w:t>噪声源车间的建筑围护结构均以封闭为主，同时采取车间外及厂界的绿化，利用建筑物与树木阻隔声音的传播。</w:t>
            </w:r>
          </w:p>
          <w:p w14:paraId="5C9D76D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⑤保持设备处于良好的运转状态，防止因设备运转不正常而增大噪声，要经常进行保养，加润滑油，减少摩擦力，降低噪声。</w:t>
            </w:r>
          </w:p>
          <w:p w14:paraId="30ECE1FC">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3、预测排放强度、达标情况分析</w:t>
            </w:r>
          </w:p>
          <w:p w14:paraId="599F718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本项目生产制度为</w:t>
            </w:r>
            <w:r>
              <w:rPr>
                <w:rFonts w:hint="eastAsia" w:ascii="Times New Roman" w:hAnsi="Times New Roman" w:eastAsia="宋体" w:cs="Times New Roman"/>
                <w:color w:val="auto"/>
                <w:sz w:val="24"/>
                <w:lang w:val="en-US" w:eastAsia="zh-CN"/>
              </w:rPr>
              <w:t>两</w:t>
            </w:r>
            <w:r>
              <w:rPr>
                <w:rFonts w:hint="default" w:ascii="Times New Roman" w:hAnsi="Times New Roman" w:eastAsia="宋体" w:cs="Times New Roman"/>
                <w:color w:val="auto"/>
                <w:sz w:val="24"/>
                <w:lang w:val="en-US" w:eastAsia="zh-CN"/>
              </w:rPr>
              <w:t>班制，故本次评价对东、南、西、北厂界进行昼间</w:t>
            </w:r>
            <w:r>
              <w:rPr>
                <w:rFonts w:hint="eastAsia" w:ascii="Times New Roman" w:hAnsi="Times New Roman" w:eastAsia="宋体" w:cs="Times New Roman"/>
                <w:color w:val="auto"/>
                <w:sz w:val="24"/>
                <w:lang w:val="en-US" w:eastAsia="zh-CN"/>
              </w:rPr>
              <w:t>、夜间</w:t>
            </w:r>
            <w:r>
              <w:rPr>
                <w:rFonts w:hint="default" w:ascii="Times New Roman" w:hAnsi="Times New Roman" w:eastAsia="宋体" w:cs="Times New Roman"/>
                <w:color w:val="auto"/>
                <w:sz w:val="24"/>
                <w:lang w:val="en-US" w:eastAsia="zh-CN"/>
              </w:rPr>
              <w:t>噪声的影响预测。</w:t>
            </w:r>
            <w:r>
              <w:rPr>
                <w:rFonts w:hint="default" w:ascii="Times New Roman" w:hAnsi="Times New Roman" w:eastAsia="宋体" w:cs="Times New Roman"/>
                <w:color w:val="auto"/>
                <w:sz w:val="24"/>
              </w:rPr>
              <w:t>根据企业提供的噪声设备分布情况，</w:t>
            </w:r>
            <w:r>
              <w:rPr>
                <w:rFonts w:hint="default" w:ascii="Times New Roman" w:hAnsi="Times New Roman" w:eastAsia="宋体" w:cs="Times New Roman"/>
                <w:color w:val="auto"/>
                <w:sz w:val="24"/>
                <w:lang w:val="en-US" w:eastAsia="zh-CN"/>
              </w:rPr>
              <w:t>噪声源对厂界噪声的影响预测结果见下表。</w:t>
            </w:r>
          </w:p>
          <w:p w14:paraId="0E013581">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表4-1</w:t>
            </w:r>
            <w:r>
              <w:rPr>
                <w:rFonts w:hint="eastAsia" w:ascii="Times New Roman" w:hAnsi="Times New Roman" w:eastAsia="宋体" w:cs="Times New Roman"/>
                <w:b/>
                <w:bCs/>
                <w:color w:val="auto"/>
                <w:sz w:val="24"/>
                <w:szCs w:val="24"/>
                <w:lang w:val="en-US" w:eastAsia="zh-CN"/>
              </w:rPr>
              <w:t>9</w:t>
            </w:r>
            <w:r>
              <w:rPr>
                <w:rFonts w:hint="default" w:ascii="Times New Roman" w:hAnsi="Times New Roman" w:eastAsia="宋体" w:cs="Times New Roman"/>
                <w:b/>
                <w:bCs/>
                <w:color w:val="auto"/>
                <w:sz w:val="24"/>
                <w:szCs w:val="24"/>
                <w:lang w:val="en-US" w:eastAsia="zh-CN"/>
              </w:rPr>
              <w:t xml:space="preserve">  本项目各厂界昼间噪声预测结果dB（A）</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668"/>
              <w:gridCol w:w="1669"/>
              <w:gridCol w:w="1669"/>
              <w:gridCol w:w="1671"/>
            </w:tblGrid>
            <w:tr w14:paraId="1464E6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vMerge w:val="restart"/>
                  <w:tcBorders>
                    <w:tl2br w:val="nil"/>
                    <w:tr2bl w:val="nil"/>
                  </w:tcBorders>
                  <w:vAlign w:val="center"/>
                </w:tcPr>
                <w:p w14:paraId="16987B52">
                  <w:pPr>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color w:val="auto"/>
                      <w:szCs w:val="21"/>
                    </w:rPr>
                    <w:t>目标</w:t>
                  </w:r>
                </w:p>
              </w:tc>
              <w:tc>
                <w:tcPr>
                  <w:tcW w:w="1999" w:type="pct"/>
                  <w:gridSpan w:val="2"/>
                  <w:tcBorders>
                    <w:tl2br w:val="nil"/>
                    <w:tr2bl w:val="nil"/>
                  </w:tcBorders>
                  <w:vAlign w:val="center"/>
                </w:tcPr>
                <w:p w14:paraId="48630FAB">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噪声</w:t>
                  </w:r>
                  <w:r>
                    <w:rPr>
                      <w:rFonts w:hint="default" w:ascii="Times New Roman" w:hAnsi="Times New Roman" w:eastAsia="宋体" w:cs="Times New Roman"/>
                      <w:b/>
                      <w:color w:val="auto"/>
                      <w:szCs w:val="21"/>
                    </w:rPr>
                    <w:t>贡献值</w:t>
                  </w:r>
                </w:p>
              </w:tc>
              <w:tc>
                <w:tcPr>
                  <w:tcW w:w="2001" w:type="pct"/>
                  <w:gridSpan w:val="2"/>
                  <w:tcBorders>
                    <w:tl2br w:val="nil"/>
                    <w:tr2bl w:val="nil"/>
                  </w:tcBorders>
                  <w:vAlign w:val="center"/>
                </w:tcPr>
                <w:p w14:paraId="3F701824">
                  <w:pPr>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噪声</w:t>
                  </w:r>
                  <w:r>
                    <w:rPr>
                      <w:rFonts w:hint="default" w:ascii="Times New Roman" w:hAnsi="Times New Roman" w:eastAsia="宋体" w:cs="Times New Roman"/>
                      <w:b/>
                      <w:color w:val="auto"/>
                      <w:szCs w:val="21"/>
                    </w:rPr>
                    <w:t>标准</w:t>
                  </w:r>
                </w:p>
              </w:tc>
            </w:tr>
            <w:tr w14:paraId="5B614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vMerge w:val="continue"/>
                  <w:tcBorders>
                    <w:tl2br w:val="nil"/>
                    <w:tr2bl w:val="nil"/>
                  </w:tcBorders>
                  <w:vAlign w:val="center"/>
                </w:tcPr>
                <w:p w14:paraId="611AD9CE">
                  <w:pPr>
                    <w:jc w:val="center"/>
                    <w:rPr>
                      <w:rFonts w:hint="default" w:ascii="Times New Roman" w:hAnsi="Times New Roman" w:eastAsia="宋体" w:cs="Times New Roman"/>
                      <w:b/>
                      <w:color w:val="auto"/>
                      <w:szCs w:val="21"/>
                    </w:rPr>
                  </w:pPr>
                </w:p>
              </w:tc>
              <w:tc>
                <w:tcPr>
                  <w:tcW w:w="999" w:type="pct"/>
                  <w:tcBorders>
                    <w:tl2br w:val="nil"/>
                    <w:tr2bl w:val="nil"/>
                  </w:tcBorders>
                  <w:vAlign w:val="center"/>
                </w:tcPr>
                <w:p w14:paraId="7065ED03">
                  <w:pPr>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昼间</w:t>
                  </w:r>
                </w:p>
              </w:tc>
              <w:tc>
                <w:tcPr>
                  <w:tcW w:w="1000" w:type="pct"/>
                  <w:tcBorders>
                    <w:tl2br w:val="nil"/>
                    <w:tr2bl w:val="nil"/>
                  </w:tcBorders>
                  <w:vAlign w:val="center"/>
                </w:tcPr>
                <w:p w14:paraId="1C97E2A7">
                  <w:pPr>
                    <w:jc w:val="center"/>
                    <w:rPr>
                      <w:rFonts w:hint="eastAsia" w:ascii="Times New Roman" w:hAnsi="Times New Roman" w:eastAsia="宋体" w:cs="Times New Roman"/>
                      <w:b/>
                      <w:color w:val="auto"/>
                      <w:szCs w:val="21"/>
                      <w:lang w:val="en-US" w:eastAsia="zh-CN"/>
                    </w:rPr>
                  </w:pPr>
                  <w:r>
                    <w:rPr>
                      <w:rFonts w:hint="eastAsia" w:ascii="Times New Roman" w:hAnsi="Times New Roman" w:eastAsia="宋体" w:cs="Times New Roman"/>
                      <w:b/>
                      <w:color w:val="auto"/>
                      <w:szCs w:val="21"/>
                      <w:lang w:val="en-US" w:eastAsia="zh-CN"/>
                    </w:rPr>
                    <w:t>夜间</w:t>
                  </w:r>
                </w:p>
              </w:tc>
              <w:tc>
                <w:tcPr>
                  <w:tcW w:w="1000" w:type="pct"/>
                  <w:tcBorders>
                    <w:tl2br w:val="nil"/>
                    <w:tr2bl w:val="nil"/>
                  </w:tcBorders>
                  <w:shd w:val="clear" w:color="auto" w:fill="auto"/>
                  <w:vAlign w:val="center"/>
                </w:tcPr>
                <w:p w14:paraId="02A1E86A">
                  <w:pPr>
                    <w:jc w:val="center"/>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szCs w:val="21"/>
                      <w:lang w:val="en-US" w:eastAsia="zh-CN"/>
                    </w:rPr>
                    <w:t>昼间</w:t>
                  </w:r>
                </w:p>
              </w:tc>
              <w:tc>
                <w:tcPr>
                  <w:tcW w:w="1001" w:type="pct"/>
                  <w:tcBorders>
                    <w:tl2br w:val="nil"/>
                    <w:tr2bl w:val="nil"/>
                  </w:tcBorders>
                  <w:shd w:val="clear" w:color="auto" w:fill="auto"/>
                  <w:vAlign w:val="center"/>
                </w:tcPr>
                <w:p w14:paraId="2AF0CBE8">
                  <w:pPr>
                    <w:jc w:val="center"/>
                    <w:rPr>
                      <w:rFonts w:hint="default" w:ascii="Times New Roman" w:hAnsi="Times New Roman" w:eastAsia="宋体" w:cs="Times New Roman"/>
                      <w:b/>
                      <w:color w:val="auto"/>
                      <w:kern w:val="2"/>
                      <w:sz w:val="21"/>
                      <w:szCs w:val="21"/>
                      <w:lang w:val="en-US" w:eastAsia="zh-CN" w:bidi="ar-SA"/>
                    </w:rPr>
                  </w:pPr>
                  <w:r>
                    <w:rPr>
                      <w:rFonts w:hint="eastAsia" w:ascii="Times New Roman" w:hAnsi="Times New Roman" w:eastAsia="宋体" w:cs="Times New Roman"/>
                      <w:b/>
                      <w:color w:val="auto"/>
                      <w:szCs w:val="21"/>
                      <w:lang w:val="en-US" w:eastAsia="zh-CN"/>
                    </w:rPr>
                    <w:t>夜间</w:t>
                  </w:r>
                </w:p>
              </w:tc>
            </w:tr>
            <w:tr w14:paraId="17AA5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16148E57">
                  <w:pPr>
                    <w:spacing w:line="300"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东厂界</w:t>
                  </w:r>
                </w:p>
              </w:tc>
              <w:tc>
                <w:tcPr>
                  <w:tcW w:w="999" w:type="pct"/>
                  <w:tcBorders>
                    <w:tl2br w:val="nil"/>
                    <w:tr2bl w:val="nil"/>
                  </w:tcBorders>
                  <w:vAlign w:val="center"/>
                </w:tcPr>
                <w:p w14:paraId="392A6215">
                  <w:pPr>
                    <w:pStyle w:val="6"/>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46.4</w:t>
                  </w:r>
                </w:p>
              </w:tc>
              <w:tc>
                <w:tcPr>
                  <w:tcW w:w="1000" w:type="pct"/>
                  <w:tcBorders>
                    <w:tl2br w:val="nil"/>
                    <w:tr2bl w:val="nil"/>
                  </w:tcBorders>
                  <w:shd w:val="clear" w:color="auto" w:fill="auto"/>
                  <w:vAlign w:val="center"/>
                </w:tcPr>
                <w:p w14:paraId="0361028B">
                  <w:pPr>
                    <w:pStyle w:val="6"/>
                    <w:jc w:val="center"/>
                    <w:outlineLvl w:val="2"/>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cs="Times New Roman"/>
                      <w:b w:val="0"/>
                      <w:bCs w:val="0"/>
                      <w:color w:val="auto"/>
                      <w:sz w:val="21"/>
                      <w:szCs w:val="21"/>
                      <w:vertAlign w:val="baseline"/>
                      <w:lang w:val="en-US" w:eastAsia="zh-CN"/>
                    </w:rPr>
                    <w:t>46.4</w:t>
                  </w:r>
                </w:p>
              </w:tc>
              <w:tc>
                <w:tcPr>
                  <w:tcW w:w="1000" w:type="pct"/>
                  <w:tcBorders>
                    <w:tl2br w:val="nil"/>
                    <w:tr2bl w:val="nil"/>
                  </w:tcBorders>
                  <w:vAlign w:val="center"/>
                </w:tcPr>
                <w:p w14:paraId="3963EAD4">
                  <w:pPr>
                    <w:pStyle w:val="6"/>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w:t>
                  </w:r>
                </w:p>
              </w:tc>
              <w:tc>
                <w:tcPr>
                  <w:tcW w:w="1001" w:type="pct"/>
                  <w:tcBorders>
                    <w:tl2br w:val="nil"/>
                    <w:tr2bl w:val="nil"/>
                  </w:tcBorders>
                  <w:vAlign w:val="center"/>
                </w:tcPr>
                <w:p w14:paraId="1CA62DB7">
                  <w:pPr>
                    <w:pStyle w:val="6"/>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55</w:t>
                  </w:r>
                </w:p>
              </w:tc>
            </w:tr>
            <w:tr w14:paraId="0E5F6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2D94C896">
                  <w:pPr>
                    <w:spacing w:line="300"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南厂界</w:t>
                  </w:r>
                </w:p>
              </w:tc>
              <w:tc>
                <w:tcPr>
                  <w:tcW w:w="999" w:type="pct"/>
                  <w:tcBorders>
                    <w:tl2br w:val="nil"/>
                    <w:tr2bl w:val="nil"/>
                  </w:tcBorders>
                  <w:vAlign w:val="center"/>
                </w:tcPr>
                <w:p w14:paraId="08883449">
                  <w:pPr>
                    <w:pStyle w:val="6"/>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53.9</w:t>
                  </w:r>
                </w:p>
              </w:tc>
              <w:tc>
                <w:tcPr>
                  <w:tcW w:w="1000" w:type="pct"/>
                  <w:tcBorders>
                    <w:tl2br w:val="nil"/>
                    <w:tr2bl w:val="nil"/>
                  </w:tcBorders>
                  <w:shd w:val="clear" w:color="auto" w:fill="auto"/>
                  <w:vAlign w:val="center"/>
                </w:tcPr>
                <w:p w14:paraId="559EB1A2">
                  <w:pPr>
                    <w:pStyle w:val="6"/>
                    <w:jc w:val="center"/>
                    <w:outlineLvl w:val="2"/>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cs="Times New Roman"/>
                      <w:b w:val="0"/>
                      <w:bCs w:val="0"/>
                      <w:color w:val="auto"/>
                      <w:sz w:val="21"/>
                      <w:szCs w:val="21"/>
                      <w:vertAlign w:val="baseline"/>
                      <w:lang w:val="en-US" w:eastAsia="zh-CN"/>
                    </w:rPr>
                    <w:t>53.9</w:t>
                  </w:r>
                </w:p>
              </w:tc>
              <w:tc>
                <w:tcPr>
                  <w:tcW w:w="1000" w:type="pct"/>
                  <w:tcBorders>
                    <w:tl2br w:val="nil"/>
                    <w:tr2bl w:val="nil"/>
                  </w:tcBorders>
                  <w:vAlign w:val="center"/>
                </w:tcPr>
                <w:p w14:paraId="06D325E0">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w:t>
                  </w:r>
                </w:p>
              </w:tc>
              <w:tc>
                <w:tcPr>
                  <w:tcW w:w="1001" w:type="pct"/>
                  <w:tcBorders>
                    <w:tl2br w:val="nil"/>
                    <w:tr2bl w:val="nil"/>
                  </w:tcBorders>
                  <w:vAlign w:val="center"/>
                </w:tcPr>
                <w:p w14:paraId="134F8528">
                  <w:pPr>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r>
            <w:tr w14:paraId="716881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79338A6E">
                  <w:pPr>
                    <w:spacing w:line="300"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西厂界</w:t>
                  </w:r>
                </w:p>
              </w:tc>
              <w:tc>
                <w:tcPr>
                  <w:tcW w:w="999" w:type="pct"/>
                  <w:tcBorders>
                    <w:tl2br w:val="nil"/>
                    <w:tr2bl w:val="nil"/>
                  </w:tcBorders>
                  <w:vAlign w:val="center"/>
                </w:tcPr>
                <w:p w14:paraId="15B975B9">
                  <w:pPr>
                    <w:pStyle w:val="6"/>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31.2</w:t>
                  </w:r>
                </w:p>
              </w:tc>
              <w:tc>
                <w:tcPr>
                  <w:tcW w:w="1000" w:type="pct"/>
                  <w:tcBorders>
                    <w:tl2br w:val="nil"/>
                    <w:tr2bl w:val="nil"/>
                  </w:tcBorders>
                  <w:shd w:val="clear" w:color="auto" w:fill="auto"/>
                  <w:vAlign w:val="center"/>
                </w:tcPr>
                <w:p w14:paraId="606F280D">
                  <w:pPr>
                    <w:pStyle w:val="6"/>
                    <w:jc w:val="center"/>
                    <w:outlineLvl w:val="2"/>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cs="Times New Roman"/>
                      <w:b w:val="0"/>
                      <w:bCs w:val="0"/>
                      <w:color w:val="auto"/>
                      <w:sz w:val="21"/>
                      <w:szCs w:val="21"/>
                      <w:vertAlign w:val="baseline"/>
                      <w:lang w:val="en-US" w:eastAsia="zh-CN"/>
                    </w:rPr>
                    <w:t>31.2</w:t>
                  </w:r>
                </w:p>
              </w:tc>
              <w:tc>
                <w:tcPr>
                  <w:tcW w:w="1000" w:type="pct"/>
                  <w:tcBorders>
                    <w:tl2br w:val="nil"/>
                    <w:tr2bl w:val="nil"/>
                  </w:tcBorders>
                  <w:vAlign w:val="center"/>
                </w:tcPr>
                <w:p w14:paraId="36B3EEEE">
                  <w:pPr>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65</w:t>
                  </w:r>
                </w:p>
              </w:tc>
              <w:tc>
                <w:tcPr>
                  <w:tcW w:w="1001" w:type="pct"/>
                  <w:tcBorders>
                    <w:tl2br w:val="nil"/>
                    <w:tr2bl w:val="nil"/>
                  </w:tcBorders>
                  <w:vAlign w:val="center"/>
                </w:tcPr>
                <w:p w14:paraId="5E543670">
                  <w:pPr>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r>
            <w:tr w14:paraId="0E6D5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9" w:type="pct"/>
                  <w:tcBorders>
                    <w:tl2br w:val="nil"/>
                    <w:tr2bl w:val="nil"/>
                  </w:tcBorders>
                  <w:vAlign w:val="center"/>
                </w:tcPr>
                <w:p w14:paraId="247A370C">
                  <w:pPr>
                    <w:spacing w:line="300" w:lineRule="exact"/>
                    <w:jc w:val="center"/>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Cs/>
                      <w:color w:val="auto"/>
                      <w:szCs w:val="21"/>
                    </w:rPr>
                    <w:t>北厂界</w:t>
                  </w:r>
                </w:p>
              </w:tc>
              <w:tc>
                <w:tcPr>
                  <w:tcW w:w="999" w:type="pct"/>
                  <w:tcBorders>
                    <w:tl2br w:val="nil"/>
                    <w:tr2bl w:val="nil"/>
                  </w:tcBorders>
                  <w:vAlign w:val="center"/>
                </w:tcPr>
                <w:p w14:paraId="70B2F867">
                  <w:pPr>
                    <w:pStyle w:val="6"/>
                    <w:jc w:val="center"/>
                    <w:outlineLvl w:val="2"/>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44.9</w:t>
                  </w:r>
                </w:p>
              </w:tc>
              <w:tc>
                <w:tcPr>
                  <w:tcW w:w="1000" w:type="pct"/>
                  <w:tcBorders>
                    <w:tl2br w:val="nil"/>
                    <w:tr2bl w:val="nil"/>
                  </w:tcBorders>
                  <w:shd w:val="clear" w:color="auto" w:fill="auto"/>
                  <w:vAlign w:val="center"/>
                </w:tcPr>
                <w:p w14:paraId="3E177841">
                  <w:pPr>
                    <w:pStyle w:val="6"/>
                    <w:jc w:val="center"/>
                    <w:outlineLvl w:val="2"/>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cs="Times New Roman"/>
                      <w:b w:val="0"/>
                      <w:bCs w:val="0"/>
                      <w:color w:val="auto"/>
                      <w:sz w:val="21"/>
                      <w:szCs w:val="21"/>
                      <w:vertAlign w:val="baseline"/>
                      <w:lang w:val="en-US" w:eastAsia="zh-CN"/>
                    </w:rPr>
                    <w:t>44.9</w:t>
                  </w:r>
                </w:p>
              </w:tc>
              <w:tc>
                <w:tcPr>
                  <w:tcW w:w="1000" w:type="pct"/>
                  <w:tcBorders>
                    <w:tl2br w:val="nil"/>
                    <w:tr2bl w:val="nil"/>
                  </w:tcBorders>
                  <w:vAlign w:val="center"/>
                </w:tcPr>
                <w:p w14:paraId="5D8021A0">
                  <w:pPr>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70</w:t>
                  </w:r>
                </w:p>
              </w:tc>
              <w:tc>
                <w:tcPr>
                  <w:tcW w:w="1001" w:type="pct"/>
                  <w:tcBorders>
                    <w:tl2br w:val="nil"/>
                    <w:tr2bl w:val="nil"/>
                  </w:tcBorders>
                  <w:vAlign w:val="center"/>
                </w:tcPr>
                <w:p w14:paraId="433A6A44">
                  <w:pPr>
                    <w:jc w:val="center"/>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55</w:t>
                  </w:r>
                </w:p>
              </w:tc>
            </w:tr>
          </w:tbl>
          <w:p w14:paraId="7C8F9FC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bCs/>
                <w:color w:val="auto"/>
                <w:sz w:val="24"/>
                <w:lang w:val="en-US" w:eastAsia="zh-CN"/>
              </w:rPr>
              <w:t>由上表可知，本项目经过减振、隔音等降噪措施后，东、南、西厂界噪声贡献值均符合《工业企业环境噪声排放标准》（GB12348-20083）3类标准</w:t>
            </w:r>
            <w:r>
              <w:rPr>
                <w:rFonts w:hint="eastAsia" w:ascii="Times New Roman" w:hAnsi="Times New Roman" w:eastAsia="宋体" w:cs="Times New Roman"/>
                <w:bCs/>
                <w:color w:val="auto"/>
                <w:sz w:val="24"/>
                <w:lang w:val="en-US" w:eastAsia="zh-CN"/>
              </w:rPr>
              <w:t>，北</w:t>
            </w:r>
            <w:r>
              <w:rPr>
                <w:rFonts w:hint="default" w:ascii="Times New Roman" w:hAnsi="Times New Roman" w:eastAsia="宋体" w:cs="Times New Roman"/>
                <w:bCs/>
                <w:color w:val="auto"/>
                <w:sz w:val="24"/>
                <w:lang w:val="en-US" w:eastAsia="zh-CN"/>
              </w:rPr>
              <w:t>厂界噪声贡献值符合《工业企业环境噪声排放标准》（GB12348-20083）</w:t>
            </w:r>
            <w:r>
              <w:rPr>
                <w:rFonts w:hint="eastAsia" w:ascii="Times New Roman" w:hAnsi="Times New Roman" w:eastAsia="宋体" w:cs="Times New Roman"/>
                <w:bCs/>
                <w:color w:val="auto"/>
                <w:sz w:val="24"/>
                <w:lang w:val="en-US" w:eastAsia="zh-CN"/>
              </w:rPr>
              <w:t>4</w:t>
            </w:r>
            <w:r>
              <w:rPr>
                <w:rFonts w:hint="default" w:ascii="Times New Roman" w:hAnsi="Times New Roman" w:eastAsia="宋体" w:cs="Times New Roman"/>
                <w:bCs/>
                <w:color w:val="auto"/>
                <w:sz w:val="24"/>
                <w:lang w:val="en-US" w:eastAsia="zh-CN"/>
              </w:rPr>
              <w:t>类标准。</w:t>
            </w:r>
          </w:p>
          <w:p w14:paraId="26484F45">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4、监测要求</w:t>
            </w:r>
          </w:p>
          <w:p w14:paraId="46B9796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监测点位：厂界四周布置4个点位。</w:t>
            </w:r>
          </w:p>
          <w:p w14:paraId="7FF6054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监测时段：昼间</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夜间</w:t>
            </w:r>
            <w:r>
              <w:rPr>
                <w:rFonts w:hint="default" w:ascii="Times New Roman" w:hAnsi="Times New Roman" w:eastAsia="宋体" w:cs="Times New Roman"/>
                <w:color w:val="auto"/>
                <w:sz w:val="24"/>
              </w:rPr>
              <w:t>。</w:t>
            </w:r>
          </w:p>
          <w:p w14:paraId="4272072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监测频次：按《排污单位自行监测技术指南 总则》（HJ819-2017）要求，每季度监测一次。</w:t>
            </w:r>
          </w:p>
          <w:p w14:paraId="4AFF017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监测因子：厂界噪声昼间等效连续A声级Leq</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p>
          <w:p w14:paraId="1AEFC48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噪声监测位置、监测因子、频率等详见下表。</w:t>
            </w:r>
          </w:p>
          <w:p w14:paraId="2186F985">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20</w:t>
            </w:r>
            <w:r>
              <w:rPr>
                <w:rFonts w:hint="default" w:ascii="Times New Roman" w:hAnsi="Times New Roman" w:eastAsia="宋体" w:cs="Times New Roman"/>
                <w:b/>
                <w:color w:val="auto"/>
                <w:sz w:val="24"/>
              </w:rPr>
              <w:t xml:space="preserve">  运营期噪声监测计划表</w:t>
            </w:r>
          </w:p>
          <w:tbl>
            <w:tblPr>
              <w:tblStyle w:val="27"/>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18"/>
              <w:gridCol w:w="1089"/>
              <w:gridCol w:w="1634"/>
              <w:gridCol w:w="1226"/>
              <w:gridCol w:w="2586"/>
              <w:gridCol w:w="1195"/>
            </w:tblGrid>
            <w:tr w14:paraId="42ADFC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70" w:type="pct"/>
                  <w:tcBorders>
                    <w:tl2br w:val="nil"/>
                    <w:tr2bl w:val="nil"/>
                  </w:tcBorders>
                  <w:vAlign w:val="center"/>
                </w:tcPr>
                <w:p w14:paraId="44C9642E">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652" w:type="pct"/>
                  <w:tcBorders>
                    <w:tl2br w:val="nil"/>
                    <w:tr2bl w:val="nil"/>
                  </w:tcBorders>
                  <w:vAlign w:val="center"/>
                </w:tcPr>
                <w:p w14:paraId="5232BAF2">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监测位置</w:t>
                  </w:r>
                </w:p>
              </w:tc>
              <w:tc>
                <w:tcPr>
                  <w:tcW w:w="978" w:type="pct"/>
                  <w:tcBorders>
                    <w:tl2br w:val="nil"/>
                    <w:tr2bl w:val="nil"/>
                  </w:tcBorders>
                  <w:vAlign w:val="center"/>
                </w:tcPr>
                <w:p w14:paraId="30151CC9">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监测指标</w:t>
                  </w:r>
                </w:p>
              </w:tc>
              <w:tc>
                <w:tcPr>
                  <w:tcW w:w="734" w:type="pct"/>
                  <w:tcBorders>
                    <w:tl2br w:val="nil"/>
                    <w:tr2bl w:val="nil"/>
                  </w:tcBorders>
                  <w:vAlign w:val="center"/>
                </w:tcPr>
                <w:p w14:paraId="5D106D62">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监测频率</w:t>
                  </w:r>
                </w:p>
              </w:tc>
              <w:tc>
                <w:tcPr>
                  <w:tcW w:w="1548" w:type="pct"/>
                  <w:tcBorders>
                    <w:tl2br w:val="nil"/>
                    <w:tr2bl w:val="nil"/>
                  </w:tcBorders>
                  <w:vAlign w:val="center"/>
                </w:tcPr>
                <w:p w14:paraId="1DD44401">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排放标准</w:t>
                  </w:r>
                </w:p>
              </w:tc>
              <w:tc>
                <w:tcPr>
                  <w:tcW w:w="715" w:type="pct"/>
                  <w:tcBorders>
                    <w:tl2br w:val="nil"/>
                    <w:tr2bl w:val="nil"/>
                  </w:tcBorders>
                  <w:vAlign w:val="center"/>
                </w:tcPr>
                <w:p w14:paraId="153992A4">
                  <w:pPr>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监测单位</w:t>
                  </w:r>
                </w:p>
              </w:tc>
            </w:tr>
            <w:tr w14:paraId="33BD075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370" w:type="pct"/>
                  <w:tcBorders>
                    <w:tl2br w:val="nil"/>
                    <w:tr2bl w:val="nil"/>
                  </w:tcBorders>
                  <w:vAlign w:val="center"/>
                </w:tcPr>
                <w:p w14:paraId="6238C376">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652" w:type="pct"/>
                  <w:tcBorders>
                    <w:tl2br w:val="nil"/>
                    <w:tr2bl w:val="nil"/>
                  </w:tcBorders>
                  <w:vAlign w:val="center"/>
                </w:tcPr>
                <w:p w14:paraId="76BC23BC">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978" w:type="pct"/>
                  <w:tcBorders>
                    <w:tl2br w:val="nil"/>
                    <w:tr2bl w:val="nil"/>
                  </w:tcBorders>
                  <w:vAlign w:val="center"/>
                </w:tcPr>
                <w:p w14:paraId="0585D03F">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等效连续A声级</w:t>
                  </w:r>
                </w:p>
              </w:tc>
              <w:tc>
                <w:tcPr>
                  <w:tcW w:w="734" w:type="pct"/>
                  <w:tcBorders>
                    <w:tl2br w:val="nil"/>
                    <w:tr2bl w:val="nil"/>
                  </w:tcBorders>
                  <w:vAlign w:val="center"/>
                </w:tcPr>
                <w:p w14:paraId="62F46B43">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每季度一次</w:t>
                  </w:r>
                </w:p>
              </w:tc>
              <w:tc>
                <w:tcPr>
                  <w:tcW w:w="1548" w:type="pct"/>
                  <w:tcBorders>
                    <w:tl2br w:val="nil"/>
                    <w:tr2bl w:val="nil"/>
                  </w:tcBorders>
                  <w:vAlign w:val="center"/>
                </w:tcPr>
                <w:p w14:paraId="4236D874">
                  <w:pPr>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东、南、西厂界：昼间6</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dB(A)；夜间5</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dB(A)</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北厂界：昼间</w:t>
                  </w:r>
                  <w:r>
                    <w:rPr>
                      <w:rFonts w:hint="eastAsia" w:ascii="Times New Roman" w:hAnsi="Times New Roman" w:eastAsia="宋体" w:cs="Times New Roman"/>
                      <w:color w:val="auto"/>
                      <w:sz w:val="21"/>
                      <w:szCs w:val="21"/>
                      <w:lang w:val="en-US" w:eastAsia="zh-CN"/>
                    </w:rPr>
                    <w:t>70</w:t>
                  </w:r>
                  <w:r>
                    <w:rPr>
                      <w:rFonts w:hint="default" w:ascii="Times New Roman" w:hAnsi="Times New Roman" w:eastAsia="宋体" w:cs="Times New Roman"/>
                      <w:color w:val="auto"/>
                      <w:sz w:val="21"/>
                      <w:szCs w:val="21"/>
                    </w:rPr>
                    <w:t>dB(A)；夜间5</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dB(A)</w:t>
                  </w:r>
                </w:p>
              </w:tc>
              <w:tc>
                <w:tcPr>
                  <w:tcW w:w="715" w:type="pct"/>
                  <w:tcBorders>
                    <w:tl2br w:val="nil"/>
                    <w:tr2bl w:val="nil"/>
                  </w:tcBorders>
                  <w:vAlign w:val="center"/>
                </w:tcPr>
                <w:p w14:paraId="67BDCC8B">
                  <w:pPr>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有资质的环境监测机构</w:t>
                  </w:r>
                </w:p>
              </w:tc>
            </w:tr>
          </w:tbl>
          <w:p w14:paraId="448E80FB">
            <w:pPr>
              <w:spacing w:before="156" w:beforeLines="50"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四、固体废弃物</w:t>
            </w:r>
          </w:p>
          <w:p w14:paraId="1D93E610">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1、固体废物源强分析</w:t>
            </w:r>
          </w:p>
          <w:p w14:paraId="3961968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根据《固体废物鉴别标准 通则》（GB34330-2017），固体废物指是指在生产、生活和其他活动中产生的丧失原有利用价值或者虽未丧失利用价值但被抛弃或者放弃的固态、半固态和置于容器中的气态的物品、物质，以及法律、行政法规规定纳入固体废物管理的物品、物质。本项目营运期间固体废物产生情况如下：</w:t>
            </w:r>
          </w:p>
          <w:p w14:paraId="144F8EFC">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1</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生活垃圾</w:t>
            </w:r>
          </w:p>
          <w:p w14:paraId="7CEECC43">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本项目有员工</w:t>
            </w:r>
            <w:r>
              <w:rPr>
                <w:rFonts w:hint="default" w:ascii="Times New Roman" w:hAnsi="Times New Roman" w:eastAsia="宋体" w:cs="Times New Roman"/>
                <w:b w:val="0"/>
                <w:bCs/>
                <w:color w:val="auto"/>
                <w:sz w:val="24"/>
                <w:lang w:val="en-US" w:eastAsia="zh-CN"/>
              </w:rPr>
              <w:t>2</w:t>
            </w:r>
            <w:r>
              <w:rPr>
                <w:rFonts w:hint="default" w:ascii="Times New Roman" w:hAnsi="Times New Roman" w:eastAsia="宋体" w:cs="Times New Roman"/>
                <w:b w:val="0"/>
                <w:bCs/>
                <w:color w:val="auto"/>
                <w:sz w:val="24"/>
              </w:rPr>
              <w:t>0人，每人每天垃圾产生量按0.5kg计，生活垃圾产生量约为1</w:t>
            </w:r>
            <w:r>
              <w:rPr>
                <w:rFonts w:hint="default" w:ascii="Times New Roman" w:hAnsi="Times New Roman" w:eastAsia="宋体" w:cs="Times New Roman"/>
                <w:b w:val="0"/>
                <w:bCs/>
                <w:color w:val="auto"/>
                <w:sz w:val="24"/>
                <w:lang w:val="en-US" w:eastAsia="zh-CN"/>
              </w:rPr>
              <w:t>0</w:t>
            </w:r>
            <w:r>
              <w:rPr>
                <w:rFonts w:hint="default" w:ascii="Times New Roman" w:hAnsi="Times New Roman" w:eastAsia="宋体" w:cs="Times New Roman"/>
                <w:b w:val="0"/>
                <w:bCs/>
                <w:color w:val="auto"/>
                <w:sz w:val="24"/>
              </w:rPr>
              <w:t>kg/d，则项目年生活垃圾产生量约为</w:t>
            </w:r>
            <w:r>
              <w:rPr>
                <w:rFonts w:hint="default" w:ascii="Times New Roman" w:hAnsi="Times New Roman" w:eastAsia="宋体" w:cs="Times New Roman"/>
                <w:b w:val="0"/>
                <w:bCs/>
                <w:color w:val="auto"/>
                <w:sz w:val="24"/>
                <w:lang w:val="en-US" w:eastAsia="zh-CN"/>
              </w:rPr>
              <w:t>3.0t/</w:t>
            </w:r>
            <w:r>
              <w:rPr>
                <w:rFonts w:hint="default" w:ascii="Times New Roman" w:hAnsi="Times New Roman" w:eastAsia="宋体" w:cs="Times New Roman"/>
                <w:b w:val="0"/>
                <w:bCs/>
                <w:color w:val="auto"/>
                <w:sz w:val="24"/>
              </w:rPr>
              <w:t>a。采取集中收集后由环卫部门统一外运处理。</w:t>
            </w:r>
          </w:p>
          <w:p w14:paraId="06300617">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2</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一般生产固废</w:t>
            </w:r>
          </w:p>
          <w:p w14:paraId="75933210">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项目生产过程中会产生</w:t>
            </w:r>
            <w:r>
              <w:rPr>
                <w:rFonts w:hint="eastAsia" w:ascii="Times New Roman" w:hAnsi="Times New Roman" w:eastAsia="宋体" w:cs="Times New Roman"/>
                <w:b w:val="0"/>
                <w:bCs/>
                <w:color w:val="auto"/>
                <w:sz w:val="24"/>
                <w:lang w:val="en-US" w:eastAsia="zh-CN"/>
              </w:rPr>
              <w:t>废金刚砂、废布袋和布袋收尘</w:t>
            </w:r>
            <w:r>
              <w:rPr>
                <w:rFonts w:hint="default" w:ascii="Times New Roman" w:hAnsi="Times New Roman" w:eastAsia="宋体" w:cs="Times New Roman"/>
                <w:b w:val="0"/>
                <w:bCs/>
                <w:color w:val="auto"/>
                <w:sz w:val="24"/>
              </w:rPr>
              <w:t>。</w:t>
            </w:r>
          </w:p>
          <w:p w14:paraId="743D54B6">
            <w:pPr>
              <w:spacing w:line="360" w:lineRule="auto"/>
              <w:ind w:firstLine="480" w:firstLineChars="200"/>
              <w:rPr>
                <w:rFonts w:hint="default" w:ascii="Times New Roman" w:hAnsi="Times New Roman" w:eastAsia="宋体" w:cs="Times New Roman"/>
                <w:b w:val="0"/>
                <w:bCs/>
                <w:color w:val="auto"/>
                <w:sz w:val="24"/>
              </w:rPr>
            </w:pPr>
            <w:r>
              <w:rPr>
                <w:rFonts w:hint="eastAsia" w:ascii="Times New Roman" w:hAnsi="Times New Roman" w:eastAsia="宋体" w:cs="Times New Roman"/>
                <w:b w:val="0"/>
                <w:bCs/>
                <w:color w:val="auto"/>
                <w:sz w:val="24"/>
                <w:lang w:val="en-US" w:eastAsia="zh-CN"/>
              </w:rPr>
              <w:t>废金刚砂</w:t>
            </w:r>
            <w:r>
              <w:rPr>
                <w:rFonts w:hint="default" w:ascii="Times New Roman" w:hAnsi="Times New Roman" w:eastAsia="宋体" w:cs="Times New Roman"/>
                <w:b w:val="0"/>
                <w:bCs/>
                <w:color w:val="auto"/>
                <w:sz w:val="24"/>
                <w:lang w:eastAsia="zh-CN"/>
              </w:rPr>
              <w:t>：</w:t>
            </w:r>
            <w:r>
              <w:rPr>
                <w:rFonts w:hint="eastAsia" w:ascii="Times New Roman" w:hAnsi="Times New Roman" w:eastAsia="宋体" w:cs="Times New Roman"/>
                <w:b w:val="0"/>
                <w:bCs/>
                <w:color w:val="auto"/>
                <w:sz w:val="24"/>
                <w:lang w:val="en-US" w:eastAsia="zh-CN"/>
              </w:rPr>
              <w:t>喷砂工序产生废金刚砂</w:t>
            </w:r>
            <w:r>
              <w:rPr>
                <w:rFonts w:hint="default" w:ascii="Times New Roman" w:hAnsi="Times New Roman" w:eastAsia="宋体" w:cs="Times New Roman"/>
                <w:b w:val="0"/>
                <w:bCs/>
                <w:color w:val="auto"/>
                <w:sz w:val="24"/>
              </w:rPr>
              <w:t>，属于一般固体废物，产生量约为0.3t</w:t>
            </w:r>
            <w:r>
              <w:rPr>
                <w:rFonts w:hint="default"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rPr>
              <w:t>a</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lang w:val="en-US" w:eastAsia="zh-CN"/>
              </w:rPr>
              <w:t>外售综合利用</w:t>
            </w:r>
            <w:r>
              <w:rPr>
                <w:rFonts w:hint="default" w:ascii="Times New Roman" w:hAnsi="Times New Roman" w:eastAsia="宋体" w:cs="Times New Roman"/>
                <w:b w:val="0"/>
                <w:bCs/>
                <w:color w:val="auto"/>
                <w:sz w:val="24"/>
              </w:rPr>
              <w:t>。</w:t>
            </w:r>
          </w:p>
          <w:p w14:paraId="4B85C430">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废布袋：本项目喷砂废气处理采用布袋除尘，布袋定期更换产生废布袋，产生量约为0.05t/a，</w:t>
            </w:r>
            <w:r>
              <w:rPr>
                <w:rFonts w:hint="default" w:ascii="Times New Roman" w:hAnsi="Times New Roman" w:eastAsia="宋体" w:cs="Times New Roman"/>
                <w:b w:val="0"/>
                <w:bCs/>
                <w:color w:val="auto"/>
                <w:sz w:val="24"/>
                <w:lang w:val="en-US" w:eastAsia="zh-CN"/>
              </w:rPr>
              <w:t>外售综合利用</w:t>
            </w:r>
            <w:r>
              <w:rPr>
                <w:rFonts w:hint="eastAsia" w:ascii="Times New Roman" w:hAnsi="Times New Roman" w:eastAsia="宋体" w:cs="Times New Roman"/>
                <w:b w:val="0"/>
                <w:bCs/>
                <w:color w:val="auto"/>
                <w:sz w:val="24"/>
                <w:lang w:val="en-US" w:eastAsia="zh-CN"/>
              </w:rPr>
              <w:t>。</w:t>
            </w:r>
          </w:p>
          <w:p w14:paraId="6A3BFDE9">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布袋收尘：本项目喷砂废气处理过程产生布袋收尘，根据工程核算，布袋收尘产生量为0.1t/a，</w:t>
            </w:r>
            <w:r>
              <w:rPr>
                <w:rFonts w:hint="default" w:ascii="Times New Roman" w:hAnsi="Times New Roman" w:eastAsia="宋体" w:cs="Times New Roman"/>
                <w:b w:val="0"/>
                <w:bCs/>
                <w:color w:val="auto"/>
                <w:sz w:val="24"/>
                <w:lang w:val="en-US" w:eastAsia="zh-CN"/>
              </w:rPr>
              <w:t>外售综合利用</w:t>
            </w:r>
            <w:r>
              <w:rPr>
                <w:rFonts w:hint="eastAsia" w:ascii="Times New Roman" w:hAnsi="Times New Roman" w:eastAsia="宋体" w:cs="Times New Roman"/>
                <w:b w:val="0"/>
                <w:bCs/>
                <w:color w:val="auto"/>
                <w:sz w:val="24"/>
                <w:lang w:val="en-US" w:eastAsia="zh-CN"/>
              </w:rPr>
              <w:t>。</w:t>
            </w:r>
          </w:p>
          <w:p w14:paraId="446564C8">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3</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危险废物</w:t>
            </w:r>
          </w:p>
          <w:p w14:paraId="26DD47FA">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项目生产过程中会产生一定量的</w:t>
            </w:r>
            <w:r>
              <w:rPr>
                <w:rFonts w:hint="eastAsia" w:ascii="Times New Roman" w:hAnsi="Times New Roman" w:eastAsia="宋体" w:cs="Times New Roman"/>
                <w:b w:val="0"/>
                <w:bCs/>
                <w:color w:val="auto"/>
                <w:sz w:val="24"/>
                <w:lang w:val="en-US" w:eastAsia="zh-CN"/>
              </w:rPr>
              <w:t>废清洗剂桶、废淬火油桶、废淬火油、废防锈油桶、废防锈油、废活性炭、污水处理污泥和浓液等</w:t>
            </w:r>
            <w:r>
              <w:rPr>
                <w:rFonts w:hint="default" w:ascii="Times New Roman" w:hAnsi="Times New Roman" w:eastAsia="宋体" w:cs="Times New Roman"/>
                <w:b w:val="0"/>
                <w:bCs/>
                <w:color w:val="auto"/>
                <w:sz w:val="24"/>
              </w:rPr>
              <w:t>，属于危险废物</w:t>
            </w:r>
            <w:r>
              <w:rPr>
                <w:rFonts w:hint="eastAsia"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统一收集后交由有资质的单位回收处理。</w:t>
            </w:r>
          </w:p>
          <w:p w14:paraId="1139980F">
            <w:pPr>
              <w:spacing w:line="360" w:lineRule="auto"/>
              <w:ind w:firstLine="480" w:firstLineChars="200"/>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rPr>
              <w:t>A、</w:t>
            </w:r>
            <w:r>
              <w:rPr>
                <w:rFonts w:hint="eastAsia" w:ascii="Times New Roman" w:hAnsi="Times New Roman" w:eastAsia="宋体" w:cs="Times New Roman"/>
                <w:b w:val="0"/>
                <w:bCs/>
                <w:color w:val="auto"/>
                <w:sz w:val="24"/>
                <w:lang w:val="en-US" w:eastAsia="zh-CN"/>
              </w:rPr>
              <w:t>废清洗剂桶</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HW49</w:t>
            </w:r>
            <w:r>
              <w:rPr>
                <w:rFonts w:hint="default" w:ascii="Times New Roman" w:hAnsi="Times New Roman" w:eastAsia="宋体" w:cs="Times New Roman"/>
                <w:b w:val="0"/>
                <w:bCs/>
                <w:color w:val="auto"/>
                <w:sz w:val="24"/>
                <w:lang w:eastAsia="zh-CN"/>
              </w:rPr>
              <w:t>）</w:t>
            </w:r>
          </w:p>
          <w:p w14:paraId="128E5517">
            <w:pPr>
              <w:spacing w:line="360" w:lineRule="auto"/>
              <w:ind w:firstLine="480" w:firstLineChars="200"/>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rPr>
              <w:t>项目生产过程中会产生</w:t>
            </w:r>
            <w:r>
              <w:rPr>
                <w:rFonts w:hint="eastAsia" w:ascii="Times New Roman" w:hAnsi="Times New Roman" w:eastAsia="宋体" w:cs="Times New Roman"/>
                <w:b w:val="0"/>
                <w:bCs/>
                <w:color w:val="auto"/>
                <w:sz w:val="24"/>
                <w:lang w:val="en-US" w:eastAsia="zh-CN"/>
              </w:rPr>
              <w:t>废清洗剂桶</w:t>
            </w:r>
            <w:r>
              <w:rPr>
                <w:rFonts w:hint="default" w:ascii="Times New Roman" w:hAnsi="Times New Roman" w:eastAsia="宋体" w:cs="Times New Roman"/>
                <w:b w:val="0"/>
                <w:bCs/>
                <w:color w:val="auto"/>
                <w:sz w:val="24"/>
              </w:rPr>
              <w:t>，主要为盛装</w:t>
            </w:r>
            <w:r>
              <w:rPr>
                <w:rFonts w:hint="eastAsia" w:ascii="Times New Roman" w:hAnsi="Times New Roman" w:eastAsia="宋体" w:cs="Times New Roman"/>
                <w:b w:val="0"/>
                <w:bCs/>
                <w:color w:val="auto"/>
                <w:sz w:val="24"/>
                <w:lang w:val="en-US" w:eastAsia="zh-CN"/>
              </w:rPr>
              <w:t>清洗剂</w:t>
            </w:r>
            <w:r>
              <w:rPr>
                <w:rFonts w:hint="default" w:ascii="Times New Roman" w:hAnsi="Times New Roman" w:eastAsia="宋体" w:cs="Times New Roman"/>
                <w:b w:val="0"/>
                <w:bCs/>
                <w:color w:val="auto"/>
                <w:sz w:val="24"/>
              </w:rPr>
              <w:t>等产生的废桶，根据建设单位提供的资料，项目</w:t>
            </w:r>
            <w:r>
              <w:rPr>
                <w:rFonts w:hint="eastAsia" w:ascii="Times New Roman" w:hAnsi="Times New Roman" w:eastAsia="宋体" w:cs="Times New Roman"/>
                <w:b w:val="0"/>
                <w:bCs/>
                <w:color w:val="auto"/>
                <w:sz w:val="24"/>
                <w:lang w:val="en-US" w:eastAsia="zh-CN"/>
              </w:rPr>
              <w:t>废清洗剂桶</w:t>
            </w:r>
            <w:r>
              <w:rPr>
                <w:rFonts w:hint="default" w:ascii="Times New Roman" w:hAnsi="Times New Roman" w:eastAsia="宋体" w:cs="Times New Roman"/>
                <w:b w:val="0"/>
                <w:bCs/>
                <w:color w:val="auto"/>
                <w:sz w:val="24"/>
              </w:rPr>
              <w:t>的产生量</w:t>
            </w:r>
            <w:r>
              <w:rPr>
                <w:rFonts w:hint="default" w:ascii="Times New Roman" w:hAnsi="Times New Roman" w:eastAsia="宋体" w:cs="Times New Roman"/>
                <w:b w:val="0"/>
                <w:bCs/>
                <w:color w:val="auto"/>
                <w:sz w:val="24"/>
                <w:lang w:val="en-US" w:eastAsia="zh-CN"/>
              </w:rPr>
              <w:t>约</w:t>
            </w:r>
            <w:r>
              <w:rPr>
                <w:rFonts w:hint="default" w:ascii="Times New Roman" w:hAnsi="Times New Roman" w:eastAsia="宋体" w:cs="Times New Roman"/>
                <w:b w:val="0"/>
                <w:bCs/>
                <w:color w:val="auto"/>
                <w:sz w:val="24"/>
              </w:rPr>
              <w:t>为</w:t>
            </w:r>
            <w:r>
              <w:rPr>
                <w:rFonts w:hint="eastAsia" w:ascii="Times New Roman" w:hAnsi="Times New Roman" w:eastAsia="宋体" w:cs="Times New Roman"/>
                <w:b w:val="0"/>
                <w:bCs/>
                <w:color w:val="auto"/>
                <w:sz w:val="24"/>
                <w:lang w:val="en-US" w:eastAsia="zh-CN"/>
              </w:rPr>
              <w:t>0.05</w:t>
            </w:r>
            <w:r>
              <w:rPr>
                <w:rFonts w:hint="default" w:ascii="Times New Roman" w:hAnsi="Times New Roman" w:eastAsia="宋体" w:cs="Times New Roman"/>
                <w:b w:val="0"/>
                <w:bCs/>
                <w:color w:val="auto"/>
                <w:sz w:val="24"/>
              </w:rPr>
              <w:t>t</w:t>
            </w:r>
            <w:r>
              <w:rPr>
                <w:rFonts w:hint="default"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rPr>
              <w:t>a，属于HW49 类危险废物</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危废代码</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900-041-49</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，委托有危险废物处理资质的单位进行处理处置</w:t>
            </w:r>
            <w:r>
              <w:rPr>
                <w:rFonts w:hint="default" w:ascii="Times New Roman" w:hAnsi="Times New Roman" w:eastAsia="宋体" w:cs="Times New Roman"/>
                <w:b w:val="0"/>
                <w:bCs/>
                <w:color w:val="auto"/>
                <w:sz w:val="24"/>
                <w:lang w:eastAsia="zh-CN"/>
              </w:rPr>
              <w:t>。</w:t>
            </w:r>
          </w:p>
          <w:p w14:paraId="34DD5699">
            <w:pPr>
              <w:spacing w:line="360" w:lineRule="auto"/>
              <w:ind w:firstLine="480" w:firstLineChars="200"/>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rPr>
              <w:t>B、废</w:t>
            </w:r>
            <w:r>
              <w:rPr>
                <w:rFonts w:hint="eastAsia" w:ascii="Times New Roman" w:hAnsi="Times New Roman" w:eastAsia="宋体" w:cs="Times New Roman"/>
                <w:b w:val="0"/>
                <w:bCs/>
                <w:color w:val="auto"/>
                <w:sz w:val="24"/>
                <w:lang w:val="en-US" w:eastAsia="zh-CN"/>
              </w:rPr>
              <w:t>淬火油</w:t>
            </w:r>
            <w:r>
              <w:rPr>
                <w:rFonts w:hint="default" w:ascii="Times New Roman" w:hAnsi="Times New Roman" w:eastAsia="宋体" w:cs="Times New Roman"/>
                <w:b w:val="0"/>
                <w:bCs/>
                <w:color w:val="auto"/>
                <w:sz w:val="24"/>
              </w:rPr>
              <w:t>桶</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HW</w:t>
            </w:r>
            <w:r>
              <w:rPr>
                <w:rFonts w:hint="eastAsia" w:ascii="Times New Roman" w:hAnsi="Times New Roman" w:eastAsia="宋体" w:cs="Times New Roman"/>
                <w:b w:val="0"/>
                <w:bCs/>
                <w:color w:val="auto"/>
                <w:sz w:val="24"/>
                <w:lang w:val="en-US" w:eastAsia="zh-CN"/>
              </w:rPr>
              <w:t>08</w:t>
            </w:r>
            <w:r>
              <w:rPr>
                <w:rFonts w:hint="default" w:ascii="Times New Roman" w:hAnsi="Times New Roman" w:eastAsia="宋体" w:cs="Times New Roman"/>
                <w:b w:val="0"/>
                <w:bCs/>
                <w:color w:val="auto"/>
                <w:sz w:val="24"/>
                <w:lang w:eastAsia="zh-CN"/>
              </w:rPr>
              <w:t>）</w:t>
            </w:r>
          </w:p>
          <w:p w14:paraId="2C43FCAC">
            <w:pPr>
              <w:spacing w:line="360" w:lineRule="auto"/>
              <w:ind w:firstLine="480" w:firstLineChars="200"/>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rPr>
              <w:t>项目生产过程中会产生废</w:t>
            </w:r>
            <w:r>
              <w:rPr>
                <w:rFonts w:hint="eastAsia" w:ascii="Times New Roman" w:hAnsi="Times New Roman" w:eastAsia="宋体" w:cs="Times New Roman"/>
                <w:b w:val="0"/>
                <w:bCs/>
                <w:color w:val="auto"/>
                <w:sz w:val="24"/>
                <w:lang w:val="en-US" w:eastAsia="zh-CN"/>
              </w:rPr>
              <w:t>淬火油</w:t>
            </w:r>
            <w:r>
              <w:rPr>
                <w:rFonts w:hint="default" w:ascii="Times New Roman" w:hAnsi="Times New Roman" w:eastAsia="宋体" w:cs="Times New Roman"/>
                <w:b w:val="0"/>
                <w:bCs/>
                <w:color w:val="auto"/>
                <w:sz w:val="24"/>
              </w:rPr>
              <w:t>桶，主要为盛装</w:t>
            </w:r>
            <w:r>
              <w:rPr>
                <w:rFonts w:hint="eastAsia" w:ascii="Times New Roman" w:hAnsi="Times New Roman" w:eastAsia="宋体" w:cs="Times New Roman"/>
                <w:b w:val="0"/>
                <w:bCs/>
                <w:color w:val="auto"/>
                <w:sz w:val="24"/>
                <w:lang w:val="en-US" w:eastAsia="zh-CN"/>
              </w:rPr>
              <w:t>淬火油</w:t>
            </w:r>
            <w:r>
              <w:rPr>
                <w:rFonts w:hint="default" w:ascii="Times New Roman" w:hAnsi="Times New Roman" w:eastAsia="宋体" w:cs="Times New Roman"/>
                <w:b w:val="0"/>
                <w:bCs/>
                <w:color w:val="auto"/>
                <w:sz w:val="24"/>
              </w:rPr>
              <w:t>等产生的废桶，根据建设单位提供的资料，项目废</w:t>
            </w:r>
            <w:r>
              <w:rPr>
                <w:rFonts w:hint="eastAsia" w:ascii="Times New Roman" w:hAnsi="Times New Roman" w:eastAsia="宋体" w:cs="Times New Roman"/>
                <w:b w:val="0"/>
                <w:bCs/>
                <w:color w:val="auto"/>
                <w:sz w:val="24"/>
                <w:lang w:val="en-US" w:eastAsia="zh-CN"/>
              </w:rPr>
              <w:t>淬火油</w:t>
            </w:r>
            <w:r>
              <w:rPr>
                <w:rFonts w:hint="default" w:ascii="Times New Roman" w:hAnsi="Times New Roman" w:eastAsia="宋体" w:cs="Times New Roman"/>
                <w:b w:val="0"/>
                <w:bCs/>
                <w:color w:val="auto"/>
                <w:sz w:val="24"/>
              </w:rPr>
              <w:t>桶的产生量</w:t>
            </w:r>
            <w:r>
              <w:rPr>
                <w:rFonts w:hint="default" w:ascii="Times New Roman" w:hAnsi="Times New Roman" w:eastAsia="宋体" w:cs="Times New Roman"/>
                <w:b w:val="0"/>
                <w:bCs/>
                <w:color w:val="auto"/>
                <w:sz w:val="24"/>
                <w:lang w:val="en-US" w:eastAsia="zh-CN"/>
              </w:rPr>
              <w:t>约</w:t>
            </w:r>
            <w:r>
              <w:rPr>
                <w:rFonts w:hint="default" w:ascii="Times New Roman" w:hAnsi="Times New Roman" w:eastAsia="宋体" w:cs="Times New Roman"/>
                <w:b w:val="0"/>
                <w:bCs/>
                <w:color w:val="auto"/>
                <w:sz w:val="24"/>
              </w:rPr>
              <w:t>为</w:t>
            </w:r>
            <w:r>
              <w:rPr>
                <w:rFonts w:hint="eastAsia" w:ascii="Times New Roman" w:hAnsi="Times New Roman" w:eastAsia="宋体" w:cs="Times New Roman"/>
                <w:b w:val="0"/>
                <w:bCs/>
                <w:color w:val="auto"/>
                <w:sz w:val="24"/>
                <w:lang w:val="en-US" w:eastAsia="zh-CN"/>
              </w:rPr>
              <w:t>0.2</w:t>
            </w:r>
            <w:r>
              <w:rPr>
                <w:rFonts w:hint="default" w:ascii="Times New Roman" w:hAnsi="Times New Roman" w:eastAsia="宋体" w:cs="Times New Roman"/>
                <w:b w:val="0"/>
                <w:bCs/>
                <w:color w:val="auto"/>
                <w:sz w:val="24"/>
              </w:rPr>
              <w:t>t</w:t>
            </w:r>
            <w:r>
              <w:rPr>
                <w:rFonts w:hint="default"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rPr>
              <w:t>a，属于HW</w:t>
            </w:r>
            <w:r>
              <w:rPr>
                <w:rFonts w:hint="eastAsia" w:ascii="Times New Roman" w:hAnsi="Times New Roman" w:eastAsia="宋体" w:cs="Times New Roman"/>
                <w:b w:val="0"/>
                <w:bCs/>
                <w:color w:val="auto"/>
                <w:sz w:val="24"/>
                <w:lang w:val="en-US" w:eastAsia="zh-CN"/>
              </w:rPr>
              <w:t>08</w:t>
            </w:r>
            <w:r>
              <w:rPr>
                <w:rFonts w:hint="default" w:ascii="Times New Roman" w:hAnsi="Times New Roman" w:eastAsia="宋体" w:cs="Times New Roman"/>
                <w:b w:val="0"/>
                <w:bCs/>
                <w:color w:val="auto"/>
                <w:sz w:val="24"/>
              </w:rPr>
              <w:t xml:space="preserve"> 类危险废物</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危废代码</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lang w:val="en-US" w:eastAsia="zh-CN"/>
              </w:rPr>
              <w:t>900-249-08</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，委托有危险废物处理资质的单位进行处理处置</w:t>
            </w:r>
            <w:r>
              <w:rPr>
                <w:rFonts w:hint="default" w:ascii="Times New Roman" w:hAnsi="Times New Roman" w:eastAsia="宋体" w:cs="Times New Roman"/>
                <w:b w:val="0"/>
                <w:bCs/>
                <w:color w:val="auto"/>
                <w:sz w:val="24"/>
                <w:lang w:eastAsia="zh-CN"/>
              </w:rPr>
              <w:t>。</w:t>
            </w:r>
          </w:p>
          <w:p w14:paraId="1050EEDA">
            <w:pPr>
              <w:spacing w:line="360" w:lineRule="auto"/>
              <w:ind w:firstLine="480" w:firstLineChars="200"/>
              <w:rPr>
                <w:rFonts w:hint="default" w:ascii="Times New Roman" w:hAnsi="Times New Roman" w:eastAsia="宋体" w:cs="Times New Roman"/>
                <w:b w:val="0"/>
                <w:bCs/>
                <w:color w:val="auto"/>
                <w:sz w:val="24"/>
                <w:lang w:eastAsia="zh-CN"/>
              </w:rPr>
            </w:pPr>
            <w:r>
              <w:rPr>
                <w:rFonts w:hint="default" w:ascii="Times New Roman" w:hAnsi="Times New Roman" w:eastAsia="宋体" w:cs="Times New Roman"/>
                <w:b w:val="0"/>
                <w:bCs/>
                <w:color w:val="auto"/>
                <w:sz w:val="24"/>
                <w:lang w:val="en-US" w:eastAsia="zh-CN"/>
              </w:rPr>
              <w:t>C</w:t>
            </w:r>
            <w:r>
              <w:rPr>
                <w:rFonts w:hint="default" w:ascii="Times New Roman" w:hAnsi="Times New Roman" w:eastAsia="宋体" w:cs="Times New Roman"/>
                <w:b w:val="0"/>
                <w:bCs/>
                <w:color w:val="auto"/>
                <w:sz w:val="24"/>
              </w:rPr>
              <w:t>、废</w:t>
            </w:r>
            <w:r>
              <w:rPr>
                <w:rFonts w:hint="default" w:ascii="Times New Roman" w:hAnsi="Times New Roman" w:eastAsia="宋体" w:cs="Times New Roman"/>
                <w:b w:val="0"/>
                <w:bCs/>
                <w:color w:val="auto"/>
                <w:sz w:val="24"/>
                <w:lang w:val="en-US" w:eastAsia="zh-CN"/>
              </w:rPr>
              <w:t>防锈油</w:t>
            </w:r>
            <w:r>
              <w:rPr>
                <w:rFonts w:hint="default" w:ascii="Times New Roman" w:hAnsi="Times New Roman" w:eastAsia="宋体" w:cs="Times New Roman"/>
                <w:b w:val="0"/>
                <w:bCs/>
                <w:color w:val="auto"/>
                <w:sz w:val="24"/>
              </w:rPr>
              <w:t>桶</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HW</w:t>
            </w:r>
            <w:r>
              <w:rPr>
                <w:rFonts w:hint="eastAsia" w:ascii="Times New Roman" w:hAnsi="Times New Roman" w:eastAsia="宋体" w:cs="Times New Roman"/>
                <w:b w:val="0"/>
                <w:bCs/>
                <w:color w:val="auto"/>
                <w:sz w:val="24"/>
                <w:lang w:val="en-US" w:eastAsia="zh-CN"/>
              </w:rPr>
              <w:t>08</w:t>
            </w:r>
            <w:r>
              <w:rPr>
                <w:rFonts w:hint="default" w:ascii="Times New Roman" w:hAnsi="Times New Roman" w:eastAsia="宋体" w:cs="Times New Roman"/>
                <w:b w:val="0"/>
                <w:bCs/>
                <w:color w:val="auto"/>
                <w:sz w:val="24"/>
                <w:lang w:eastAsia="zh-CN"/>
              </w:rPr>
              <w:t>）</w:t>
            </w:r>
          </w:p>
          <w:p w14:paraId="434AD111">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rPr>
              <w:t>项目生产过程中会产生废</w:t>
            </w:r>
            <w:r>
              <w:rPr>
                <w:rFonts w:hint="default" w:ascii="Times New Roman" w:hAnsi="Times New Roman" w:eastAsia="宋体" w:cs="Times New Roman"/>
                <w:b w:val="0"/>
                <w:bCs/>
                <w:color w:val="auto"/>
                <w:sz w:val="24"/>
                <w:lang w:val="en-US" w:eastAsia="zh-CN"/>
              </w:rPr>
              <w:t>防锈油</w:t>
            </w:r>
            <w:r>
              <w:rPr>
                <w:rFonts w:hint="default" w:ascii="Times New Roman" w:hAnsi="Times New Roman" w:eastAsia="宋体" w:cs="Times New Roman"/>
                <w:b w:val="0"/>
                <w:bCs/>
                <w:color w:val="auto"/>
                <w:sz w:val="24"/>
              </w:rPr>
              <w:t>桶，主要为盛装</w:t>
            </w:r>
            <w:r>
              <w:rPr>
                <w:rFonts w:hint="default" w:ascii="Times New Roman" w:hAnsi="Times New Roman" w:eastAsia="宋体" w:cs="Times New Roman"/>
                <w:b w:val="0"/>
                <w:bCs/>
                <w:color w:val="auto"/>
                <w:sz w:val="24"/>
                <w:lang w:val="en-US" w:eastAsia="zh-CN"/>
              </w:rPr>
              <w:t>防锈油</w:t>
            </w:r>
            <w:r>
              <w:rPr>
                <w:rFonts w:hint="default" w:ascii="Times New Roman" w:hAnsi="Times New Roman" w:eastAsia="宋体" w:cs="Times New Roman"/>
                <w:b w:val="0"/>
                <w:bCs/>
                <w:color w:val="auto"/>
                <w:sz w:val="24"/>
              </w:rPr>
              <w:t>等产生的废桶，根据建设单位提供的资料，项目废</w:t>
            </w:r>
            <w:r>
              <w:rPr>
                <w:rFonts w:hint="default" w:ascii="Times New Roman" w:hAnsi="Times New Roman" w:eastAsia="宋体" w:cs="Times New Roman"/>
                <w:b w:val="0"/>
                <w:bCs/>
                <w:color w:val="auto"/>
                <w:sz w:val="24"/>
                <w:lang w:val="en-US" w:eastAsia="zh-CN"/>
              </w:rPr>
              <w:t>防锈油</w:t>
            </w:r>
            <w:r>
              <w:rPr>
                <w:rFonts w:hint="default" w:ascii="Times New Roman" w:hAnsi="Times New Roman" w:eastAsia="宋体" w:cs="Times New Roman"/>
                <w:b w:val="0"/>
                <w:bCs/>
                <w:color w:val="auto"/>
                <w:sz w:val="24"/>
              </w:rPr>
              <w:t>桶的产生量</w:t>
            </w:r>
            <w:r>
              <w:rPr>
                <w:rFonts w:hint="default" w:ascii="Times New Roman" w:hAnsi="Times New Roman" w:eastAsia="宋体" w:cs="Times New Roman"/>
                <w:b w:val="0"/>
                <w:bCs/>
                <w:color w:val="auto"/>
                <w:sz w:val="24"/>
                <w:lang w:val="en-US" w:eastAsia="zh-CN"/>
              </w:rPr>
              <w:t>约</w:t>
            </w:r>
            <w:r>
              <w:rPr>
                <w:rFonts w:hint="default" w:ascii="Times New Roman" w:hAnsi="Times New Roman" w:eastAsia="宋体" w:cs="Times New Roman"/>
                <w:b w:val="0"/>
                <w:bCs/>
                <w:color w:val="auto"/>
                <w:sz w:val="24"/>
              </w:rPr>
              <w:t>为</w:t>
            </w:r>
            <w:r>
              <w:rPr>
                <w:rFonts w:hint="eastAsia" w:ascii="Times New Roman" w:hAnsi="Times New Roman" w:eastAsia="宋体" w:cs="Times New Roman"/>
                <w:b w:val="0"/>
                <w:bCs/>
                <w:color w:val="auto"/>
                <w:sz w:val="24"/>
                <w:lang w:val="en-US" w:eastAsia="zh-CN"/>
              </w:rPr>
              <w:t>0.05</w:t>
            </w:r>
            <w:r>
              <w:rPr>
                <w:rFonts w:hint="default" w:ascii="Times New Roman" w:hAnsi="Times New Roman" w:eastAsia="宋体" w:cs="Times New Roman"/>
                <w:b w:val="0"/>
                <w:bCs/>
                <w:color w:val="auto"/>
                <w:sz w:val="24"/>
              </w:rPr>
              <w:t>t</w:t>
            </w:r>
            <w:r>
              <w:rPr>
                <w:rFonts w:hint="default"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rPr>
              <w:t>a，属于HW</w:t>
            </w:r>
            <w:r>
              <w:rPr>
                <w:rFonts w:hint="eastAsia" w:ascii="Times New Roman" w:hAnsi="Times New Roman" w:eastAsia="宋体" w:cs="Times New Roman"/>
                <w:b w:val="0"/>
                <w:bCs/>
                <w:color w:val="auto"/>
                <w:sz w:val="24"/>
                <w:lang w:val="en-US" w:eastAsia="zh-CN"/>
              </w:rPr>
              <w:t>08</w:t>
            </w:r>
            <w:r>
              <w:rPr>
                <w:rFonts w:hint="default" w:ascii="Times New Roman" w:hAnsi="Times New Roman" w:eastAsia="宋体" w:cs="Times New Roman"/>
                <w:b w:val="0"/>
                <w:bCs/>
                <w:color w:val="auto"/>
                <w:sz w:val="24"/>
              </w:rPr>
              <w:t xml:space="preserve"> 类危险废物</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危废代码</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lang w:val="en-US" w:eastAsia="zh-CN"/>
              </w:rPr>
              <w:t>900-249-08</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，委托有危险废物处理资质的单位进行处理处置</w:t>
            </w:r>
            <w:r>
              <w:rPr>
                <w:rFonts w:hint="default" w:ascii="Times New Roman" w:hAnsi="Times New Roman" w:eastAsia="宋体" w:cs="Times New Roman"/>
                <w:b w:val="0"/>
                <w:bCs/>
                <w:color w:val="auto"/>
                <w:sz w:val="24"/>
                <w:lang w:eastAsia="zh-CN"/>
              </w:rPr>
              <w:t>。</w:t>
            </w:r>
          </w:p>
          <w:p w14:paraId="6BCC5C30">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D</w:t>
            </w:r>
            <w:r>
              <w:rPr>
                <w:rFonts w:hint="default" w:ascii="Times New Roman" w:hAnsi="Times New Roman" w:eastAsia="宋体" w:cs="Times New Roman"/>
                <w:b w:val="0"/>
                <w:bCs/>
                <w:color w:val="auto"/>
                <w:sz w:val="24"/>
                <w:lang w:val="en-US" w:eastAsia="zh-CN"/>
              </w:rPr>
              <w:t>、</w:t>
            </w:r>
            <w:r>
              <w:rPr>
                <w:rFonts w:hint="eastAsia" w:ascii="Times New Roman" w:hAnsi="Times New Roman" w:eastAsia="宋体" w:cs="Times New Roman"/>
                <w:b w:val="0"/>
                <w:bCs/>
                <w:color w:val="auto"/>
                <w:sz w:val="24"/>
                <w:lang w:val="en-US" w:eastAsia="zh-CN"/>
              </w:rPr>
              <w:t>废淬火油（HW08）</w:t>
            </w:r>
          </w:p>
          <w:p w14:paraId="66E0F306">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项目生产过程中会产生废淬火油（包括淬火工序废淬火油及三级静电油雾净化装置收集的废液），</w:t>
            </w:r>
            <w:r>
              <w:rPr>
                <w:rFonts w:hint="default" w:ascii="Times New Roman" w:hAnsi="Times New Roman" w:eastAsia="宋体" w:cs="Times New Roman"/>
                <w:b w:val="0"/>
                <w:bCs/>
                <w:color w:val="auto"/>
                <w:sz w:val="24"/>
              </w:rPr>
              <w:t>根据建设单位提供的资料，项目废</w:t>
            </w:r>
            <w:r>
              <w:rPr>
                <w:rFonts w:hint="eastAsia" w:ascii="Times New Roman" w:hAnsi="Times New Roman" w:eastAsia="宋体" w:cs="Times New Roman"/>
                <w:b w:val="0"/>
                <w:bCs/>
                <w:color w:val="auto"/>
                <w:sz w:val="24"/>
                <w:lang w:val="en-US" w:eastAsia="zh-CN"/>
              </w:rPr>
              <w:t>淬火油</w:t>
            </w:r>
            <w:r>
              <w:rPr>
                <w:rFonts w:hint="default" w:ascii="Times New Roman" w:hAnsi="Times New Roman" w:eastAsia="宋体" w:cs="Times New Roman"/>
                <w:b w:val="0"/>
                <w:bCs/>
                <w:color w:val="auto"/>
                <w:sz w:val="24"/>
              </w:rPr>
              <w:t>的产生量</w:t>
            </w:r>
            <w:r>
              <w:rPr>
                <w:rFonts w:hint="default" w:ascii="Times New Roman" w:hAnsi="Times New Roman" w:eastAsia="宋体" w:cs="Times New Roman"/>
                <w:b w:val="0"/>
                <w:bCs/>
                <w:color w:val="auto"/>
                <w:sz w:val="24"/>
                <w:lang w:val="en-US" w:eastAsia="zh-CN"/>
              </w:rPr>
              <w:t>约</w:t>
            </w:r>
            <w:r>
              <w:rPr>
                <w:rFonts w:hint="default" w:ascii="Times New Roman" w:hAnsi="Times New Roman" w:eastAsia="宋体" w:cs="Times New Roman"/>
                <w:b w:val="0"/>
                <w:bCs/>
                <w:color w:val="auto"/>
                <w:sz w:val="24"/>
              </w:rPr>
              <w:t>为</w:t>
            </w:r>
            <w:r>
              <w:rPr>
                <w:rFonts w:hint="eastAsia" w:ascii="Times New Roman" w:hAnsi="Times New Roman" w:eastAsia="宋体" w:cs="Times New Roman"/>
                <w:b w:val="0"/>
                <w:bCs/>
                <w:color w:val="auto"/>
                <w:sz w:val="24"/>
                <w:lang w:val="en-US" w:eastAsia="zh-CN"/>
              </w:rPr>
              <w:t>1.0</w:t>
            </w:r>
            <w:r>
              <w:rPr>
                <w:rFonts w:hint="default" w:ascii="Times New Roman" w:hAnsi="Times New Roman" w:eastAsia="宋体" w:cs="Times New Roman"/>
                <w:b w:val="0"/>
                <w:bCs/>
                <w:color w:val="auto"/>
                <w:sz w:val="24"/>
              </w:rPr>
              <w:t>t</w:t>
            </w:r>
            <w:r>
              <w:rPr>
                <w:rFonts w:hint="default"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rPr>
              <w:t>a，属于HW</w:t>
            </w:r>
            <w:r>
              <w:rPr>
                <w:rFonts w:hint="eastAsia" w:ascii="Times New Roman" w:hAnsi="Times New Roman" w:eastAsia="宋体" w:cs="Times New Roman"/>
                <w:b w:val="0"/>
                <w:bCs/>
                <w:color w:val="auto"/>
                <w:sz w:val="24"/>
                <w:lang w:val="en-US" w:eastAsia="zh-CN"/>
              </w:rPr>
              <w:t>08</w:t>
            </w:r>
            <w:r>
              <w:rPr>
                <w:rFonts w:hint="default" w:ascii="Times New Roman" w:hAnsi="Times New Roman" w:eastAsia="宋体" w:cs="Times New Roman"/>
                <w:b w:val="0"/>
                <w:bCs/>
                <w:color w:val="auto"/>
                <w:sz w:val="24"/>
              </w:rPr>
              <w:t xml:space="preserve"> 类危险废物</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危废代码</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lang w:val="en-US" w:eastAsia="zh-CN"/>
              </w:rPr>
              <w:t>900-203-08</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，委托有危险废物处理资质的单位进行处理处置</w:t>
            </w:r>
            <w:r>
              <w:rPr>
                <w:rFonts w:hint="default" w:ascii="Times New Roman" w:hAnsi="Times New Roman" w:eastAsia="宋体" w:cs="Times New Roman"/>
                <w:b w:val="0"/>
                <w:bCs/>
                <w:color w:val="auto"/>
                <w:sz w:val="24"/>
                <w:lang w:eastAsia="zh-CN"/>
              </w:rPr>
              <w:t>。</w:t>
            </w:r>
          </w:p>
          <w:p w14:paraId="1F276909">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E、废防锈油（HW08）</w:t>
            </w:r>
          </w:p>
          <w:p w14:paraId="3B2D64C0">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项目生产过程中会产生废防锈油，</w:t>
            </w:r>
            <w:r>
              <w:rPr>
                <w:rFonts w:hint="default" w:ascii="Times New Roman" w:hAnsi="Times New Roman" w:eastAsia="宋体" w:cs="Times New Roman"/>
                <w:b w:val="0"/>
                <w:bCs/>
                <w:color w:val="auto"/>
                <w:sz w:val="24"/>
              </w:rPr>
              <w:t>根据建设单位提供的资料，项目废</w:t>
            </w:r>
            <w:r>
              <w:rPr>
                <w:rFonts w:hint="eastAsia" w:ascii="Times New Roman" w:hAnsi="Times New Roman" w:eastAsia="宋体" w:cs="Times New Roman"/>
                <w:b w:val="0"/>
                <w:bCs/>
                <w:color w:val="auto"/>
                <w:sz w:val="24"/>
                <w:lang w:val="en-US" w:eastAsia="zh-CN"/>
              </w:rPr>
              <w:t>防锈油</w:t>
            </w:r>
            <w:r>
              <w:rPr>
                <w:rFonts w:hint="default" w:ascii="Times New Roman" w:hAnsi="Times New Roman" w:eastAsia="宋体" w:cs="Times New Roman"/>
                <w:b w:val="0"/>
                <w:bCs/>
                <w:color w:val="auto"/>
                <w:sz w:val="24"/>
              </w:rPr>
              <w:t>的产生量</w:t>
            </w:r>
            <w:r>
              <w:rPr>
                <w:rFonts w:hint="default" w:ascii="Times New Roman" w:hAnsi="Times New Roman" w:eastAsia="宋体" w:cs="Times New Roman"/>
                <w:b w:val="0"/>
                <w:bCs/>
                <w:color w:val="auto"/>
                <w:sz w:val="24"/>
                <w:lang w:val="en-US" w:eastAsia="zh-CN"/>
              </w:rPr>
              <w:t>约</w:t>
            </w:r>
            <w:r>
              <w:rPr>
                <w:rFonts w:hint="default" w:ascii="Times New Roman" w:hAnsi="Times New Roman" w:eastAsia="宋体" w:cs="Times New Roman"/>
                <w:b w:val="0"/>
                <w:bCs/>
                <w:color w:val="auto"/>
                <w:sz w:val="24"/>
              </w:rPr>
              <w:t>为</w:t>
            </w:r>
            <w:r>
              <w:rPr>
                <w:rFonts w:hint="eastAsia" w:ascii="Times New Roman" w:hAnsi="Times New Roman" w:eastAsia="宋体" w:cs="Times New Roman"/>
                <w:b w:val="0"/>
                <w:bCs/>
                <w:color w:val="auto"/>
                <w:sz w:val="24"/>
                <w:lang w:val="en-US" w:eastAsia="zh-CN"/>
              </w:rPr>
              <w:t>0.2</w:t>
            </w:r>
            <w:r>
              <w:rPr>
                <w:rFonts w:hint="default" w:ascii="Times New Roman" w:hAnsi="Times New Roman" w:eastAsia="宋体" w:cs="Times New Roman"/>
                <w:b w:val="0"/>
                <w:bCs/>
                <w:color w:val="auto"/>
                <w:sz w:val="24"/>
              </w:rPr>
              <w:t>t</w:t>
            </w:r>
            <w:r>
              <w:rPr>
                <w:rFonts w:hint="default" w:ascii="Times New Roman" w:hAnsi="Times New Roman" w:eastAsia="宋体" w:cs="Times New Roman"/>
                <w:b w:val="0"/>
                <w:bCs/>
                <w:color w:val="auto"/>
                <w:sz w:val="24"/>
                <w:lang w:val="en-US" w:eastAsia="zh-CN"/>
              </w:rPr>
              <w:t>/</w:t>
            </w:r>
            <w:r>
              <w:rPr>
                <w:rFonts w:hint="default" w:ascii="Times New Roman" w:hAnsi="Times New Roman" w:eastAsia="宋体" w:cs="Times New Roman"/>
                <w:b w:val="0"/>
                <w:bCs/>
                <w:color w:val="auto"/>
                <w:sz w:val="24"/>
              </w:rPr>
              <w:t>a，属于HW</w:t>
            </w:r>
            <w:r>
              <w:rPr>
                <w:rFonts w:hint="eastAsia" w:ascii="Times New Roman" w:hAnsi="Times New Roman" w:eastAsia="宋体" w:cs="Times New Roman"/>
                <w:b w:val="0"/>
                <w:bCs/>
                <w:color w:val="auto"/>
                <w:sz w:val="24"/>
                <w:lang w:val="en-US" w:eastAsia="zh-CN"/>
              </w:rPr>
              <w:t>08</w:t>
            </w:r>
            <w:r>
              <w:rPr>
                <w:rFonts w:hint="default" w:ascii="Times New Roman" w:hAnsi="Times New Roman" w:eastAsia="宋体" w:cs="Times New Roman"/>
                <w:b w:val="0"/>
                <w:bCs/>
                <w:color w:val="auto"/>
                <w:sz w:val="24"/>
              </w:rPr>
              <w:t xml:space="preserve"> 类危险废物</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危废代码</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lang w:val="en-US" w:eastAsia="zh-CN"/>
              </w:rPr>
              <w:t>900-216-08</w:t>
            </w:r>
            <w:r>
              <w:rPr>
                <w:rFonts w:hint="default" w:ascii="Times New Roman" w:hAnsi="Times New Roman" w:eastAsia="宋体" w:cs="Times New Roman"/>
                <w:b w:val="0"/>
                <w:bCs/>
                <w:color w:val="auto"/>
                <w:sz w:val="24"/>
                <w:lang w:eastAsia="zh-CN"/>
              </w:rPr>
              <w:t>）</w:t>
            </w:r>
            <w:r>
              <w:rPr>
                <w:rFonts w:hint="default" w:ascii="Times New Roman" w:hAnsi="Times New Roman" w:eastAsia="宋体" w:cs="Times New Roman"/>
                <w:b w:val="0"/>
                <w:bCs/>
                <w:color w:val="auto"/>
                <w:sz w:val="24"/>
              </w:rPr>
              <w:t>，委托有危险废物处理资质的单位进行处理处置</w:t>
            </w:r>
            <w:r>
              <w:rPr>
                <w:rFonts w:hint="default" w:ascii="Times New Roman" w:hAnsi="Times New Roman" w:eastAsia="宋体" w:cs="Times New Roman"/>
                <w:b w:val="0"/>
                <w:bCs/>
                <w:color w:val="auto"/>
                <w:sz w:val="24"/>
                <w:lang w:eastAsia="zh-CN"/>
              </w:rPr>
              <w:t>。</w:t>
            </w:r>
          </w:p>
          <w:p w14:paraId="680E51A0">
            <w:pPr>
              <w:spacing w:line="360" w:lineRule="auto"/>
              <w:ind w:firstLine="480" w:firstLineChars="200"/>
              <w:rPr>
                <w:rFonts w:hint="default"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F、</w:t>
            </w:r>
            <w:r>
              <w:rPr>
                <w:rFonts w:hint="default" w:ascii="Times New Roman" w:hAnsi="Times New Roman" w:eastAsia="宋体" w:cs="Times New Roman"/>
                <w:b w:val="0"/>
                <w:bCs/>
                <w:color w:val="auto"/>
                <w:sz w:val="24"/>
                <w:lang w:val="en-US" w:eastAsia="zh-CN"/>
              </w:rPr>
              <w:t>废活性炭</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HW49）</w:t>
            </w:r>
          </w:p>
          <w:p w14:paraId="22CC133E">
            <w:pPr>
              <w:pStyle w:val="61"/>
              <w:spacing w:line="360" w:lineRule="auto"/>
              <w:ind w:firstLine="420"/>
              <w:rPr>
                <w:rFonts w:hint="default" w:ascii="Times New Roman" w:hAnsi="Times New Roman" w:eastAsia="宋体" w:cs="Times New Roman"/>
                <w:color w:val="auto"/>
                <w:sz w:val="24"/>
              </w:rPr>
            </w:pPr>
            <w:r>
              <w:rPr>
                <w:rFonts w:hint="eastAsia" w:ascii="Times New Roman" w:hAnsi="Times New Roman" w:eastAsia="宋体" w:cs="Times New Roman"/>
                <w:color w:val="auto"/>
                <w:sz w:val="24"/>
                <w:szCs w:val="24"/>
                <w:lang w:val="en-US" w:eastAsia="zh-CN"/>
              </w:rPr>
              <w:t>清洗工序</w:t>
            </w:r>
            <w:r>
              <w:rPr>
                <w:rFonts w:hint="default" w:ascii="Times New Roman" w:hAnsi="Times New Roman" w:eastAsia="宋体" w:cs="Times New Roman"/>
                <w:color w:val="auto"/>
                <w:sz w:val="24"/>
                <w:szCs w:val="24"/>
                <w:lang w:val="en-US" w:eastAsia="zh-CN"/>
              </w:rPr>
              <w:t>废气处理设施</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二级活性炭吸附装置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废活性炭：</w:t>
            </w:r>
            <w:r>
              <w:rPr>
                <w:rFonts w:hint="default" w:ascii="Times New Roman" w:hAnsi="Times New Roman" w:eastAsia="宋体" w:cs="Times New Roman"/>
                <w:color w:val="auto"/>
                <w:sz w:val="24"/>
              </w:rPr>
              <w:t>根据《江苏省生态环境厅关于将排污单位活性炭使用纳入排污许可管理的通知》（苏环办〔2021〕218号），活性炭更换周期计算如下：</w:t>
            </w:r>
          </w:p>
          <w:p w14:paraId="7B53110C">
            <w:pPr>
              <w:spacing w:line="360" w:lineRule="auto"/>
              <w:ind w:firstLine="480" w:firstLineChars="200"/>
              <w:jc w:val="center"/>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T=m×s÷（c×10</w:t>
            </w:r>
            <w:r>
              <w:rPr>
                <w:rFonts w:hint="default" w:ascii="Times New Roman" w:hAnsi="Times New Roman" w:eastAsia="宋体" w:cs="Times New Roman"/>
                <w:color w:val="auto"/>
                <w:sz w:val="24"/>
                <w:vertAlign w:val="superscript"/>
              </w:rPr>
              <w:t>-6</w:t>
            </w:r>
            <w:r>
              <w:rPr>
                <w:rFonts w:hint="default" w:ascii="Times New Roman" w:hAnsi="Times New Roman" w:eastAsia="宋体" w:cs="Times New Roman"/>
                <w:color w:val="auto"/>
                <w:sz w:val="24"/>
              </w:rPr>
              <w:t>×Q×t）</w:t>
            </w:r>
          </w:p>
          <w:p w14:paraId="0EDF14A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式中：T—更换周期，天；</w:t>
            </w:r>
          </w:p>
          <w:p w14:paraId="2FD4BF7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m—活性炭的用量，kg；</w:t>
            </w:r>
            <w:r>
              <w:rPr>
                <w:rFonts w:hint="default" w:ascii="Times New Roman" w:hAnsi="Times New Roman" w:eastAsia="宋体" w:cs="Times New Roman"/>
                <w:color w:val="auto"/>
                <w:sz w:val="24"/>
                <w:lang w:val="en-US" w:eastAsia="zh-CN"/>
              </w:rPr>
              <w:t>本项目</w:t>
            </w:r>
            <w:r>
              <w:rPr>
                <w:rFonts w:hint="eastAsia" w:ascii="Times New Roman" w:hAnsi="Times New Roman" w:eastAsia="宋体" w:cs="Times New Roman"/>
                <w:color w:val="auto"/>
                <w:sz w:val="24"/>
                <w:szCs w:val="24"/>
                <w:lang w:val="en-US" w:eastAsia="zh-CN"/>
              </w:rPr>
              <w:t>清洗</w:t>
            </w:r>
            <w:r>
              <w:rPr>
                <w:rFonts w:hint="default" w:ascii="Times New Roman" w:hAnsi="Times New Roman" w:eastAsia="宋体" w:cs="Times New Roman"/>
                <w:color w:val="auto"/>
                <w:sz w:val="24"/>
                <w:szCs w:val="24"/>
                <w:lang w:val="en-US" w:eastAsia="zh-CN"/>
              </w:rPr>
              <w:t>工序废气处理设施</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二级活性炭吸附装置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rPr>
              <w:t>中活性炭装填量为</w:t>
            </w:r>
            <w:r>
              <w:rPr>
                <w:rFonts w:hint="eastAsia" w:ascii="Times New Roman" w:hAnsi="Times New Roman" w:eastAsia="宋体" w:cs="Times New Roman"/>
                <w:color w:val="auto"/>
                <w:sz w:val="24"/>
                <w:lang w:val="en-US" w:eastAsia="zh-CN"/>
              </w:rPr>
              <w:t>8</w:t>
            </w:r>
            <w:r>
              <w:rPr>
                <w:rFonts w:hint="default" w:ascii="Times New Roman" w:hAnsi="Times New Roman" w:eastAsia="宋体" w:cs="Times New Roman"/>
                <w:color w:val="auto"/>
                <w:sz w:val="24"/>
              </w:rPr>
              <w:t>00kg。</w:t>
            </w:r>
          </w:p>
          <w:p w14:paraId="07D4CA6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s—动态吸附量，%；动态吸附量取值</w:t>
            </w:r>
            <w:r>
              <w:rPr>
                <w:rFonts w:hint="eastAsia"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0%。</w:t>
            </w:r>
          </w:p>
          <w:p w14:paraId="27D8967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c—活性炭削减的VOCs浓度，mg/m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二级活性炭吸附装置</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rPr>
              <w:t>削减的VOCs浓度为</w:t>
            </w:r>
            <w:r>
              <w:rPr>
                <w:rFonts w:hint="eastAsia" w:ascii="Times New Roman" w:hAnsi="Times New Roman" w:eastAsia="宋体" w:cs="Times New Roman"/>
                <w:color w:val="auto"/>
                <w:sz w:val="24"/>
                <w:lang w:val="en-US" w:eastAsia="zh-CN"/>
              </w:rPr>
              <w:t>25.5</w:t>
            </w:r>
            <w:r>
              <w:rPr>
                <w:rFonts w:hint="default" w:ascii="Times New Roman" w:hAnsi="Times New Roman" w:eastAsia="宋体" w:cs="Times New Roman"/>
                <w:color w:val="auto"/>
                <w:sz w:val="24"/>
              </w:rPr>
              <w:t>mg/m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w:t>
            </w:r>
          </w:p>
          <w:p w14:paraId="6CF854A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Q—风量，单位m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/h；废气处理设施设计风量为</w:t>
            </w:r>
            <w:r>
              <w:rPr>
                <w:rFonts w:hint="eastAsia" w:ascii="Times New Roman" w:hAnsi="Times New Roman" w:eastAsia="宋体" w:cs="Times New Roman"/>
                <w:color w:val="auto"/>
                <w:sz w:val="24"/>
                <w:lang w:val="en-US" w:eastAsia="zh-CN"/>
              </w:rPr>
              <w:t>20</w:t>
            </w:r>
            <w:r>
              <w:rPr>
                <w:rFonts w:hint="default" w:ascii="Times New Roman" w:hAnsi="Times New Roman" w:eastAsia="宋体" w:cs="Times New Roman"/>
                <w:color w:val="auto"/>
                <w:sz w:val="24"/>
              </w:rPr>
              <w:t>00m</w:t>
            </w:r>
            <w:r>
              <w:rPr>
                <w:rFonts w:hint="default" w:ascii="Times New Roman" w:hAnsi="Times New Roman" w:eastAsia="宋体" w:cs="Times New Roman"/>
                <w:color w:val="auto"/>
                <w:sz w:val="24"/>
                <w:vertAlign w:val="superscript"/>
              </w:rPr>
              <w:t>3</w:t>
            </w:r>
            <w:r>
              <w:rPr>
                <w:rFonts w:hint="default" w:ascii="Times New Roman" w:hAnsi="Times New Roman" w:eastAsia="宋体" w:cs="Times New Roman"/>
                <w:color w:val="auto"/>
                <w:sz w:val="24"/>
              </w:rPr>
              <w:t>/h。</w:t>
            </w:r>
          </w:p>
          <w:p w14:paraId="21235D0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t—运行时间，单位h/d。废气处理设施日运行</w:t>
            </w:r>
            <w:r>
              <w:rPr>
                <w:rFonts w:hint="eastAsia" w:ascii="Times New Roman" w:hAnsi="Times New Roman" w:eastAsia="宋体" w:cs="Times New Roman"/>
                <w:color w:val="auto"/>
                <w:sz w:val="24"/>
                <w:lang w:val="en-US" w:eastAsia="zh-CN"/>
              </w:rPr>
              <w:t>16</w:t>
            </w:r>
            <w:r>
              <w:rPr>
                <w:rFonts w:hint="default" w:ascii="Times New Roman" w:hAnsi="Times New Roman" w:eastAsia="宋体" w:cs="Times New Roman"/>
                <w:color w:val="auto"/>
                <w:sz w:val="24"/>
              </w:rPr>
              <w:t>h。</w:t>
            </w:r>
          </w:p>
          <w:p w14:paraId="2E257133">
            <w:pPr>
              <w:spacing w:line="360" w:lineRule="auto"/>
              <w:ind w:firstLine="480" w:firstLineChars="200"/>
              <w:rPr>
                <w:rFonts w:hint="default" w:ascii="Times New Roman" w:hAnsi="Times New Roman" w:eastAsia="宋体" w:cs="Times New Roman"/>
                <w:b w:val="0"/>
                <w:bCs/>
                <w:color w:val="0000FF"/>
                <w:sz w:val="24"/>
                <w:lang w:val="en-US" w:eastAsia="zh-CN"/>
              </w:rPr>
            </w:pPr>
            <w:r>
              <w:rPr>
                <w:rFonts w:hint="default" w:ascii="Times New Roman" w:hAnsi="Times New Roman" w:eastAsia="宋体" w:cs="Times New Roman"/>
                <w:color w:val="0000FF"/>
                <w:sz w:val="24"/>
              </w:rPr>
              <w:t>根据上述公式及参数计算得废气处理设施活性炭更换周期为</w:t>
            </w:r>
            <w:r>
              <w:rPr>
                <w:rFonts w:hint="eastAsia" w:ascii="Times New Roman" w:hAnsi="Times New Roman" w:eastAsia="宋体" w:cs="Times New Roman"/>
                <w:color w:val="0000FF"/>
                <w:sz w:val="24"/>
                <w:lang w:val="en-US" w:eastAsia="zh-CN"/>
              </w:rPr>
              <w:t>98</w:t>
            </w:r>
            <w:r>
              <w:rPr>
                <w:rFonts w:hint="default" w:ascii="Times New Roman" w:hAnsi="Times New Roman" w:eastAsia="宋体" w:cs="Times New Roman"/>
                <w:color w:val="0000FF"/>
                <w:sz w:val="24"/>
              </w:rPr>
              <w:t>d/次</w:t>
            </w:r>
            <w:r>
              <w:rPr>
                <w:rFonts w:hint="eastAsia"/>
                <w:color w:val="0000FF"/>
                <w:lang w:eastAsia="zh-CN"/>
              </w:rPr>
              <w:t>，</w:t>
            </w:r>
            <w:r>
              <w:rPr>
                <w:rFonts w:ascii="Times New Roman" w:hAnsi="Times New Roman" w:eastAsia="宋体" w:cs="Times New Roman"/>
                <w:color w:val="0000FF"/>
                <w:kern w:val="2"/>
                <w:sz w:val="24"/>
                <w:szCs w:val="24"/>
                <w:lang w:val="en-US" w:eastAsia="zh-CN" w:bidi="ar-SA"/>
              </w:rPr>
              <w:t>据《省生态环境厅关于深入开展涉VOCs治理重点工作核查的通知》（苏环办〔2022〕218号）：</w:t>
            </w:r>
            <w:r>
              <w:rPr>
                <w:rFonts w:hint="eastAsia" w:ascii="Times New Roman" w:hAnsi="Times New Roman" w:eastAsia="宋体" w:cs="Times New Roman"/>
                <w:color w:val="0000FF"/>
                <w:kern w:val="2"/>
                <w:sz w:val="24"/>
                <w:szCs w:val="24"/>
                <w:lang w:val="en-US" w:eastAsia="zh-CN" w:bidi="ar-SA"/>
              </w:rPr>
              <w:t>“</w:t>
            </w:r>
            <w:r>
              <w:rPr>
                <w:rFonts w:ascii="Times New Roman" w:hAnsi="Times New Roman" w:eastAsia="宋体" w:cs="Times New Roman"/>
                <w:color w:val="0000FF"/>
                <w:kern w:val="2"/>
                <w:sz w:val="24"/>
                <w:szCs w:val="24"/>
                <w:lang w:val="en-US" w:eastAsia="zh-CN" w:bidi="ar-SA"/>
              </w:rPr>
              <w:t>活性炭更换周期一般不应超过累计运行500小时或3个月</w:t>
            </w:r>
            <w:r>
              <w:rPr>
                <w:rFonts w:hint="eastAsia" w:ascii="Times New Roman" w:hAnsi="Times New Roman" w:eastAsia="宋体" w:cs="Times New Roman"/>
                <w:color w:val="0000FF"/>
                <w:kern w:val="2"/>
                <w:sz w:val="24"/>
                <w:szCs w:val="24"/>
                <w:lang w:val="en-US" w:eastAsia="zh-CN" w:bidi="ar-SA"/>
              </w:rPr>
              <w:t>”</w:t>
            </w:r>
            <w:r>
              <w:rPr>
                <w:rFonts w:ascii="Times New Roman" w:hAnsi="Times New Roman" w:eastAsia="宋体" w:cs="Times New Roman"/>
                <w:color w:val="0000FF"/>
                <w:kern w:val="2"/>
                <w:sz w:val="24"/>
                <w:szCs w:val="24"/>
                <w:lang w:val="en-US" w:eastAsia="zh-CN" w:bidi="ar-SA"/>
              </w:rPr>
              <w:t>。因此，为保证活性炭吸附效率，本项目</w:t>
            </w:r>
            <w:r>
              <w:rPr>
                <w:rFonts w:hint="eastAsia" w:ascii="Times New Roman" w:hAnsi="Times New Roman" w:eastAsia="宋体" w:cs="Times New Roman"/>
                <w:color w:val="0000FF"/>
                <w:kern w:val="2"/>
                <w:sz w:val="24"/>
                <w:szCs w:val="24"/>
                <w:lang w:val="en-US" w:eastAsia="zh-CN" w:bidi="ar-SA"/>
              </w:rPr>
              <w:t>废气</w:t>
            </w:r>
            <w:r>
              <w:rPr>
                <w:rFonts w:ascii="Times New Roman" w:hAnsi="Times New Roman" w:eastAsia="宋体" w:cs="Times New Roman"/>
                <w:color w:val="0000FF"/>
                <w:kern w:val="2"/>
                <w:sz w:val="24"/>
                <w:szCs w:val="24"/>
                <w:lang w:val="en-US" w:eastAsia="zh-CN" w:bidi="ar-SA"/>
              </w:rPr>
              <w:t>活性炭吸附装置中的活性炭每</w:t>
            </w:r>
            <w:r>
              <w:rPr>
                <w:rFonts w:hint="eastAsia" w:ascii="Times New Roman" w:hAnsi="Times New Roman" w:eastAsia="宋体" w:cs="Times New Roman"/>
                <w:color w:val="0000FF"/>
                <w:kern w:val="2"/>
                <w:sz w:val="24"/>
                <w:szCs w:val="24"/>
                <w:lang w:val="en-US" w:eastAsia="zh-CN" w:bidi="ar-SA"/>
              </w:rPr>
              <w:t>季度</w:t>
            </w:r>
            <w:r>
              <w:rPr>
                <w:rFonts w:ascii="Times New Roman" w:hAnsi="Times New Roman" w:eastAsia="宋体" w:cs="Times New Roman"/>
                <w:color w:val="0000FF"/>
                <w:kern w:val="2"/>
                <w:sz w:val="24"/>
                <w:szCs w:val="24"/>
                <w:lang w:val="en-US" w:eastAsia="zh-CN" w:bidi="ar-SA"/>
              </w:rPr>
              <w:t>更换一次</w:t>
            </w:r>
            <w:r>
              <w:rPr>
                <w:rFonts w:hint="eastAsia" w:ascii="Times New Roman" w:hAnsi="Times New Roman" w:eastAsia="宋体" w:cs="Times New Roman"/>
                <w:color w:val="0000FF"/>
                <w:kern w:val="2"/>
                <w:sz w:val="24"/>
                <w:szCs w:val="24"/>
                <w:lang w:val="en-US" w:eastAsia="zh-CN" w:bidi="ar-SA"/>
              </w:rPr>
              <w:t>、</w:t>
            </w:r>
            <w:r>
              <w:rPr>
                <w:rFonts w:ascii="Times New Roman" w:hAnsi="Times New Roman" w:eastAsia="宋体" w:cs="Times New Roman"/>
                <w:color w:val="0000FF"/>
                <w:kern w:val="2"/>
                <w:sz w:val="24"/>
                <w:szCs w:val="24"/>
                <w:lang w:val="en-US" w:eastAsia="zh-CN" w:bidi="ar-SA"/>
              </w:rPr>
              <w:t>每年更换</w:t>
            </w:r>
            <w:r>
              <w:rPr>
                <w:rFonts w:hint="eastAsia" w:ascii="Times New Roman" w:hAnsi="Times New Roman" w:eastAsia="宋体" w:cs="Times New Roman"/>
                <w:color w:val="0000FF"/>
                <w:kern w:val="2"/>
                <w:sz w:val="24"/>
                <w:szCs w:val="24"/>
                <w:lang w:val="en-US" w:eastAsia="zh-CN" w:bidi="ar-SA"/>
              </w:rPr>
              <w:t>4次</w:t>
            </w:r>
            <w:r>
              <w:rPr>
                <w:rFonts w:hint="default" w:ascii="Times New Roman" w:hAnsi="Times New Roman" w:eastAsia="宋体" w:cs="Times New Roman"/>
                <w:color w:val="0000FF"/>
                <w:sz w:val="24"/>
              </w:rPr>
              <w:t>。根据工程核算，非甲烷总烃吸附量约为</w:t>
            </w:r>
            <w:r>
              <w:rPr>
                <w:rFonts w:hint="eastAsia" w:ascii="Times New Roman" w:hAnsi="Times New Roman" w:eastAsia="宋体" w:cs="Times New Roman"/>
                <w:color w:val="0000FF"/>
                <w:sz w:val="24"/>
                <w:lang w:val="en-US" w:eastAsia="zh-CN"/>
              </w:rPr>
              <w:t>0.245</w:t>
            </w:r>
            <w:r>
              <w:rPr>
                <w:rFonts w:hint="default" w:ascii="Times New Roman" w:hAnsi="Times New Roman" w:eastAsia="宋体" w:cs="Times New Roman"/>
                <w:color w:val="0000FF"/>
                <w:sz w:val="24"/>
              </w:rPr>
              <w:t>t/a，则废活性炭产生量约为</w:t>
            </w:r>
            <w:r>
              <w:rPr>
                <w:rFonts w:hint="eastAsia" w:ascii="Times New Roman" w:hAnsi="Times New Roman" w:eastAsia="宋体" w:cs="Times New Roman"/>
                <w:color w:val="0000FF"/>
                <w:sz w:val="24"/>
                <w:lang w:val="en-US" w:eastAsia="zh-CN"/>
              </w:rPr>
              <w:t>3.445</w:t>
            </w:r>
            <w:r>
              <w:rPr>
                <w:rFonts w:hint="default" w:ascii="Times New Roman" w:hAnsi="Times New Roman" w:eastAsia="宋体" w:cs="Times New Roman"/>
                <w:color w:val="0000FF"/>
                <w:sz w:val="24"/>
              </w:rPr>
              <w:t>t/a，收集后暂存于危废库，委托有资质单位妥善处置。</w:t>
            </w:r>
          </w:p>
          <w:p w14:paraId="431D2F44">
            <w:pPr>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G、</w:t>
            </w:r>
            <w:r>
              <w:rPr>
                <w:rFonts w:hint="default" w:ascii="Times New Roman" w:hAnsi="Times New Roman" w:eastAsia="宋体" w:cs="Times New Roman"/>
                <w:color w:val="auto"/>
                <w:sz w:val="24"/>
              </w:rPr>
              <w:t>含油抹布</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HW49）</w:t>
            </w:r>
          </w:p>
          <w:p w14:paraId="65FA51E2">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本项目</w:t>
            </w:r>
            <w:r>
              <w:rPr>
                <w:rFonts w:hint="eastAsia" w:ascii="Times New Roman" w:hAnsi="Times New Roman" w:eastAsia="宋体" w:cs="Times New Roman"/>
                <w:color w:val="auto"/>
                <w:sz w:val="24"/>
                <w:lang w:val="en-US" w:eastAsia="zh-CN"/>
              </w:rPr>
              <w:t>生产过程会</w:t>
            </w:r>
            <w:r>
              <w:rPr>
                <w:rFonts w:hint="eastAsia" w:ascii="Times New Roman" w:hAnsi="Times New Roman" w:eastAsia="宋体" w:cs="Times New Roman"/>
                <w:color w:val="auto"/>
                <w:sz w:val="24"/>
              </w:rPr>
              <w:t>产生</w:t>
            </w:r>
            <w:r>
              <w:rPr>
                <w:rFonts w:hint="default" w:ascii="Times New Roman" w:hAnsi="Times New Roman" w:eastAsia="宋体" w:cs="Times New Roman"/>
                <w:color w:val="auto"/>
                <w:sz w:val="24"/>
              </w:rPr>
              <w:t>含油抹布</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约每周更换一次，每次更换量为3kg，一年按52周计算，则</w:t>
            </w:r>
            <w:r>
              <w:rPr>
                <w:rFonts w:hint="eastAsia" w:ascii="Times New Roman" w:hAnsi="Times New Roman" w:eastAsia="宋体" w:cs="Times New Roman"/>
                <w:color w:val="auto"/>
                <w:sz w:val="24"/>
              </w:rPr>
              <w:t>本项目</w:t>
            </w:r>
            <w:r>
              <w:rPr>
                <w:rFonts w:hint="default" w:ascii="Times New Roman" w:hAnsi="Times New Roman" w:eastAsia="宋体" w:cs="Times New Roman"/>
                <w:color w:val="auto"/>
                <w:sz w:val="24"/>
              </w:rPr>
              <w:t>含油抹布的产生量为0.156t/a</w:t>
            </w:r>
            <w:r>
              <w:rPr>
                <w:rFonts w:hint="eastAsia" w:ascii="Times New Roman" w:hAnsi="Times New Roman" w:eastAsia="宋体" w:cs="Times New Roman"/>
                <w:color w:val="auto"/>
                <w:sz w:val="24"/>
              </w:rPr>
              <w:t>；</w:t>
            </w:r>
          </w:p>
          <w:p w14:paraId="798ECDF6">
            <w:pPr>
              <w:spacing w:line="360" w:lineRule="auto"/>
              <w:ind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color w:val="auto"/>
                <w:sz w:val="24"/>
                <w:lang w:val="en-US" w:eastAsia="zh-CN"/>
              </w:rPr>
              <w:t>H、</w:t>
            </w:r>
            <w:r>
              <w:rPr>
                <w:rFonts w:hint="eastAsia" w:ascii="Times New Roman" w:hAnsi="Times New Roman" w:eastAsia="宋体" w:cs="Times New Roman"/>
                <w:b w:val="0"/>
                <w:bCs/>
                <w:color w:val="auto"/>
                <w:sz w:val="24"/>
                <w:lang w:val="en-US" w:eastAsia="zh-CN"/>
              </w:rPr>
              <w:t>污水处理污泥和浓液（HW49）</w:t>
            </w:r>
          </w:p>
          <w:p w14:paraId="3BB876F9">
            <w:pPr>
              <w:spacing w:line="360" w:lineRule="auto"/>
              <w:ind w:firstLine="480" w:firstLineChars="200"/>
              <w:rPr>
                <w:rFonts w:hint="eastAsia" w:ascii="Times New Roman" w:hAnsi="Times New Roman" w:eastAsia="宋体" w:cs="Times New Roman"/>
                <w:b w:val="0"/>
                <w:bCs/>
                <w:color w:val="auto"/>
                <w:sz w:val="24"/>
                <w:lang w:val="en-US" w:eastAsia="zh-CN"/>
              </w:rPr>
            </w:pPr>
            <w:r>
              <w:rPr>
                <w:rFonts w:hint="eastAsia" w:ascii="Times New Roman" w:hAnsi="Times New Roman" w:eastAsia="宋体" w:cs="Times New Roman"/>
                <w:b w:val="0"/>
                <w:bCs/>
                <w:color w:val="auto"/>
                <w:sz w:val="24"/>
                <w:lang w:val="en-US" w:eastAsia="zh-CN"/>
              </w:rPr>
              <w:t>本项目清洗废水经污水处理站处理过程会产生少量污泥和蒸发浓液，</w:t>
            </w:r>
            <w:r>
              <w:rPr>
                <w:rFonts w:hint="default" w:ascii="Times New Roman" w:hAnsi="Times New Roman" w:eastAsia="宋体" w:cs="Times New Roman"/>
                <w:b w:val="0"/>
                <w:bCs/>
                <w:color w:val="auto"/>
                <w:sz w:val="24"/>
                <w:lang w:val="en-US" w:eastAsia="zh-CN"/>
              </w:rPr>
              <w:t>产生量为处理水量的1%~10%，本项目</w:t>
            </w:r>
            <w:r>
              <w:rPr>
                <w:rFonts w:hint="eastAsia" w:ascii="Times New Roman" w:hAnsi="Times New Roman" w:eastAsia="宋体" w:cs="Times New Roman"/>
                <w:b w:val="0"/>
                <w:bCs/>
                <w:color w:val="auto"/>
                <w:sz w:val="24"/>
                <w:lang w:val="en-US" w:eastAsia="zh-CN"/>
              </w:rPr>
              <w:t>污泥和浓液</w:t>
            </w:r>
            <w:r>
              <w:rPr>
                <w:rFonts w:hint="default" w:ascii="Times New Roman" w:hAnsi="Times New Roman" w:eastAsia="宋体" w:cs="Times New Roman"/>
                <w:b w:val="0"/>
                <w:bCs/>
                <w:color w:val="auto"/>
                <w:sz w:val="24"/>
                <w:lang w:val="en-US" w:eastAsia="zh-CN"/>
              </w:rPr>
              <w:t>产生量按处理水量的</w:t>
            </w:r>
            <w:r>
              <w:rPr>
                <w:rFonts w:hint="eastAsia" w:ascii="Times New Roman" w:hAnsi="Times New Roman" w:eastAsia="宋体" w:cs="Times New Roman"/>
                <w:b w:val="0"/>
                <w:bCs/>
                <w:color w:val="auto"/>
                <w:sz w:val="24"/>
                <w:lang w:val="en-US" w:eastAsia="zh-CN"/>
              </w:rPr>
              <w:t>5</w:t>
            </w:r>
            <w:r>
              <w:rPr>
                <w:rFonts w:hint="default" w:ascii="Times New Roman" w:hAnsi="Times New Roman" w:eastAsia="宋体" w:cs="Times New Roman"/>
                <w:b w:val="0"/>
                <w:bCs/>
                <w:color w:val="auto"/>
                <w:sz w:val="24"/>
                <w:lang w:val="en-US" w:eastAsia="zh-CN"/>
              </w:rPr>
              <w:t>%取，本项目生产废水</w:t>
            </w:r>
            <w:r>
              <w:rPr>
                <w:rFonts w:hint="eastAsia" w:ascii="Times New Roman" w:hAnsi="Times New Roman" w:eastAsia="宋体" w:cs="Times New Roman"/>
                <w:b w:val="0"/>
                <w:bCs/>
                <w:color w:val="auto"/>
                <w:sz w:val="24"/>
                <w:lang w:val="en-US" w:eastAsia="zh-CN"/>
              </w:rPr>
              <w:t>219.8</w:t>
            </w:r>
            <w:r>
              <w:rPr>
                <w:rFonts w:hint="default" w:ascii="Times New Roman" w:hAnsi="Times New Roman" w:eastAsia="宋体" w:cs="Times New Roman"/>
                <w:b w:val="0"/>
                <w:bCs/>
                <w:color w:val="auto"/>
                <w:sz w:val="24"/>
                <w:lang w:val="en-US" w:eastAsia="zh-CN"/>
              </w:rPr>
              <w:t>m</w:t>
            </w:r>
            <w:r>
              <w:rPr>
                <w:rFonts w:hint="default" w:ascii="Times New Roman" w:hAnsi="Times New Roman" w:eastAsia="宋体" w:cs="Times New Roman"/>
                <w:b w:val="0"/>
                <w:bCs/>
                <w:color w:val="auto"/>
                <w:sz w:val="24"/>
                <w:vertAlign w:val="superscript"/>
                <w:lang w:val="en-US" w:eastAsia="zh-CN"/>
              </w:rPr>
              <w:t>3</w:t>
            </w:r>
            <w:r>
              <w:rPr>
                <w:rFonts w:hint="default" w:ascii="Times New Roman" w:hAnsi="Times New Roman" w:eastAsia="宋体" w:cs="Times New Roman"/>
                <w:b w:val="0"/>
                <w:bCs/>
                <w:color w:val="auto"/>
                <w:sz w:val="24"/>
                <w:lang w:val="en-US" w:eastAsia="zh-CN"/>
              </w:rPr>
              <w:t>/a，则</w:t>
            </w:r>
            <w:r>
              <w:rPr>
                <w:rFonts w:hint="eastAsia" w:ascii="Times New Roman" w:hAnsi="Times New Roman" w:eastAsia="宋体" w:cs="Times New Roman"/>
                <w:b w:val="0"/>
                <w:bCs/>
                <w:color w:val="auto"/>
                <w:sz w:val="24"/>
                <w:lang w:val="en-US" w:eastAsia="zh-CN"/>
              </w:rPr>
              <w:t>污水处理站污泥和浓液</w:t>
            </w:r>
            <w:r>
              <w:rPr>
                <w:rFonts w:hint="default" w:ascii="Times New Roman" w:hAnsi="Times New Roman" w:eastAsia="宋体" w:cs="Times New Roman"/>
                <w:b w:val="0"/>
                <w:bCs/>
                <w:color w:val="auto"/>
                <w:sz w:val="24"/>
                <w:lang w:val="en-US" w:eastAsia="zh-CN"/>
              </w:rPr>
              <w:t>产生量约为</w:t>
            </w:r>
            <w:r>
              <w:rPr>
                <w:rFonts w:hint="eastAsia" w:ascii="Times New Roman" w:hAnsi="Times New Roman" w:eastAsia="宋体" w:cs="Times New Roman"/>
                <w:b w:val="0"/>
                <w:bCs/>
                <w:color w:val="auto"/>
                <w:sz w:val="24"/>
                <w:lang w:val="en-US" w:eastAsia="zh-CN"/>
              </w:rPr>
              <w:t>10.99</w:t>
            </w:r>
            <w:r>
              <w:rPr>
                <w:rFonts w:hint="default" w:ascii="Times New Roman" w:hAnsi="Times New Roman" w:eastAsia="宋体" w:cs="Times New Roman"/>
                <w:b w:val="0"/>
                <w:bCs/>
                <w:color w:val="auto"/>
                <w:sz w:val="24"/>
                <w:lang w:val="en-US" w:eastAsia="zh-CN"/>
              </w:rPr>
              <w:t>t/a</w:t>
            </w:r>
            <w:r>
              <w:rPr>
                <w:rFonts w:hint="default" w:ascii="Times New Roman" w:hAnsi="Times New Roman" w:eastAsia="宋体" w:cs="Times New Roman"/>
                <w:color w:val="auto"/>
                <w:sz w:val="24"/>
              </w:rPr>
              <w:t>，收集后暂存于危废库，委托有资质单位妥善处置</w:t>
            </w:r>
            <w:r>
              <w:rPr>
                <w:rFonts w:hint="eastAsia" w:ascii="Times New Roman" w:hAnsi="Times New Roman" w:eastAsia="宋体" w:cs="Times New Roman"/>
                <w:b w:val="0"/>
                <w:bCs/>
                <w:color w:val="auto"/>
                <w:sz w:val="24"/>
                <w:lang w:val="en-US" w:eastAsia="zh-CN"/>
              </w:rPr>
              <w:t>。</w:t>
            </w:r>
          </w:p>
          <w:p w14:paraId="08ABB82E">
            <w:pPr>
              <w:spacing w:line="360" w:lineRule="auto"/>
              <w:ind w:firstLine="482" w:firstLineChars="200"/>
              <w:rPr>
                <w:rFonts w:hint="default" w:ascii="Times New Roman" w:hAnsi="Times New Roman" w:eastAsia="宋体" w:cs="Times New Roman"/>
                <w:b/>
                <w:bCs w:val="0"/>
                <w:color w:val="auto"/>
                <w:sz w:val="24"/>
              </w:rPr>
            </w:pPr>
            <w:r>
              <w:rPr>
                <w:rFonts w:hint="default" w:ascii="Times New Roman" w:hAnsi="Times New Roman" w:eastAsia="宋体" w:cs="Times New Roman"/>
                <w:b/>
                <w:bCs w:val="0"/>
                <w:color w:val="auto"/>
                <w:sz w:val="24"/>
              </w:rPr>
              <w:t>2、固体废物属性判定</w:t>
            </w:r>
          </w:p>
          <w:p w14:paraId="17D28EFD">
            <w:pPr>
              <w:spacing w:line="360" w:lineRule="auto"/>
              <w:ind w:firstLine="480" w:firstLineChars="200"/>
              <w:rPr>
                <w:rFonts w:hint="default" w:ascii="Times New Roman" w:hAnsi="Times New Roman" w:eastAsia="宋体" w:cs="Times New Roman"/>
                <w:b w:val="0"/>
                <w:bCs/>
                <w:color w:val="auto"/>
                <w:sz w:val="24"/>
              </w:rPr>
            </w:pPr>
            <w:r>
              <w:rPr>
                <w:rFonts w:hint="default" w:ascii="Times New Roman" w:hAnsi="Times New Roman" w:eastAsia="宋体" w:cs="Times New Roman"/>
                <w:b w:val="0"/>
                <w:bCs/>
                <w:color w:val="auto"/>
                <w:sz w:val="24"/>
              </w:rPr>
              <w:t>根据《中华人民共和国固体废物污染环境防治法》、《固体废物鉴别标准通则》（GB34330-2017）、《建设项目危险废物环境影响评价指南》（公告2017年第43号）和《关于贯彻落实建设项目危险废物环境影响评价指南要求的通知》（苏环办</w:t>
            </w:r>
            <w:r>
              <w:rPr>
                <w:rFonts w:hint="eastAsia" w:ascii="宋体" w:hAnsi="宋体" w:eastAsia="宋体" w:cs="宋体"/>
                <w:b w:val="0"/>
                <w:bCs/>
                <w:color w:val="auto"/>
                <w:sz w:val="24"/>
              </w:rPr>
              <w:t>〔</w:t>
            </w:r>
            <w:r>
              <w:rPr>
                <w:rFonts w:hint="default" w:ascii="Times New Roman" w:hAnsi="Times New Roman" w:eastAsia="宋体" w:cs="Times New Roman"/>
                <w:b w:val="0"/>
                <w:bCs/>
                <w:color w:val="auto"/>
                <w:sz w:val="24"/>
              </w:rPr>
              <w:t>2018</w:t>
            </w:r>
            <w:r>
              <w:rPr>
                <w:rFonts w:hint="eastAsia" w:ascii="宋体" w:hAnsi="宋体" w:eastAsia="宋体" w:cs="宋体"/>
                <w:b w:val="0"/>
                <w:bCs/>
                <w:color w:val="auto"/>
                <w:sz w:val="24"/>
              </w:rPr>
              <w:t>〕</w:t>
            </w:r>
            <w:r>
              <w:rPr>
                <w:rFonts w:hint="default" w:ascii="Times New Roman" w:hAnsi="Times New Roman" w:eastAsia="宋体" w:cs="Times New Roman"/>
                <w:b w:val="0"/>
                <w:bCs/>
                <w:color w:val="auto"/>
                <w:sz w:val="24"/>
              </w:rPr>
              <w:t>18号）的规定，判断建设项目生产过程中产生的副产物是否属于固体废物，判定依据及结果见表4-</w:t>
            </w:r>
            <w:r>
              <w:rPr>
                <w:rFonts w:hint="eastAsia" w:ascii="Times New Roman" w:hAnsi="Times New Roman" w:eastAsia="宋体" w:cs="Times New Roman"/>
                <w:b w:val="0"/>
                <w:bCs/>
                <w:color w:val="auto"/>
                <w:sz w:val="24"/>
                <w:lang w:val="en-US" w:eastAsia="zh-CN"/>
              </w:rPr>
              <w:t>21</w:t>
            </w:r>
            <w:r>
              <w:rPr>
                <w:rFonts w:hint="default" w:ascii="Times New Roman" w:hAnsi="Times New Roman" w:eastAsia="宋体" w:cs="Times New Roman"/>
                <w:b w:val="0"/>
                <w:bCs/>
                <w:color w:val="auto"/>
                <w:sz w:val="24"/>
              </w:rPr>
              <w:t>。</w:t>
            </w:r>
          </w:p>
          <w:p w14:paraId="42983F31">
            <w:pPr>
              <w:jc w:val="center"/>
              <w:rPr>
                <w:rFonts w:hint="default" w:ascii="Times New Roman" w:hAnsi="Times New Roman" w:eastAsia="宋体" w:cs="Times New Roman"/>
                <w:b/>
                <w:color w:val="auto"/>
                <w:sz w:val="24"/>
              </w:rPr>
            </w:pPr>
          </w:p>
          <w:p w14:paraId="2980A8B8">
            <w:pPr>
              <w:jc w:val="center"/>
              <w:rPr>
                <w:rFonts w:hint="default" w:ascii="Times New Roman" w:hAnsi="Times New Roman" w:eastAsia="宋体" w:cs="Times New Roman"/>
                <w:b/>
                <w:color w:val="auto"/>
                <w:sz w:val="24"/>
              </w:rPr>
            </w:pPr>
          </w:p>
          <w:p w14:paraId="02E2EB48">
            <w:pPr>
              <w:jc w:val="center"/>
              <w:rPr>
                <w:rFonts w:hint="default" w:ascii="Times New Roman" w:hAnsi="Times New Roman" w:eastAsia="宋体" w:cs="Times New Roman"/>
                <w:b/>
                <w:color w:val="auto"/>
                <w:sz w:val="24"/>
              </w:rPr>
            </w:pPr>
          </w:p>
          <w:p w14:paraId="50CA00D3">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21</w:t>
            </w:r>
            <w:r>
              <w:rPr>
                <w:rFonts w:hint="default" w:ascii="Times New Roman" w:hAnsi="Times New Roman" w:eastAsia="宋体" w:cs="Times New Roman"/>
                <w:b/>
                <w:color w:val="auto"/>
                <w:sz w:val="24"/>
              </w:rPr>
              <w:t xml:space="preserve">  本项目副产物产生情况汇总表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1127"/>
              <w:gridCol w:w="937"/>
              <w:gridCol w:w="658"/>
              <w:gridCol w:w="922"/>
              <w:gridCol w:w="946"/>
              <w:gridCol w:w="675"/>
              <w:gridCol w:w="914"/>
              <w:gridCol w:w="1742"/>
            </w:tblGrid>
            <w:tr w14:paraId="43F9C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restart"/>
                  <w:vAlign w:val="center"/>
                </w:tcPr>
                <w:p w14:paraId="43A9B840">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75" w:type="pct"/>
                  <w:vMerge w:val="restart"/>
                  <w:vAlign w:val="center"/>
                </w:tcPr>
                <w:p w14:paraId="6580564D">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副产物</w:t>
                  </w:r>
                </w:p>
                <w:p w14:paraId="1013EF7C">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561" w:type="pct"/>
                  <w:vMerge w:val="restart"/>
                  <w:vAlign w:val="center"/>
                </w:tcPr>
                <w:p w14:paraId="3C03BF60">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w:t>
                  </w:r>
                </w:p>
                <w:p w14:paraId="62E342C5">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来源</w:t>
                  </w:r>
                </w:p>
              </w:tc>
              <w:tc>
                <w:tcPr>
                  <w:tcW w:w="394" w:type="pct"/>
                  <w:vMerge w:val="restart"/>
                  <w:vAlign w:val="center"/>
                </w:tcPr>
                <w:p w14:paraId="45621005">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形态</w:t>
                  </w:r>
                </w:p>
              </w:tc>
              <w:tc>
                <w:tcPr>
                  <w:tcW w:w="552" w:type="pct"/>
                  <w:vMerge w:val="restart"/>
                  <w:vAlign w:val="center"/>
                </w:tcPr>
                <w:p w14:paraId="2C03CC6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w:t>
                  </w:r>
                </w:p>
                <w:p w14:paraId="5ADE22B4">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成分</w:t>
                  </w:r>
                </w:p>
              </w:tc>
              <w:tc>
                <w:tcPr>
                  <w:tcW w:w="566" w:type="pct"/>
                  <w:vMerge w:val="restart"/>
                  <w:vAlign w:val="center"/>
                </w:tcPr>
                <w:p w14:paraId="698D28E0">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预测产生量（t/a）</w:t>
                  </w:r>
                </w:p>
              </w:tc>
              <w:tc>
                <w:tcPr>
                  <w:tcW w:w="1994" w:type="pct"/>
                  <w:gridSpan w:val="3"/>
                  <w:vAlign w:val="center"/>
                </w:tcPr>
                <w:p w14:paraId="531A322D">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种类判断*</w:t>
                  </w:r>
                </w:p>
              </w:tc>
            </w:tr>
            <w:tr w14:paraId="38B82D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Merge w:val="continue"/>
                  <w:vAlign w:val="center"/>
                </w:tcPr>
                <w:p w14:paraId="32E4066E">
                  <w:pPr>
                    <w:adjustRightInd w:val="0"/>
                    <w:snapToGrid w:val="0"/>
                    <w:jc w:val="center"/>
                    <w:rPr>
                      <w:rFonts w:hint="default" w:ascii="Times New Roman" w:hAnsi="Times New Roman" w:eastAsia="宋体" w:cs="Times New Roman"/>
                      <w:b/>
                      <w:color w:val="auto"/>
                      <w:sz w:val="21"/>
                      <w:szCs w:val="21"/>
                    </w:rPr>
                  </w:pPr>
                </w:p>
              </w:tc>
              <w:tc>
                <w:tcPr>
                  <w:tcW w:w="675" w:type="pct"/>
                  <w:vMerge w:val="continue"/>
                  <w:vAlign w:val="center"/>
                </w:tcPr>
                <w:p w14:paraId="6F931302">
                  <w:pPr>
                    <w:adjustRightInd w:val="0"/>
                    <w:snapToGrid w:val="0"/>
                    <w:jc w:val="center"/>
                    <w:rPr>
                      <w:rFonts w:hint="default" w:ascii="Times New Roman" w:hAnsi="Times New Roman" w:eastAsia="宋体" w:cs="Times New Roman"/>
                      <w:b/>
                      <w:color w:val="auto"/>
                      <w:sz w:val="21"/>
                      <w:szCs w:val="21"/>
                    </w:rPr>
                  </w:pPr>
                </w:p>
              </w:tc>
              <w:tc>
                <w:tcPr>
                  <w:tcW w:w="561" w:type="pct"/>
                  <w:vMerge w:val="continue"/>
                  <w:vAlign w:val="center"/>
                </w:tcPr>
                <w:p w14:paraId="54D2EB04">
                  <w:pPr>
                    <w:adjustRightInd w:val="0"/>
                    <w:snapToGrid w:val="0"/>
                    <w:jc w:val="center"/>
                    <w:rPr>
                      <w:rFonts w:hint="default" w:ascii="Times New Roman" w:hAnsi="Times New Roman" w:eastAsia="宋体" w:cs="Times New Roman"/>
                      <w:b/>
                      <w:color w:val="auto"/>
                      <w:sz w:val="21"/>
                      <w:szCs w:val="21"/>
                    </w:rPr>
                  </w:pPr>
                </w:p>
              </w:tc>
              <w:tc>
                <w:tcPr>
                  <w:tcW w:w="394" w:type="pct"/>
                  <w:vMerge w:val="continue"/>
                  <w:vAlign w:val="center"/>
                </w:tcPr>
                <w:p w14:paraId="626A2040">
                  <w:pPr>
                    <w:adjustRightInd w:val="0"/>
                    <w:snapToGrid w:val="0"/>
                    <w:jc w:val="center"/>
                    <w:rPr>
                      <w:rFonts w:hint="default" w:ascii="Times New Roman" w:hAnsi="Times New Roman" w:eastAsia="宋体" w:cs="Times New Roman"/>
                      <w:b/>
                      <w:color w:val="auto"/>
                      <w:sz w:val="21"/>
                      <w:szCs w:val="21"/>
                    </w:rPr>
                  </w:pPr>
                </w:p>
              </w:tc>
              <w:tc>
                <w:tcPr>
                  <w:tcW w:w="552" w:type="pct"/>
                  <w:vMerge w:val="continue"/>
                  <w:vAlign w:val="center"/>
                </w:tcPr>
                <w:p w14:paraId="6F19D997">
                  <w:pPr>
                    <w:adjustRightInd w:val="0"/>
                    <w:snapToGrid w:val="0"/>
                    <w:jc w:val="center"/>
                    <w:rPr>
                      <w:rFonts w:hint="default" w:ascii="Times New Roman" w:hAnsi="Times New Roman" w:eastAsia="宋体" w:cs="Times New Roman"/>
                      <w:b/>
                      <w:color w:val="auto"/>
                      <w:sz w:val="21"/>
                      <w:szCs w:val="21"/>
                    </w:rPr>
                  </w:pPr>
                </w:p>
              </w:tc>
              <w:tc>
                <w:tcPr>
                  <w:tcW w:w="566" w:type="pct"/>
                  <w:vMerge w:val="continue"/>
                  <w:vAlign w:val="center"/>
                </w:tcPr>
                <w:p w14:paraId="03CCEB90">
                  <w:pPr>
                    <w:adjustRightInd w:val="0"/>
                    <w:snapToGrid w:val="0"/>
                    <w:jc w:val="center"/>
                    <w:rPr>
                      <w:rFonts w:hint="default" w:ascii="Times New Roman" w:hAnsi="Times New Roman" w:eastAsia="宋体" w:cs="Times New Roman"/>
                      <w:b/>
                      <w:color w:val="auto"/>
                      <w:sz w:val="21"/>
                      <w:szCs w:val="21"/>
                    </w:rPr>
                  </w:pPr>
                </w:p>
              </w:tc>
              <w:tc>
                <w:tcPr>
                  <w:tcW w:w="404" w:type="pct"/>
                  <w:vAlign w:val="center"/>
                </w:tcPr>
                <w:p w14:paraId="7FFC911F">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固体</w:t>
                  </w:r>
                </w:p>
                <w:p w14:paraId="59902DCE">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w:t>
                  </w:r>
                </w:p>
              </w:tc>
              <w:tc>
                <w:tcPr>
                  <w:tcW w:w="547" w:type="pct"/>
                  <w:vAlign w:val="center"/>
                </w:tcPr>
                <w:p w14:paraId="21F22D29">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副产品</w:t>
                  </w:r>
                </w:p>
              </w:tc>
              <w:tc>
                <w:tcPr>
                  <w:tcW w:w="1042" w:type="pct"/>
                  <w:vAlign w:val="center"/>
                </w:tcPr>
                <w:p w14:paraId="12A1B133">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判定依据</w:t>
                  </w:r>
                </w:p>
              </w:tc>
            </w:tr>
            <w:tr w14:paraId="49B611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28C07CF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75" w:type="pct"/>
                  <w:vAlign w:val="center"/>
                </w:tcPr>
                <w:p w14:paraId="547A54A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生活垃圾</w:t>
                  </w:r>
                </w:p>
              </w:tc>
              <w:tc>
                <w:tcPr>
                  <w:tcW w:w="561" w:type="pct"/>
                  <w:vAlign w:val="center"/>
                </w:tcPr>
                <w:p w14:paraId="2A33CB4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办公、生活</w:t>
                  </w:r>
                </w:p>
              </w:tc>
              <w:tc>
                <w:tcPr>
                  <w:tcW w:w="394" w:type="pct"/>
                  <w:vAlign w:val="center"/>
                </w:tcPr>
                <w:p w14:paraId="7A2F7E9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半固态</w:t>
                  </w:r>
                </w:p>
              </w:tc>
              <w:tc>
                <w:tcPr>
                  <w:tcW w:w="552" w:type="pct"/>
                  <w:vAlign w:val="center"/>
                </w:tcPr>
                <w:p w14:paraId="3DF1243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废塑料、废纸等</w:t>
                  </w:r>
                </w:p>
              </w:tc>
              <w:tc>
                <w:tcPr>
                  <w:tcW w:w="566" w:type="pct"/>
                  <w:vAlign w:val="center"/>
                </w:tcPr>
                <w:p w14:paraId="620D3EA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3</w:t>
                  </w:r>
                </w:p>
              </w:tc>
              <w:tc>
                <w:tcPr>
                  <w:tcW w:w="404" w:type="pct"/>
                  <w:vAlign w:val="center"/>
                </w:tcPr>
                <w:p w14:paraId="1A8A492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3A073A5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2" w:type="pct"/>
                  <w:vMerge w:val="restart"/>
                  <w:vAlign w:val="center"/>
                </w:tcPr>
                <w:p w14:paraId="7FDABD2D">
                  <w:pPr>
                    <w:adjustRightInd w:val="0"/>
                    <w:snapToGrid w:val="0"/>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color w:val="auto"/>
                      <w:sz w:val="21"/>
                      <w:szCs w:val="21"/>
                    </w:rPr>
                    <w:t>《固体废物鉴别标准通则》（GB34330-2017）</w:t>
                  </w:r>
                </w:p>
              </w:tc>
            </w:tr>
            <w:tr w14:paraId="2E95B1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70D2092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75" w:type="pct"/>
                  <w:vAlign w:val="center"/>
                </w:tcPr>
                <w:p w14:paraId="47BAE14B">
                  <w:pPr>
                    <w:adjustRightInd w:val="0"/>
                    <w:snapToGrid w:val="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b w:val="0"/>
                      <w:bCs/>
                      <w:color w:val="auto"/>
                      <w:sz w:val="21"/>
                      <w:szCs w:val="21"/>
                    </w:rPr>
                    <w:t>废</w:t>
                  </w:r>
                  <w:r>
                    <w:rPr>
                      <w:rFonts w:hint="eastAsia" w:ascii="Times New Roman" w:hAnsi="Times New Roman" w:eastAsia="宋体" w:cs="Times New Roman"/>
                      <w:b w:val="0"/>
                      <w:bCs/>
                      <w:color w:val="auto"/>
                      <w:sz w:val="21"/>
                      <w:szCs w:val="21"/>
                      <w:lang w:val="en-US" w:eastAsia="zh-CN"/>
                    </w:rPr>
                    <w:t>金刚砂</w:t>
                  </w:r>
                </w:p>
              </w:tc>
              <w:tc>
                <w:tcPr>
                  <w:tcW w:w="561" w:type="pct"/>
                  <w:vAlign w:val="center"/>
                </w:tcPr>
                <w:p w14:paraId="775ADA08">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喷砂</w:t>
                  </w:r>
                </w:p>
              </w:tc>
              <w:tc>
                <w:tcPr>
                  <w:tcW w:w="394" w:type="pct"/>
                  <w:vAlign w:val="center"/>
                </w:tcPr>
                <w:p w14:paraId="7A3C26C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552" w:type="pct"/>
                  <w:vAlign w:val="center"/>
                </w:tcPr>
                <w:p w14:paraId="7203B9E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金刚砂</w:t>
                  </w:r>
                </w:p>
              </w:tc>
              <w:tc>
                <w:tcPr>
                  <w:tcW w:w="566" w:type="pct"/>
                  <w:vAlign w:val="center"/>
                </w:tcPr>
                <w:p w14:paraId="0518496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0.3</w:t>
                  </w:r>
                </w:p>
              </w:tc>
              <w:tc>
                <w:tcPr>
                  <w:tcW w:w="404" w:type="pct"/>
                  <w:vAlign w:val="center"/>
                </w:tcPr>
                <w:p w14:paraId="4A29A87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0DBDE4DD">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2" w:type="pct"/>
                  <w:vMerge w:val="continue"/>
                  <w:vAlign w:val="center"/>
                </w:tcPr>
                <w:p w14:paraId="4364AF46">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603AEC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24EE9ED6">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75" w:type="pct"/>
                  <w:vAlign w:val="center"/>
                </w:tcPr>
                <w:p w14:paraId="33CB5B8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污水处理站污泥和浓液</w:t>
                  </w:r>
                </w:p>
              </w:tc>
              <w:tc>
                <w:tcPr>
                  <w:tcW w:w="561" w:type="pct"/>
                  <w:vAlign w:val="center"/>
                </w:tcPr>
                <w:p w14:paraId="703B312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w:t>
                  </w:r>
                </w:p>
              </w:tc>
              <w:tc>
                <w:tcPr>
                  <w:tcW w:w="394" w:type="pct"/>
                  <w:vAlign w:val="center"/>
                </w:tcPr>
                <w:p w14:paraId="6365034C">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半</w:t>
                  </w:r>
                  <w:r>
                    <w:rPr>
                      <w:rFonts w:hint="default" w:ascii="Times New Roman" w:hAnsi="Times New Roman" w:eastAsia="宋体" w:cs="Times New Roman"/>
                      <w:color w:val="auto"/>
                      <w:sz w:val="21"/>
                      <w:szCs w:val="21"/>
                    </w:rPr>
                    <w:t>固态</w:t>
                  </w:r>
                </w:p>
              </w:tc>
              <w:tc>
                <w:tcPr>
                  <w:tcW w:w="552" w:type="pct"/>
                  <w:vAlign w:val="center"/>
                </w:tcPr>
                <w:p w14:paraId="21FC4A55">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污泥</w:t>
                  </w:r>
                </w:p>
              </w:tc>
              <w:tc>
                <w:tcPr>
                  <w:tcW w:w="566" w:type="pct"/>
                  <w:vAlign w:val="center"/>
                </w:tcPr>
                <w:p w14:paraId="55F01A2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10.99</w:t>
                  </w:r>
                </w:p>
              </w:tc>
              <w:tc>
                <w:tcPr>
                  <w:tcW w:w="404" w:type="pct"/>
                  <w:vAlign w:val="center"/>
                </w:tcPr>
                <w:p w14:paraId="4F6646F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68307B2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2" w:type="pct"/>
                  <w:vMerge w:val="continue"/>
                  <w:vAlign w:val="center"/>
                </w:tcPr>
                <w:p w14:paraId="4CE023EB">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2F8D8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shd w:val="clear" w:color="auto" w:fill="auto"/>
                  <w:vAlign w:val="center"/>
                </w:tcPr>
                <w:p w14:paraId="6F3509C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675" w:type="pct"/>
                  <w:vAlign w:val="center"/>
                </w:tcPr>
                <w:p w14:paraId="1B534DB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废布袋</w:t>
                  </w:r>
                </w:p>
              </w:tc>
              <w:tc>
                <w:tcPr>
                  <w:tcW w:w="561" w:type="pct"/>
                  <w:shd w:val="clear" w:color="auto" w:fill="auto"/>
                  <w:vAlign w:val="center"/>
                </w:tcPr>
                <w:p w14:paraId="26098B95">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394" w:type="pct"/>
                  <w:shd w:val="clear" w:color="auto" w:fill="auto"/>
                  <w:vAlign w:val="center"/>
                </w:tcPr>
                <w:p w14:paraId="6A69498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52" w:type="pct"/>
                  <w:vAlign w:val="center"/>
                </w:tcPr>
                <w:p w14:paraId="754D4B8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566" w:type="pct"/>
                  <w:vAlign w:val="center"/>
                </w:tcPr>
                <w:p w14:paraId="3FBB814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404" w:type="pct"/>
                  <w:vAlign w:val="center"/>
                </w:tcPr>
                <w:p w14:paraId="5BC7B8C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43C165D9">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2" w:type="pct"/>
                  <w:vMerge w:val="continue"/>
                  <w:vAlign w:val="center"/>
                </w:tcPr>
                <w:p w14:paraId="639124AC">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3277CC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shd w:val="clear" w:color="auto" w:fill="auto"/>
                  <w:vAlign w:val="center"/>
                </w:tcPr>
                <w:p w14:paraId="772FC5D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675" w:type="pct"/>
                  <w:vAlign w:val="center"/>
                </w:tcPr>
                <w:p w14:paraId="4880471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布袋收尘</w:t>
                  </w:r>
                </w:p>
              </w:tc>
              <w:tc>
                <w:tcPr>
                  <w:tcW w:w="561" w:type="pct"/>
                  <w:shd w:val="clear" w:color="auto" w:fill="auto"/>
                  <w:vAlign w:val="center"/>
                </w:tcPr>
                <w:p w14:paraId="425DE98F">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394" w:type="pct"/>
                  <w:shd w:val="clear" w:color="auto" w:fill="auto"/>
                  <w:vAlign w:val="center"/>
                </w:tcPr>
                <w:p w14:paraId="36BFEBDF">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52" w:type="pct"/>
                  <w:vAlign w:val="center"/>
                </w:tcPr>
                <w:p w14:paraId="29E4E379">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颗粒物</w:t>
                  </w:r>
                </w:p>
              </w:tc>
              <w:tc>
                <w:tcPr>
                  <w:tcW w:w="566" w:type="pct"/>
                  <w:vAlign w:val="center"/>
                </w:tcPr>
                <w:p w14:paraId="515ACB1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w:t>
                  </w:r>
                </w:p>
              </w:tc>
              <w:tc>
                <w:tcPr>
                  <w:tcW w:w="404" w:type="pct"/>
                  <w:vAlign w:val="center"/>
                </w:tcPr>
                <w:p w14:paraId="4A6A25C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273B93C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2" w:type="pct"/>
                  <w:vMerge w:val="continue"/>
                  <w:vAlign w:val="center"/>
                </w:tcPr>
                <w:p w14:paraId="756E6E43">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3026DD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shd w:val="clear" w:color="auto" w:fill="auto"/>
                  <w:vAlign w:val="center"/>
                </w:tcPr>
                <w:p w14:paraId="28DEEDC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675" w:type="pct"/>
                  <w:shd w:val="clear" w:color="auto" w:fill="auto"/>
                  <w:vAlign w:val="center"/>
                </w:tcPr>
                <w:p w14:paraId="59533F6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废清洗剂桶</w:t>
                  </w:r>
                </w:p>
              </w:tc>
              <w:tc>
                <w:tcPr>
                  <w:tcW w:w="561" w:type="pct"/>
                  <w:shd w:val="clear" w:color="auto" w:fill="auto"/>
                  <w:vAlign w:val="center"/>
                </w:tcPr>
                <w:p w14:paraId="3318FAC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清洗</w:t>
                  </w:r>
                </w:p>
              </w:tc>
              <w:tc>
                <w:tcPr>
                  <w:tcW w:w="394" w:type="pct"/>
                  <w:shd w:val="clear" w:color="auto" w:fill="auto"/>
                  <w:vAlign w:val="center"/>
                </w:tcPr>
                <w:p w14:paraId="1EE7935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52" w:type="pct"/>
                  <w:shd w:val="clear" w:color="auto" w:fill="auto"/>
                  <w:vAlign w:val="center"/>
                </w:tcPr>
                <w:p w14:paraId="79F9398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清洗剂</w:t>
                  </w:r>
                </w:p>
              </w:tc>
              <w:tc>
                <w:tcPr>
                  <w:tcW w:w="566" w:type="pct"/>
                  <w:shd w:val="clear" w:color="auto" w:fill="auto"/>
                  <w:vAlign w:val="center"/>
                </w:tcPr>
                <w:p w14:paraId="77CB8E2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404" w:type="pct"/>
                  <w:shd w:val="clear" w:color="auto" w:fill="auto"/>
                  <w:vAlign w:val="center"/>
                </w:tcPr>
                <w:p w14:paraId="5E0586F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7" w:type="pct"/>
                  <w:vAlign w:val="center"/>
                </w:tcPr>
                <w:p w14:paraId="7A44190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2" w:type="pct"/>
                  <w:vMerge w:val="continue"/>
                  <w:vAlign w:val="center"/>
                </w:tcPr>
                <w:p w14:paraId="3EB561A1">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3CB84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255" w:type="pct"/>
                  <w:shd w:val="clear" w:color="auto" w:fill="auto"/>
                  <w:vAlign w:val="center"/>
                </w:tcPr>
                <w:p w14:paraId="6AE791F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7</w:t>
                  </w:r>
                </w:p>
              </w:tc>
              <w:tc>
                <w:tcPr>
                  <w:tcW w:w="675" w:type="pct"/>
                  <w:vAlign w:val="center"/>
                </w:tcPr>
                <w:p w14:paraId="3EC5D2D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废淬火油桶</w:t>
                  </w:r>
                </w:p>
              </w:tc>
              <w:tc>
                <w:tcPr>
                  <w:tcW w:w="561" w:type="pct"/>
                  <w:vAlign w:val="center"/>
                </w:tcPr>
                <w:p w14:paraId="100E515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淬火</w:t>
                  </w:r>
                </w:p>
              </w:tc>
              <w:tc>
                <w:tcPr>
                  <w:tcW w:w="394" w:type="pct"/>
                  <w:vAlign w:val="center"/>
                </w:tcPr>
                <w:p w14:paraId="6EAB7A6C">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2" w:type="pct"/>
                  <w:vAlign w:val="center"/>
                </w:tcPr>
                <w:p w14:paraId="6ABA63C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淬火油</w:t>
                  </w:r>
                </w:p>
              </w:tc>
              <w:tc>
                <w:tcPr>
                  <w:tcW w:w="566" w:type="pct"/>
                  <w:vAlign w:val="center"/>
                </w:tcPr>
                <w:p w14:paraId="1A1F965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404" w:type="pct"/>
                  <w:vAlign w:val="center"/>
                </w:tcPr>
                <w:p w14:paraId="79FAEE72">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3C2D621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2" w:type="pct"/>
                  <w:vMerge w:val="continue"/>
                  <w:vAlign w:val="center"/>
                </w:tcPr>
                <w:p w14:paraId="61CA41EC">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047616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shd w:val="clear" w:color="auto" w:fill="auto"/>
                  <w:vAlign w:val="center"/>
                </w:tcPr>
                <w:p w14:paraId="48ACA9F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8</w:t>
                  </w:r>
                </w:p>
              </w:tc>
              <w:tc>
                <w:tcPr>
                  <w:tcW w:w="675" w:type="pct"/>
                  <w:vAlign w:val="center"/>
                </w:tcPr>
                <w:p w14:paraId="2E8BCAA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废淬火油</w:t>
                  </w:r>
                </w:p>
              </w:tc>
              <w:tc>
                <w:tcPr>
                  <w:tcW w:w="561" w:type="pct"/>
                  <w:vAlign w:val="center"/>
                </w:tcPr>
                <w:p w14:paraId="07F8AEE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淬火</w:t>
                  </w:r>
                </w:p>
              </w:tc>
              <w:tc>
                <w:tcPr>
                  <w:tcW w:w="394" w:type="pct"/>
                  <w:vAlign w:val="center"/>
                </w:tcPr>
                <w:p w14:paraId="7F04142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液态</w:t>
                  </w:r>
                </w:p>
              </w:tc>
              <w:tc>
                <w:tcPr>
                  <w:tcW w:w="552" w:type="pct"/>
                  <w:vAlign w:val="center"/>
                </w:tcPr>
                <w:p w14:paraId="021E79C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w:t>
                  </w:r>
                </w:p>
              </w:tc>
              <w:tc>
                <w:tcPr>
                  <w:tcW w:w="566" w:type="pct"/>
                  <w:vAlign w:val="center"/>
                </w:tcPr>
                <w:p w14:paraId="5AED921E">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404" w:type="pct"/>
                  <w:vAlign w:val="center"/>
                </w:tcPr>
                <w:p w14:paraId="7C34511C">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3E3500C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2" w:type="pct"/>
                  <w:vMerge w:val="continue"/>
                  <w:vAlign w:val="center"/>
                </w:tcPr>
                <w:p w14:paraId="44876C59">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22C904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shd w:val="clear" w:color="auto" w:fill="auto"/>
                  <w:vAlign w:val="center"/>
                </w:tcPr>
                <w:p w14:paraId="53121AE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9</w:t>
                  </w:r>
                </w:p>
              </w:tc>
              <w:tc>
                <w:tcPr>
                  <w:tcW w:w="675" w:type="pct"/>
                  <w:vAlign w:val="center"/>
                </w:tcPr>
                <w:p w14:paraId="6C482DD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废防锈油桶</w:t>
                  </w:r>
                </w:p>
              </w:tc>
              <w:tc>
                <w:tcPr>
                  <w:tcW w:w="561" w:type="pct"/>
                  <w:vAlign w:val="center"/>
                </w:tcPr>
                <w:p w14:paraId="05233E7E">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上油</w:t>
                  </w:r>
                </w:p>
              </w:tc>
              <w:tc>
                <w:tcPr>
                  <w:tcW w:w="394" w:type="pct"/>
                  <w:shd w:val="clear" w:color="auto" w:fill="auto"/>
                  <w:vAlign w:val="center"/>
                </w:tcPr>
                <w:p w14:paraId="1974E93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52" w:type="pct"/>
                  <w:vAlign w:val="center"/>
                </w:tcPr>
                <w:p w14:paraId="5785CB0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防锈油</w:t>
                  </w:r>
                </w:p>
              </w:tc>
              <w:tc>
                <w:tcPr>
                  <w:tcW w:w="566" w:type="pct"/>
                  <w:vAlign w:val="center"/>
                </w:tcPr>
                <w:p w14:paraId="4A29146B">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404" w:type="pct"/>
                  <w:vAlign w:val="center"/>
                </w:tcPr>
                <w:p w14:paraId="0F9CDB9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47" w:type="pct"/>
                  <w:vAlign w:val="center"/>
                </w:tcPr>
                <w:p w14:paraId="14B701D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2" w:type="pct"/>
                  <w:vMerge w:val="continue"/>
                  <w:vAlign w:val="center"/>
                </w:tcPr>
                <w:p w14:paraId="1BDF5F06">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4B8E17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04EB739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675" w:type="pct"/>
                  <w:vAlign w:val="center"/>
                </w:tcPr>
                <w:p w14:paraId="11A9631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废防锈油</w:t>
                  </w:r>
                </w:p>
              </w:tc>
              <w:tc>
                <w:tcPr>
                  <w:tcW w:w="561" w:type="pct"/>
                  <w:vAlign w:val="center"/>
                </w:tcPr>
                <w:p w14:paraId="5756C025">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上油</w:t>
                  </w:r>
                </w:p>
              </w:tc>
              <w:tc>
                <w:tcPr>
                  <w:tcW w:w="394" w:type="pct"/>
                  <w:shd w:val="clear" w:color="auto" w:fill="auto"/>
                  <w:vAlign w:val="center"/>
                </w:tcPr>
                <w:p w14:paraId="5229F18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液态</w:t>
                  </w:r>
                </w:p>
              </w:tc>
              <w:tc>
                <w:tcPr>
                  <w:tcW w:w="552" w:type="pct"/>
                  <w:vAlign w:val="center"/>
                </w:tcPr>
                <w:p w14:paraId="6A6E174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防锈油</w:t>
                  </w:r>
                </w:p>
              </w:tc>
              <w:tc>
                <w:tcPr>
                  <w:tcW w:w="566" w:type="pct"/>
                  <w:vAlign w:val="center"/>
                </w:tcPr>
                <w:p w14:paraId="30C5B7B1">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404" w:type="pct"/>
                  <w:vAlign w:val="center"/>
                </w:tcPr>
                <w:p w14:paraId="2E04FD8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7" w:type="pct"/>
                  <w:vAlign w:val="center"/>
                </w:tcPr>
                <w:p w14:paraId="56E0B26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42" w:type="pct"/>
                  <w:vMerge w:val="continue"/>
                  <w:vAlign w:val="center"/>
                </w:tcPr>
                <w:p w14:paraId="4F14A4F7">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0805B5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6D57792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675" w:type="pct"/>
                  <w:shd w:val="clear" w:color="auto" w:fill="auto"/>
                  <w:vAlign w:val="center"/>
                </w:tcPr>
                <w:p w14:paraId="27B8D94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561" w:type="pct"/>
                  <w:shd w:val="clear" w:color="auto" w:fill="auto"/>
                  <w:vAlign w:val="center"/>
                </w:tcPr>
                <w:p w14:paraId="15E2B16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394" w:type="pct"/>
                  <w:shd w:val="clear" w:color="auto" w:fill="auto"/>
                  <w:vAlign w:val="center"/>
                </w:tcPr>
                <w:p w14:paraId="07B2B73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552" w:type="pct"/>
                  <w:shd w:val="clear" w:color="auto" w:fill="auto"/>
                  <w:vAlign w:val="center"/>
                </w:tcPr>
                <w:p w14:paraId="18349B2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有机物</w:t>
                  </w:r>
                </w:p>
              </w:tc>
              <w:tc>
                <w:tcPr>
                  <w:tcW w:w="566" w:type="pct"/>
                  <w:shd w:val="clear" w:color="auto" w:fill="auto"/>
                  <w:vAlign w:val="center"/>
                </w:tcPr>
                <w:p w14:paraId="5ED19E4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3.445</w:t>
                  </w:r>
                </w:p>
              </w:tc>
              <w:tc>
                <w:tcPr>
                  <w:tcW w:w="404" w:type="pct"/>
                  <w:vAlign w:val="center"/>
                </w:tcPr>
                <w:p w14:paraId="0781FD5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7" w:type="pct"/>
                  <w:vAlign w:val="center"/>
                </w:tcPr>
                <w:p w14:paraId="4E70FC7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1042" w:type="pct"/>
                  <w:vMerge w:val="continue"/>
                  <w:vAlign w:val="center"/>
                </w:tcPr>
                <w:p w14:paraId="0941BF30">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r w14:paraId="7ED7E1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55" w:type="pct"/>
                  <w:vAlign w:val="center"/>
                </w:tcPr>
                <w:p w14:paraId="482C9AF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75" w:type="pct"/>
                  <w:shd w:val="clear" w:color="auto" w:fill="auto"/>
                  <w:vAlign w:val="center"/>
                </w:tcPr>
                <w:p w14:paraId="5DC567F9">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废含油抹布</w:t>
                  </w:r>
                </w:p>
              </w:tc>
              <w:tc>
                <w:tcPr>
                  <w:tcW w:w="561" w:type="pct"/>
                  <w:shd w:val="clear" w:color="auto" w:fill="auto"/>
                  <w:vAlign w:val="center"/>
                </w:tcPr>
                <w:p w14:paraId="08D49100">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394" w:type="pct"/>
                  <w:shd w:val="clear" w:color="auto" w:fill="auto"/>
                  <w:vAlign w:val="center"/>
                </w:tcPr>
                <w:p w14:paraId="00CCE2D3">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552" w:type="pct"/>
                  <w:shd w:val="clear" w:color="auto" w:fill="auto"/>
                  <w:vAlign w:val="center"/>
                </w:tcPr>
                <w:p w14:paraId="493D49C5">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油</w:t>
                  </w:r>
                </w:p>
              </w:tc>
              <w:tc>
                <w:tcPr>
                  <w:tcW w:w="566" w:type="pct"/>
                  <w:shd w:val="clear" w:color="auto" w:fill="auto"/>
                  <w:vAlign w:val="center"/>
                </w:tcPr>
                <w:p w14:paraId="69E6CFF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0.156</w:t>
                  </w:r>
                </w:p>
              </w:tc>
              <w:tc>
                <w:tcPr>
                  <w:tcW w:w="404" w:type="pct"/>
                  <w:vAlign w:val="center"/>
                </w:tcPr>
                <w:p w14:paraId="1CBD5F4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w:t>
                  </w:r>
                </w:p>
              </w:tc>
              <w:tc>
                <w:tcPr>
                  <w:tcW w:w="547" w:type="pct"/>
                  <w:vAlign w:val="center"/>
                </w:tcPr>
                <w:p w14:paraId="5ACB6A0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1042" w:type="pct"/>
                  <w:vMerge w:val="continue"/>
                  <w:vAlign w:val="center"/>
                </w:tcPr>
                <w:p w14:paraId="1241F649">
                  <w:pPr>
                    <w:adjustRightInd w:val="0"/>
                    <w:snapToGrid w:val="0"/>
                    <w:ind w:left="-105" w:leftChars="-50" w:right="-105" w:rightChars="-50"/>
                    <w:jc w:val="center"/>
                    <w:rPr>
                      <w:rFonts w:hint="default" w:ascii="Times New Roman" w:hAnsi="Times New Roman" w:eastAsia="宋体" w:cs="Times New Roman"/>
                      <w:color w:val="auto"/>
                      <w:sz w:val="21"/>
                      <w:szCs w:val="21"/>
                    </w:rPr>
                  </w:pPr>
                </w:p>
              </w:tc>
            </w:tr>
          </w:tbl>
          <w:p w14:paraId="3C7FF10E">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3、固体废物产生情况汇总</w:t>
            </w:r>
          </w:p>
          <w:p w14:paraId="34E52DC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根据《国家危险废物名录》（2021年版），判定建设项目固体废物是否属于危险固废。本项目固体废物产生情况汇总见表4-</w:t>
            </w:r>
            <w:r>
              <w:rPr>
                <w:rFonts w:hint="eastAsia" w:ascii="Times New Roman" w:hAnsi="Times New Roman" w:eastAsia="宋体" w:cs="Times New Roman"/>
                <w:color w:val="auto"/>
                <w:sz w:val="24"/>
                <w:lang w:val="en-US" w:eastAsia="zh-CN"/>
              </w:rPr>
              <w:t>22</w:t>
            </w:r>
            <w:r>
              <w:rPr>
                <w:rFonts w:hint="default" w:ascii="Times New Roman" w:hAnsi="Times New Roman" w:eastAsia="宋体" w:cs="Times New Roman"/>
                <w:color w:val="auto"/>
                <w:sz w:val="24"/>
              </w:rPr>
              <w:t>。</w:t>
            </w:r>
          </w:p>
          <w:p w14:paraId="39373B35">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2  固体废物类别判定表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123"/>
              <w:gridCol w:w="570"/>
              <w:gridCol w:w="772"/>
              <w:gridCol w:w="498"/>
              <w:gridCol w:w="1026"/>
              <w:gridCol w:w="897"/>
              <w:gridCol w:w="797"/>
              <w:gridCol w:w="1337"/>
              <w:gridCol w:w="901"/>
            </w:tblGrid>
            <w:tr w14:paraId="2414C7A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473EFAEF">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672" w:type="pct"/>
                  <w:vAlign w:val="center"/>
                </w:tcPr>
                <w:p w14:paraId="1E7050BB">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固废名称</w:t>
                  </w:r>
                </w:p>
              </w:tc>
              <w:tc>
                <w:tcPr>
                  <w:tcW w:w="341" w:type="pct"/>
                  <w:vAlign w:val="center"/>
                </w:tcPr>
                <w:p w14:paraId="51CC43C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属性</w:t>
                  </w:r>
                </w:p>
              </w:tc>
              <w:tc>
                <w:tcPr>
                  <w:tcW w:w="462" w:type="pct"/>
                  <w:vAlign w:val="center"/>
                </w:tcPr>
                <w:p w14:paraId="047C1432">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产生工序</w:t>
                  </w:r>
                </w:p>
              </w:tc>
              <w:tc>
                <w:tcPr>
                  <w:tcW w:w="298" w:type="pct"/>
                  <w:vAlign w:val="center"/>
                </w:tcPr>
                <w:p w14:paraId="2C219602">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形态</w:t>
                  </w:r>
                </w:p>
              </w:tc>
              <w:tc>
                <w:tcPr>
                  <w:tcW w:w="614" w:type="pct"/>
                  <w:vAlign w:val="center"/>
                </w:tcPr>
                <w:p w14:paraId="41C18F6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主要成分</w:t>
                  </w:r>
                </w:p>
              </w:tc>
              <w:tc>
                <w:tcPr>
                  <w:tcW w:w="537" w:type="pct"/>
                  <w:vAlign w:val="center"/>
                </w:tcPr>
                <w:p w14:paraId="4BF6819D">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危险特性</w:t>
                  </w:r>
                </w:p>
              </w:tc>
              <w:tc>
                <w:tcPr>
                  <w:tcW w:w="477" w:type="pct"/>
                  <w:vAlign w:val="center"/>
                </w:tcPr>
                <w:p w14:paraId="00BF82B0">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废物类别</w:t>
                  </w:r>
                </w:p>
              </w:tc>
              <w:tc>
                <w:tcPr>
                  <w:tcW w:w="800" w:type="pct"/>
                  <w:vAlign w:val="center"/>
                </w:tcPr>
                <w:p w14:paraId="3AA9E1E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废物代码</w:t>
                  </w:r>
                </w:p>
              </w:tc>
              <w:tc>
                <w:tcPr>
                  <w:tcW w:w="539" w:type="pct"/>
                  <w:vAlign w:val="center"/>
                </w:tcPr>
                <w:p w14:paraId="01AEF44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估算产生量（t/a）</w:t>
                  </w:r>
                </w:p>
              </w:tc>
            </w:tr>
            <w:tr w14:paraId="58074A4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7247962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672" w:type="pct"/>
                  <w:shd w:val="clear" w:color="auto" w:fill="auto"/>
                  <w:vAlign w:val="center"/>
                </w:tcPr>
                <w:p w14:paraId="4B8BF25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废清洗剂桶</w:t>
                  </w:r>
                </w:p>
              </w:tc>
              <w:tc>
                <w:tcPr>
                  <w:tcW w:w="341" w:type="pct"/>
                  <w:vMerge w:val="restart"/>
                  <w:shd w:val="clear" w:color="auto" w:fill="auto"/>
                  <w:vAlign w:val="center"/>
                </w:tcPr>
                <w:p w14:paraId="7F68C4D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危险废物</w:t>
                  </w:r>
                </w:p>
              </w:tc>
              <w:tc>
                <w:tcPr>
                  <w:tcW w:w="462" w:type="pct"/>
                  <w:shd w:val="clear" w:color="auto" w:fill="auto"/>
                  <w:vAlign w:val="center"/>
                </w:tcPr>
                <w:p w14:paraId="4D97CADC">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清洗</w:t>
                  </w:r>
                </w:p>
              </w:tc>
              <w:tc>
                <w:tcPr>
                  <w:tcW w:w="298" w:type="pct"/>
                  <w:shd w:val="clear" w:color="auto" w:fill="auto"/>
                  <w:vAlign w:val="center"/>
                </w:tcPr>
                <w:p w14:paraId="7148ACD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14" w:type="pct"/>
                  <w:shd w:val="clear" w:color="auto" w:fill="auto"/>
                  <w:vAlign w:val="center"/>
                </w:tcPr>
                <w:p w14:paraId="248757D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清洗剂</w:t>
                  </w:r>
                </w:p>
              </w:tc>
              <w:tc>
                <w:tcPr>
                  <w:tcW w:w="537" w:type="pct"/>
                  <w:shd w:val="clear" w:color="auto" w:fill="auto"/>
                  <w:vAlign w:val="center"/>
                </w:tcPr>
                <w:p w14:paraId="0503A59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T/In</w:t>
                  </w:r>
                </w:p>
              </w:tc>
              <w:tc>
                <w:tcPr>
                  <w:tcW w:w="477" w:type="pct"/>
                  <w:shd w:val="clear" w:color="auto" w:fill="auto"/>
                  <w:vAlign w:val="center"/>
                </w:tcPr>
                <w:p w14:paraId="0BC4339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HW49</w:t>
                  </w:r>
                </w:p>
              </w:tc>
              <w:tc>
                <w:tcPr>
                  <w:tcW w:w="800" w:type="pct"/>
                  <w:shd w:val="clear" w:color="auto" w:fill="auto"/>
                  <w:vAlign w:val="center"/>
                </w:tcPr>
                <w:p w14:paraId="581C080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900-041-49</w:t>
                  </w:r>
                </w:p>
              </w:tc>
              <w:tc>
                <w:tcPr>
                  <w:tcW w:w="539" w:type="pct"/>
                  <w:vAlign w:val="center"/>
                </w:tcPr>
                <w:p w14:paraId="384AB0A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r>
            <w:tr w14:paraId="3EFC77C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23D470E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672" w:type="pct"/>
                  <w:vAlign w:val="center"/>
                </w:tcPr>
                <w:p w14:paraId="3F4BC00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淬火油</w:t>
                  </w:r>
                  <w:r>
                    <w:rPr>
                      <w:rFonts w:hint="default" w:ascii="Times New Roman" w:hAnsi="Times New Roman" w:eastAsia="宋体" w:cs="Times New Roman"/>
                      <w:color w:val="auto"/>
                      <w:sz w:val="21"/>
                      <w:szCs w:val="21"/>
                    </w:rPr>
                    <w:t>桶</w:t>
                  </w:r>
                </w:p>
              </w:tc>
              <w:tc>
                <w:tcPr>
                  <w:tcW w:w="341" w:type="pct"/>
                  <w:vMerge w:val="continue"/>
                  <w:vAlign w:val="center"/>
                </w:tcPr>
                <w:p w14:paraId="7DDC6877">
                  <w:pPr>
                    <w:jc w:val="center"/>
                    <w:rPr>
                      <w:rFonts w:hint="default" w:ascii="Times New Roman" w:hAnsi="Times New Roman" w:eastAsia="宋体" w:cs="Times New Roman"/>
                      <w:color w:val="auto"/>
                      <w:kern w:val="2"/>
                      <w:sz w:val="21"/>
                      <w:szCs w:val="21"/>
                      <w:lang w:val="en-US" w:eastAsia="zh-CN" w:bidi="ar-SA"/>
                    </w:rPr>
                  </w:pPr>
                </w:p>
              </w:tc>
              <w:tc>
                <w:tcPr>
                  <w:tcW w:w="462" w:type="pct"/>
                  <w:vAlign w:val="center"/>
                </w:tcPr>
                <w:p w14:paraId="4A44E1AF">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淬火</w:t>
                  </w:r>
                </w:p>
              </w:tc>
              <w:tc>
                <w:tcPr>
                  <w:tcW w:w="298" w:type="pct"/>
                  <w:vAlign w:val="center"/>
                </w:tcPr>
                <w:p w14:paraId="5A69E69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w:t>
                  </w:r>
                </w:p>
              </w:tc>
              <w:tc>
                <w:tcPr>
                  <w:tcW w:w="614" w:type="pct"/>
                  <w:vAlign w:val="center"/>
                </w:tcPr>
                <w:p w14:paraId="211AE75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淬火油</w:t>
                  </w:r>
                </w:p>
              </w:tc>
              <w:tc>
                <w:tcPr>
                  <w:tcW w:w="537" w:type="pct"/>
                  <w:vAlign w:val="center"/>
                </w:tcPr>
                <w:p w14:paraId="68B681F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I</w:t>
                  </w:r>
                </w:p>
              </w:tc>
              <w:tc>
                <w:tcPr>
                  <w:tcW w:w="477" w:type="pct"/>
                  <w:vAlign w:val="center"/>
                </w:tcPr>
                <w:p w14:paraId="6518842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800" w:type="pct"/>
                  <w:vAlign w:val="center"/>
                </w:tcPr>
                <w:p w14:paraId="23152D4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900-249-08</w:t>
                  </w:r>
                </w:p>
              </w:tc>
              <w:tc>
                <w:tcPr>
                  <w:tcW w:w="539" w:type="pct"/>
                  <w:vAlign w:val="center"/>
                </w:tcPr>
                <w:p w14:paraId="0DEB7D2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w:t>
                  </w:r>
                </w:p>
              </w:tc>
            </w:tr>
            <w:tr w14:paraId="127AD04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6CD6CC8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672" w:type="pct"/>
                  <w:vAlign w:val="center"/>
                </w:tcPr>
                <w:p w14:paraId="45EC293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淬火油</w:t>
                  </w:r>
                </w:p>
              </w:tc>
              <w:tc>
                <w:tcPr>
                  <w:tcW w:w="341" w:type="pct"/>
                  <w:vMerge w:val="continue"/>
                  <w:vAlign w:val="center"/>
                </w:tcPr>
                <w:p w14:paraId="277E2798">
                  <w:pPr>
                    <w:jc w:val="center"/>
                    <w:rPr>
                      <w:rFonts w:hint="default" w:ascii="Times New Roman" w:hAnsi="Times New Roman" w:eastAsia="宋体" w:cs="Times New Roman"/>
                      <w:color w:val="auto"/>
                      <w:kern w:val="2"/>
                      <w:sz w:val="21"/>
                      <w:szCs w:val="21"/>
                      <w:lang w:val="en-US" w:eastAsia="zh-CN" w:bidi="ar-SA"/>
                    </w:rPr>
                  </w:pPr>
                </w:p>
              </w:tc>
              <w:tc>
                <w:tcPr>
                  <w:tcW w:w="462" w:type="pct"/>
                  <w:vAlign w:val="center"/>
                </w:tcPr>
                <w:p w14:paraId="45CA30FF">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淬火</w:t>
                  </w:r>
                </w:p>
              </w:tc>
              <w:tc>
                <w:tcPr>
                  <w:tcW w:w="298" w:type="pct"/>
                  <w:vAlign w:val="center"/>
                </w:tcPr>
                <w:p w14:paraId="759EE13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液</w:t>
                  </w:r>
                </w:p>
              </w:tc>
              <w:tc>
                <w:tcPr>
                  <w:tcW w:w="614" w:type="pct"/>
                  <w:vAlign w:val="center"/>
                </w:tcPr>
                <w:p w14:paraId="588F811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矿物油</w:t>
                  </w:r>
                </w:p>
              </w:tc>
              <w:tc>
                <w:tcPr>
                  <w:tcW w:w="537" w:type="pct"/>
                  <w:vAlign w:val="center"/>
                </w:tcPr>
                <w:p w14:paraId="5751E92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w:t>
                  </w:r>
                </w:p>
              </w:tc>
              <w:tc>
                <w:tcPr>
                  <w:tcW w:w="477" w:type="pct"/>
                  <w:vAlign w:val="center"/>
                </w:tcPr>
                <w:p w14:paraId="5CEDBE6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HW08</w:t>
                  </w:r>
                </w:p>
              </w:tc>
              <w:tc>
                <w:tcPr>
                  <w:tcW w:w="800" w:type="pct"/>
                  <w:vAlign w:val="center"/>
                </w:tcPr>
                <w:p w14:paraId="73B3B49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900-203-08</w:t>
                  </w:r>
                </w:p>
              </w:tc>
              <w:tc>
                <w:tcPr>
                  <w:tcW w:w="539" w:type="pct"/>
                  <w:vAlign w:val="center"/>
                </w:tcPr>
                <w:p w14:paraId="6DEAEFD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r>
            <w:tr w14:paraId="58C210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7145BCA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4</w:t>
                  </w:r>
                </w:p>
              </w:tc>
              <w:tc>
                <w:tcPr>
                  <w:tcW w:w="672" w:type="pct"/>
                  <w:vAlign w:val="center"/>
                </w:tcPr>
                <w:p w14:paraId="74EC5AEE">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废防锈油桶</w:t>
                  </w:r>
                </w:p>
              </w:tc>
              <w:tc>
                <w:tcPr>
                  <w:tcW w:w="341" w:type="pct"/>
                  <w:vMerge w:val="continue"/>
                  <w:vAlign w:val="center"/>
                </w:tcPr>
                <w:p w14:paraId="1748DCFB">
                  <w:pPr>
                    <w:jc w:val="center"/>
                    <w:rPr>
                      <w:rFonts w:hint="default" w:ascii="Times New Roman" w:hAnsi="Times New Roman" w:eastAsia="宋体" w:cs="Times New Roman"/>
                      <w:color w:val="auto"/>
                      <w:kern w:val="2"/>
                      <w:sz w:val="21"/>
                      <w:szCs w:val="21"/>
                      <w:lang w:val="en-US" w:eastAsia="zh-CN" w:bidi="ar-SA"/>
                    </w:rPr>
                  </w:pPr>
                </w:p>
              </w:tc>
              <w:tc>
                <w:tcPr>
                  <w:tcW w:w="462" w:type="pct"/>
                  <w:vAlign w:val="center"/>
                </w:tcPr>
                <w:p w14:paraId="76FD407C">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上油</w:t>
                  </w:r>
                </w:p>
              </w:tc>
              <w:tc>
                <w:tcPr>
                  <w:tcW w:w="298" w:type="pct"/>
                  <w:shd w:val="clear" w:color="auto" w:fill="auto"/>
                  <w:vAlign w:val="center"/>
                </w:tcPr>
                <w:p w14:paraId="1307FCB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14" w:type="pct"/>
                  <w:vAlign w:val="center"/>
                </w:tcPr>
                <w:p w14:paraId="260CF234">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防锈油</w:t>
                  </w:r>
                </w:p>
              </w:tc>
              <w:tc>
                <w:tcPr>
                  <w:tcW w:w="537" w:type="pct"/>
                  <w:shd w:val="clear" w:color="auto" w:fill="auto"/>
                  <w:vAlign w:val="center"/>
                </w:tcPr>
                <w:p w14:paraId="7D61DA9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T</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I</w:t>
                  </w:r>
                </w:p>
              </w:tc>
              <w:tc>
                <w:tcPr>
                  <w:tcW w:w="477" w:type="pct"/>
                  <w:shd w:val="clear" w:color="auto" w:fill="auto"/>
                  <w:vAlign w:val="center"/>
                </w:tcPr>
                <w:p w14:paraId="4A02131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800" w:type="pct"/>
                  <w:shd w:val="clear" w:color="auto" w:fill="auto"/>
                  <w:vAlign w:val="center"/>
                </w:tcPr>
                <w:p w14:paraId="57A9EE8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900-249-08</w:t>
                  </w:r>
                </w:p>
              </w:tc>
              <w:tc>
                <w:tcPr>
                  <w:tcW w:w="539" w:type="pct"/>
                  <w:vAlign w:val="center"/>
                </w:tcPr>
                <w:p w14:paraId="0DEA3AF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r>
            <w:tr w14:paraId="3C2E391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6AA7679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672" w:type="pct"/>
                  <w:vAlign w:val="center"/>
                </w:tcPr>
                <w:p w14:paraId="7E2B9603">
                  <w:pPr>
                    <w:adjustRightInd w:val="0"/>
                    <w:snapToGrid w:val="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废防锈油</w:t>
                  </w:r>
                </w:p>
              </w:tc>
              <w:tc>
                <w:tcPr>
                  <w:tcW w:w="341" w:type="pct"/>
                  <w:vMerge w:val="continue"/>
                  <w:vAlign w:val="center"/>
                </w:tcPr>
                <w:p w14:paraId="796342DE">
                  <w:pPr>
                    <w:jc w:val="center"/>
                    <w:rPr>
                      <w:rFonts w:hint="default" w:ascii="Times New Roman" w:hAnsi="Times New Roman" w:eastAsia="宋体" w:cs="Times New Roman"/>
                      <w:color w:val="auto"/>
                      <w:kern w:val="2"/>
                      <w:sz w:val="21"/>
                      <w:szCs w:val="21"/>
                      <w:lang w:val="en-US" w:eastAsia="zh-CN" w:bidi="ar-SA"/>
                    </w:rPr>
                  </w:pPr>
                </w:p>
              </w:tc>
              <w:tc>
                <w:tcPr>
                  <w:tcW w:w="462" w:type="pct"/>
                  <w:vAlign w:val="center"/>
                </w:tcPr>
                <w:p w14:paraId="54704A8A">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上油</w:t>
                  </w:r>
                </w:p>
              </w:tc>
              <w:tc>
                <w:tcPr>
                  <w:tcW w:w="298" w:type="pct"/>
                  <w:shd w:val="clear" w:color="auto" w:fill="auto"/>
                  <w:vAlign w:val="center"/>
                </w:tcPr>
                <w:p w14:paraId="15267C3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液态</w:t>
                  </w:r>
                </w:p>
              </w:tc>
              <w:tc>
                <w:tcPr>
                  <w:tcW w:w="614" w:type="pct"/>
                  <w:vAlign w:val="center"/>
                </w:tcPr>
                <w:p w14:paraId="48F7C8E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防锈油</w:t>
                  </w:r>
                </w:p>
              </w:tc>
              <w:tc>
                <w:tcPr>
                  <w:tcW w:w="537" w:type="pct"/>
                  <w:vAlign w:val="center"/>
                </w:tcPr>
                <w:p w14:paraId="294D388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I</w:t>
                  </w:r>
                </w:p>
              </w:tc>
              <w:tc>
                <w:tcPr>
                  <w:tcW w:w="477" w:type="pct"/>
                  <w:vAlign w:val="center"/>
                </w:tcPr>
                <w:p w14:paraId="32A8ED6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800" w:type="pct"/>
                  <w:vAlign w:val="center"/>
                </w:tcPr>
                <w:p w14:paraId="2B6BD6B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900-216-08</w:t>
                  </w:r>
                </w:p>
              </w:tc>
              <w:tc>
                <w:tcPr>
                  <w:tcW w:w="539" w:type="pct"/>
                  <w:vAlign w:val="center"/>
                </w:tcPr>
                <w:p w14:paraId="648FB4AA">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r>
            <w:tr w14:paraId="17DB155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23894D8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6</w:t>
                  </w:r>
                </w:p>
              </w:tc>
              <w:tc>
                <w:tcPr>
                  <w:tcW w:w="672" w:type="pct"/>
                  <w:vAlign w:val="center"/>
                </w:tcPr>
                <w:p w14:paraId="66AECBEA">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废活性炭</w:t>
                  </w:r>
                </w:p>
              </w:tc>
              <w:tc>
                <w:tcPr>
                  <w:tcW w:w="341" w:type="pct"/>
                  <w:vMerge w:val="continue"/>
                  <w:vAlign w:val="center"/>
                </w:tcPr>
                <w:p w14:paraId="2C31FC16">
                  <w:pPr>
                    <w:jc w:val="center"/>
                    <w:rPr>
                      <w:rFonts w:hint="default" w:ascii="Times New Roman" w:hAnsi="Times New Roman" w:eastAsia="宋体" w:cs="Times New Roman"/>
                      <w:color w:val="auto"/>
                      <w:kern w:val="2"/>
                      <w:sz w:val="21"/>
                      <w:szCs w:val="21"/>
                      <w:lang w:val="en-US" w:eastAsia="zh-CN" w:bidi="ar-SA"/>
                    </w:rPr>
                  </w:pPr>
                </w:p>
              </w:tc>
              <w:tc>
                <w:tcPr>
                  <w:tcW w:w="462" w:type="pct"/>
                  <w:vAlign w:val="center"/>
                </w:tcPr>
                <w:p w14:paraId="351062DE">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废气处理</w:t>
                  </w:r>
                </w:p>
              </w:tc>
              <w:tc>
                <w:tcPr>
                  <w:tcW w:w="298" w:type="pct"/>
                  <w:vAlign w:val="center"/>
                </w:tcPr>
                <w:p w14:paraId="4A4435A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w:t>
                  </w:r>
                </w:p>
              </w:tc>
              <w:tc>
                <w:tcPr>
                  <w:tcW w:w="614" w:type="pct"/>
                  <w:vAlign w:val="center"/>
                </w:tcPr>
                <w:p w14:paraId="33435DA4">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有机物</w:t>
                  </w:r>
                </w:p>
              </w:tc>
              <w:tc>
                <w:tcPr>
                  <w:tcW w:w="537" w:type="pct"/>
                  <w:vAlign w:val="center"/>
                </w:tcPr>
                <w:p w14:paraId="6E03CFB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color w:val="auto"/>
                      <w:kern w:val="0"/>
                      <w:sz w:val="21"/>
                      <w:szCs w:val="21"/>
                      <w:u w:val="none"/>
                      <w:lang w:val="en-US" w:eastAsia="zh-CN" w:bidi="ar"/>
                    </w:rPr>
                    <w:t>T/In</w:t>
                  </w:r>
                </w:p>
              </w:tc>
              <w:tc>
                <w:tcPr>
                  <w:tcW w:w="477" w:type="pct"/>
                  <w:vAlign w:val="center"/>
                </w:tcPr>
                <w:p w14:paraId="4FDABF24">
                  <w:pPr>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w:t>
                  </w:r>
                </w:p>
              </w:tc>
              <w:tc>
                <w:tcPr>
                  <w:tcW w:w="800" w:type="pct"/>
                  <w:vAlign w:val="center"/>
                </w:tcPr>
                <w:p w14:paraId="2EDC598E">
                  <w:pPr>
                    <w:topLinePun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rPr>
                    <w:t>-49</w:t>
                  </w:r>
                </w:p>
              </w:tc>
              <w:tc>
                <w:tcPr>
                  <w:tcW w:w="539" w:type="pct"/>
                  <w:vAlign w:val="center"/>
                </w:tcPr>
                <w:p w14:paraId="5EA2210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3.445</w:t>
                  </w:r>
                </w:p>
              </w:tc>
            </w:tr>
            <w:tr w14:paraId="3E2914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6A7E86DC">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672" w:type="pct"/>
                  <w:vAlign w:val="center"/>
                </w:tcPr>
                <w:p w14:paraId="2D5CD954">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废含油抹布</w:t>
                  </w:r>
                </w:p>
              </w:tc>
              <w:tc>
                <w:tcPr>
                  <w:tcW w:w="341" w:type="pct"/>
                  <w:vMerge w:val="continue"/>
                  <w:vAlign w:val="center"/>
                </w:tcPr>
                <w:p w14:paraId="13B003B7">
                  <w:pPr>
                    <w:jc w:val="center"/>
                    <w:rPr>
                      <w:rFonts w:hint="default" w:ascii="Times New Roman" w:hAnsi="Times New Roman" w:eastAsia="宋体" w:cs="Times New Roman"/>
                      <w:color w:val="auto"/>
                      <w:kern w:val="2"/>
                      <w:sz w:val="21"/>
                      <w:szCs w:val="21"/>
                      <w:lang w:val="en-US" w:eastAsia="zh-CN" w:bidi="ar-SA"/>
                    </w:rPr>
                  </w:pPr>
                </w:p>
              </w:tc>
              <w:tc>
                <w:tcPr>
                  <w:tcW w:w="462" w:type="pct"/>
                  <w:shd w:val="clear" w:color="auto" w:fill="auto"/>
                  <w:vAlign w:val="center"/>
                </w:tcPr>
                <w:p w14:paraId="2BD59254">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w:t>
                  </w:r>
                </w:p>
              </w:tc>
              <w:tc>
                <w:tcPr>
                  <w:tcW w:w="298" w:type="pct"/>
                  <w:shd w:val="clear" w:color="auto" w:fill="auto"/>
                  <w:vAlign w:val="center"/>
                </w:tcPr>
                <w:p w14:paraId="55621D0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14" w:type="pct"/>
                  <w:shd w:val="clear" w:color="auto" w:fill="auto"/>
                  <w:vAlign w:val="center"/>
                </w:tcPr>
                <w:p w14:paraId="70F4E6C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油</w:t>
                  </w:r>
                </w:p>
              </w:tc>
              <w:tc>
                <w:tcPr>
                  <w:tcW w:w="537" w:type="pct"/>
                  <w:vAlign w:val="center"/>
                </w:tcPr>
                <w:p w14:paraId="0E3DC07E">
                  <w:pPr>
                    <w:tabs>
                      <w:tab w:val="left" w:pos="2340"/>
                    </w:tabs>
                    <w:autoSpaceDE w:val="0"/>
                    <w:autoSpaceDN w:val="0"/>
                    <w:jc w:val="center"/>
                    <w:textAlignment w:val="baseline"/>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cs="Times New Roman"/>
                      <w:color w:val="auto"/>
                      <w:szCs w:val="21"/>
                    </w:rPr>
                    <w:t>T/In</w:t>
                  </w:r>
                </w:p>
              </w:tc>
              <w:tc>
                <w:tcPr>
                  <w:tcW w:w="477" w:type="pct"/>
                  <w:vAlign w:val="center"/>
                </w:tcPr>
                <w:p w14:paraId="76817377">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HW49</w:t>
                  </w:r>
                </w:p>
              </w:tc>
              <w:tc>
                <w:tcPr>
                  <w:tcW w:w="800" w:type="pct"/>
                  <w:vAlign w:val="center"/>
                </w:tcPr>
                <w:p w14:paraId="7635DF10">
                  <w:pPr>
                    <w:jc w:val="center"/>
                    <w:rPr>
                      <w:rFonts w:hint="default" w:ascii="Times New Roman" w:hAnsi="Times New Roman" w:eastAsia="宋体" w:cs="Times New Roman"/>
                      <w:color w:val="auto"/>
                      <w:sz w:val="21"/>
                      <w:szCs w:val="21"/>
                    </w:rPr>
                  </w:pPr>
                  <w:r>
                    <w:rPr>
                      <w:rFonts w:hint="default" w:ascii="Times New Roman" w:hAnsi="Times New Roman" w:cs="Times New Roman"/>
                      <w:color w:val="auto"/>
                      <w:szCs w:val="21"/>
                    </w:rPr>
                    <w:t>900-041-49</w:t>
                  </w:r>
                </w:p>
              </w:tc>
              <w:tc>
                <w:tcPr>
                  <w:tcW w:w="539" w:type="pct"/>
                  <w:vAlign w:val="center"/>
                </w:tcPr>
                <w:p w14:paraId="2AB1AF4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0.156</w:t>
                  </w:r>
                </w:p>
              </w:tc>
            </w:tr>
            <w:tr w14:paraId="7CE4B6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39E6CC2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672" w:type="pct"/>
                  <w:shd w:val="clear" w:color="auto" w:fill="auto"/>
                  <w:vAlign w:val="center"/>
                </w:tcPr>
                <w:p w14:paraId="69A9E82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污水处理站污泥和浓液</w:t>
                  </w:r>
                </w:p>
              </w:tc>
              <w:tc>
                <w:tcPr>
                  <w:tcW w:w="341" w:type="pct"/>
                  <w:vMerge w:val="continue"/>
                  <w:shd w:val="clear" w:color="auto" w:fill="auto"/>
                  <w:vAlign w:val="center"/>
                </w:tcPr>
                <w:p w14:paraId="7848DD95">
                  <w:pPr>
                    <w:jc w:val="center"/>
                    <w:rPr>
                      <w:rFonts w:hint="default" w:ascii="Times New Roman" w:hAnsi="Times New Roman" w:eastAsia="宋体" w:cs="Times New Roman"/>
                      <w:color w:val="auto"/>
                      <w:kern w:val="2"/>
                      <w:sz w:val="21"/>
                      <w:szCs w:val="21"/>
                      <w:lang w:val="en-US" w:eastAsia="zh-CN" w:bidi="ar-SA"/>
                    </w:rPr>
                  </w:pPr>
                </w:p>
              </w:tc>
              <w:tc>
                <w:tcPr>
                  <w:tcW w:w="462" w:type="pct"/>
                  <w:shd w:val="clear" w:color="auto" w:fill="auto"/>
                  <w:vAlign w:val="center"/>
                </w:tcPr>
                <w:p w14:paraId="791315B6">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污水处理</w:t>
                  </w:r>
                </w:p>
              </w:tc>
              <w:tc>
                <w:tcPr>
                  <w:tcW w:w="298" w:type="pct"/>
                  <w:shd w:val="clear" w:color="auto" w:fill="auto"/>
                  <w:vAlign w:val="center"/>
                </w:tcPr>
                <w:p w14:paraId="78FFFF85">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半</w:t>
                  </w:r>
                  <w:r>
                    <w:rPr>
                      <w:rFonts w:hint="default" w:ascii="Times New Roman" w:hAnsi="Times New Roman" w:eastAsia="宋体" w:cs="Times New Roman"/>
                      <w:color w:val="auto"/>
                      <w:sz w:val="21"/>
                      <w:szCs w:val="21"/>
                    </w:rPr>
                    <w:t>固态</w:t>
                  </w:r>
                </w:p>
              </w:tc>
              <w:tc>
                <w:tcPr>
                  <w:tcW w:w="614" w:type="pct"/>
                  <w:shd w:val="clear" w:color="auto" w:fill="auto"/>
                  <w:vAlign w:val="center"/>
                </w:tcPr>
                <w:p w14:paraId="7C94E901">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污泥</w:t>
                  </w:r>
                </w:p>
              </w:tc>
              <w:tc>
                <w:tcPr>
                  <w:tcW w:w="537" w:type="pct"/>
                  <w:shd w:val="clear" w:color="auto" w:fill="auto"/>
                  <w:vAlign w:val="center"/>
                </w:tcPr>
                <w:p w14:paraId="2B56281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T/In</w:t>
                  </w:r>
                </w:p>
              </w:tc>
              <w:tc>
                <w:tcPr>
                  <w:tcW w:w="477" w:type="pct"/>
                  <w:shd w:val="clear" w:color="auto" w:fill="auto"/>
                  <w:vAlign w:val="center"/>
                </w:tcPr>
                <w:p w14:paraId="4953F1F3">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HW49</w:t>
                  </w:r>
                </w:p>
              </w:tc>
              <w:tc>
                <w:tcPr>
                  <w:tcW w:w="800" w:type="pct"/>
                  <w:shd w:val="clear" w:color="auto" w:fill="auto"/>
                  <w:vAlign w:val="center"/>
                </w:tcPr>
                <w:p w14:paraId="4F5B1D79">
                  <w:pPr>
                    <w:topLinePunct/>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722</w:t>
                  </w: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06</w:t>
                  </w:r>
                  <w:r>
                    <w:rPr>
                      <w:rFonts w:hint="default" w:ascii="Times New Roman" w:hAnsi="Times New Roman" w:eastAsia="宋体" w:cs="Times New Roman"/>
                      <w:color w:val="auto"/>
                      <w:sz w:val="21"/>
                      <w:szCs w:val="21"/>
                    </w:rPr>
                    <w:t>-49</w:t>
                  </w:r>
                </w:p>
              </w:tc>
              <w:tc>
                <w:tcPr>
                  <w:tcW w:w="539" w:type="pct"/>
                  <w:shd w:val="clear" w:color="auto" w:fill="auto"/>
                  <w:vAlign w:val="center"/>
                </w:tcPr>
                <w:p w14:paraId="3E258E4A">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10.99</w:t>
                  </w:r>
                </w:p>
              </w:tc>
            </w:tr>
            <w:tr w14:paraId="2556293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shd w:val="clear" w:color="auto" w:fill="auto"/>
                  <w:vAlign w:val="center"/>
                </w:tcPr>
                <w:p w14:paraId="6BA9DA52">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9</w:t>
                  </w:r>
                </w:p>
              </w:tc>
              <w:tc>
                <w:tcPr>
                  <w:tcW w:w="672" w:type="pct"/>
                  <w:vAlign w:val="center"/>
                </w:tcPr>
                <w:p w14:paraId="4203A1C9">
                  <w:pPr>
                    <w:adjustRightInd w:val="0"/>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color w:val="auto"/>
                      <w:sz w:val="21"/>
                      <w:szCs w:val="21"/>
                    </w:rPr>
                    <w:t>废</w:t>
                  </w:r>
                  <w:r>
                    <w:rPr>
                      <w:rFonts w:hint="eastAsia" w:ascii="Times New Roman" w:hAnsi="Times New Roman" w:eastAsia="宋体" w:cs="Times New Roman"/>
                      <w:b w:val="0"/>
                      <w:bCs/>
                      <w:color w:val="auto"/>
                      <w:sz w:val="21"/>
                      <w:szCs w:val="21"/>
                      <w:lang w:val="en-US" w:eastAsia="zh-CN"/>
                    </w:rPr>
                    <w:t>金刚砂</w:t>
                  </w:r>
                </w:p>
              </w:tc>
              <w:tc>
                <w:tcPr>
                  <w:tcW w:w="341" w:type="pct"/>
                  <w:vMerge w:val="restart"/>
                  <w:vAlign w:val="center"/>
                </w:tcPr>
                <w:p w14:paraId="7A9876D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462" w:type="pct"/>
                  <w:shd w:val="clear" w:color="auto" w:fill="auto"/>
                  <w:vAlign w:val="center"/>
                </w:tcPr>
                <w:p w14:paraId="53FCBFF3">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喷砂</w:t>
                  </w:r>
                </w:p>
              </w:tc>
              <w:tc>
                <w:tcPr>
                  <w:tcW w:w="298" w:type="pct"/>
                  <w:shd w:val="clear" w:color="auto" w:fill="auto"/>
                  <w:vAlign w:val="center"/>
                </w:tcPr>
                <w:p w14:paraId="382C486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固态</w:t>
                  </w:r>
                </w:p>
              </w:tc>
              <w:tc>
                <w:tcPr>
                  <w:tcW w:w="614" w:type="pct"/>
                  <w:shd w:val="clear" w:color="auto" w:fill="auto"/>
                  <w:vAlign w:val="center"/>
                </w:tcPr>
                <w:p w14:paraId="321C564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金刚砂</w:t>
                  </w:r>
                </w:p>
              </w:tc>
              <w:tc>
                <w:tcPr>
                  <w:tcW w:w="537" w:type="pct"/>
                  <w:vAlign w:val="center"/>
                </w:tcPr>
                <w:p w14:paraId="3CC64340">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77" w:type="pct"/>
                  <w:vAlign w:val="center"/>
                </w:tcPr>
                <w:p w14:paraId="2ED21EF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SW17</w:t>
                  </w:r>
                </w:p>
                <w:p w14:paraId="3EB0ED9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可再生类废物</w:t>
                  </w:r>
                </w:p>
              </w:tc>
              <w:tc>
                <w:tcPr>
                  <w:tcW w:w="800" w:type="pct"/>
                  <w:vAlign w:val="center"/>
                </w:tcPr>
                <w:p w14:paraId="1B0B8C1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900-099-S17</w:t>
                  </w:r>
                </w:p>
              </w:tc>
              <w:tc>
                <w:tcPr>
                  <w:tcW w:w="539" w:type="pct"/>
                  <w:vAlign w:val="center"/>
                </w:tcPr>
                <w:p w14:paraId="4831E22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r>
            <w:tr w14:paraId="0D3118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1226A94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672" w:type="pct"/>
                  <w:vAlign w:val="center"/>
                </w:tcPr>
                <w:p w14:paraId="2E1216D0">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废布袋</w:t>
                  </w:r>
                </w:p>
              </w:tc>
              <w:tc>
                <w:tcPr>
                  <w:tcW w:w="341" w:type="pct"/>
                  <w:vMerge w:val="continue"/>
                  <w:vAlign w:val="center"/>
                </w:tcPr>
                <w:p w14:paraId="0E615D19">
                  <w:pPr>
                    <w:jc w:val="center"/>
                    <w:rPr>
                      <w:rFonts w:hint="default" w:ascii="Times New Roman" w:hAnsi="Times New Roman" w:eastAsia="宋体" w:cs="Times New Roman"/>
                      <w:color w:val="auto"/>
                      <w:sz w:val="21"/>
                      <w:szCs w:val="21"/>
                    </w:rPr>
                  </w:pPr>
                </w:p>
              </w:tc>
              <w:tc>
                <w:tcPr>
                  <w:tcW w:w="462" w:type="pct"/>
                  <w:shd w:val="clear" w:color="auto" w:fill="auto"/>
                  <w:vAlign w:val="center"/>
                </w:tcPr>
                <w:p w14:paraId="33D16521">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298" w:type="pct"/>
                  <w:shd w:val="clear" w:color="auto" w:fill="auto"/>
                  <w:vAlign w:val="center"/>
                </w:tcPr>
                <w:p w14:paraId="01C9B4C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14" w:type="pct"/>
                  <w:shd w:val="clear" w:color="auto" w:fill="auto"/>
                  <w:vAlign w:val="center"/>
                </w:tcPr>
                <w:p w14:paraId="29DF83B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537" w:type="pct"/>
                  <w:vAlign w:val="center"/>
                </w:tcPr>
                <w:p w14:paraId="72A99AB5">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77" w:type="pct"/>
                  <w:vAlign w:val="center"/>
                </w:tcPr>
                <w:p w14:paraId="60C639B7">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SW59</w:t>
                  </w:r>
                </w:p>
                <w:p w14:paraId="0B25E72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其他工业固体</w:t>
                  </w:r>
                </w:p>
                <w:p w14:paraId="4F970415">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废物</w:t>
                  </w:r>
                </w:p>
              </w:tc>
              <w:tc>
                <w:tcPr>
                  <w:tcW w:w="800" w:type="pct"/>
                  <w:vAlign w:val="center"/>
                </w:tcPr>
                <w:p w14:paraId="0039B0CB">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900-009-S59</w:t>
                  </w:r>
                </w:p>
              </w:tc>
              <w:tc>
                <w:tcPr>
                  <w:tcW w:w="539" w:type="pct"/>
                  <w:vAlign w:val="center"/>
                </w:tcPr>
                <w:p w14:paraId="6133E4AD">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w:t>
                  </w:r>
                </w:p>
              </w:tc>
            </w:tr>
            <w:tr w14:paraId="3A89FE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5C8EC72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w:t>
                  </w:r>
                </w:p>
              </w:tc>
              <w:tc>
                <w:tcPr>
                  <w:tcW w:w="672" w:type="pct"/>
                  <w:vAlign w:val="center"/>
                </w:tcPr>
                <w:p w14:paraId="1D5CA2CC">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布袋收尘</w:t>
                  </w:r>
                </w:p>
              </w:tc>
              <w:tc>
                <w:tcPr>
                  <w:tcW w:w="341" w:type="pct"/>
                  <w:vMerge w:val="continue"/>
                  <w:vAlign w:val="center"/>
                </w:tcPr>
                <w:p w14:paraId="66ECAE60">
                  <w:pPr>
                    <w:jc w:val="center"/>
                    <w:rPr>
                      <w:rFonts w:hint="default" w:ascii="Times New Roman" w:hAnsi="Times New Roman" w:eastAsia="宋体" w:cs="Times New Roman"/>
                      <w:color w:val="auto"/>
                      <w:sz w:val="21"/>
                      <w:szCs w:val="21"/>
                    </w:rPr>
                  </w:pPr>
                </w:p>
              </w:tc>
              <w:tc>
                <w:tcPr>
                  <w:tcW w:w="462" w:type="pct"/>
                  <w:shd w:val="clear" w:color="auto" w:fill="auto"/>
                  <w:vAlign w:val="center"/>
                </w:tcPr>
                <w:p w14:paraId="0043E2FE">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废气处理</w:t>
                  </w:r>
                </w:p>
              </w:tc>
              <w:tc>
                <w:tcPr>
                  <w:tcW w:w="298" w:type="pct"/>
                  <w:shd w:val="clear" w:color="auto" w:fill="auto"/>
                  <w:vAlign w:val="center"/>
                </w:tcPr>
                <w:p w14:paraId="1372242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固态</w:t>
                  </w:r>
                </w:p>
              </w:tc>
              <w:tc>
                <w:tcPr>
                  <w:tcW w:w="614" w:type="pct"/>
                  <w:shd w:val="clear" w:color="auto" w:fill="auto"/>
                  <w:vAlign w:val="center"/>
                </w:tcPr>
                <w:p w14:paraId="65D469D7">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颗粒物</w:t>
                  </w:r>
                </w:p>
              </w:tc>
              <w:tc>
                <w:tcPr>
                  <w:tcW w:w="537" w:type="pct"/>
                  <w:vAlign w:val="center"/>
                </w:tcPr>
                <w:p w14:paraId="60CB99D0">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477" w:type="pct"/>
                  <w:shd w:val="clear" w:color="auto" w:fill="auto"/>
                  <w:vAlign w:val="center"/>
                </w:tcPr>
                <w:p w14:paraId="7B9ADA65">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SW59</w:t>
                  </w:r>
                </w:p>
                <w:p w14:paraId="1D70D38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其他工业固体</w:t>
                  </w:r>
                </w:p>
                <w:p w14:paraId="635B3DFE">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废物</w:t>
                  </w:r>
                </w:p>
              </w:tc>
              <w:tc>
                <w:tcPr>
                  <w:tcW w:w="800" w:type="pct"/>
                  <w:vAlign w:val="center"/>
                </w:tcPr>
                <w:p w14:paraId="4DE70DF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900-0</w:t>
                  </w:r>
                  <w:r>
                    <w:rPr>
                      <w:rFonts w:hint="eastAsia" w:ascii="Times New Roman" w:hAnsi="Times New Roman" w:eastAsia="宋体" w:cs="Times New Roman"/>
                      <w:color w:val="auto"/>
                      <w:kern w:val="2"/>
                      <w:sz w:val="21"/>
                      <w:szCs w:val="21"/>
                      <w:lang w:val="en-US" w:eastAsia="zh-CN" w:bidi="ar-SA"/>
                    </w:rPr>
                    <w:t>9</w:t>
                  </w:r>
                  <w:r>
                    <w:rPr>
                      <w:rFonts w:hint="default" w:ascii="Times New Roman" w:hAnsi="Times New Roman" w:eastAsia="宋体" w:cs="Times New Roman"/>
                      <w:color w:val="auto"/>
                      <w:kern w:val="2"/>
                      <w:sz w:val="21"/>
                      <w:szCs w:val="21"/>
                      <w:lang w:val="en-US" w:eastAsia="zh-CN" w:bidi="ar-SA"/>
                    </w:rPr>
                    <w:t>9-S59</w:t>
                  </w:r>
                </w:p>
              </w:tc>
              <w:tc>
                <w:tcPr>
                  <w:tcW w:w="539" w:type="pct"/>
                  <w:vAlign w:val="center"/>
                </w:tcPr>
                <w:p w14:paraId="60A29526">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0.1</w:t>
                  </w:r>
                </w:p>
              </w:tc>
            </w:tr>
            <w:tr w14:paraId="108EAA7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48318C51">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72" w:type="pct"/>
                  <w:vAlign w:val="center"/>
                </w:tcPr>
                <w:p w14:paraId="47579F4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341" w:type="pct"/>
                  <w:vAlign w:val="center"/>
                </w:tcPr>
                <w:p w14:paraId="195160F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462" w:type="pct"/>
                  <w:vAlign w:val="center"/>
                </w:tcPr>
                <w:p w14:paraId="6A1338C4">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员工生活、办公</w:t>
                  </w:r>
                </w:p>
              </w:tc>
              <w:tc>
                <w:tcPr>
                  <w:tcW w:w="298" w:type="pct"/>
                  <w:vAlign w:val="center"/>
                </w:tcPr>
                <w:p w14:paraId="7C37952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w:t>
                  </w:r>
                </w:p>
              </w:tc>
              <w:tc>
                <w:tcPr>
                  <w:tcW w:w="614" w:type="pct"/>
                  <w:vAlign w:val="center"/>
                </w:tcPr>
                <w:p w14:paraId="493C7C8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办公及生活废物</w:t>
                  </w:r>
                </w:p>
              </w:tc>
              <w:tc>
                <w:tcPr>
                  <w:tcW w:w="537" w:type="pct"/>
                  <w:vAlign w:val="center"/>
                </w:tcPr>
                <w:p w14:paraId="6195D0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477" w:type="pct"/>
                  <w:vAlign w:val="center"/>
                </w:tcPr>
                <w:p w14:paraId="06647614">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SW64其他垃圾</w:t>
                  </w:r>
                </w:p>
              </w:tc>
              <w:tc>
                <w:tcPr>
                  <w:tcW w:w="800" w:type="pct"/>
                  <w:vAlign w:val="center"/>
                </w:tcPr>
                <w:p w14:paraId="2BAC2C21">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277-004-S64</w:t>
                  </w:r>
                </w:p>
              </w:tc>
              <w:tc>
                <w:tcPr>
                  <w:tcW w:w="539" w:type="pct"/>
                  <w:vAlign w:val="center"/>
                </w:tcPr>
                <w:p w14:paraId="743EE708">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r>
          </w:tbl>
          <w:p w14:paraId="30A0CA02">
            <w:pPr>
              <w:keepNext w:val="0"/>
              <w:keepLines w:val="0"/>
              <w:pageBreakBefore w:val="0"/>
              <w:widowControl w:val="0"/>
              <w:kinsoku/>
              <w:wordWrap/>
              <w:overflowPunct/>
              <w:topLinePunct w:val="0"/>
              <w:autoSpaceDE/>
              <w:autoSpaceDN/>
              <w:bidi w:val="0"/>
              <w:adjustRightInd/>
              <w:snapToGrid/>
              <w:spacing w:before="120" w:line="360" w:lineRule="auto"/>
              <w:ind w:firstLine="482" w:firstLineChars="200"/>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、固体废物贮存和处置方式</w:t>
            </w:r>
          </w:p>
          <w:p w14:paraId="4DA08C8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项目生产的固体废物应分类收集、分类贮存、并张贴标签贮存在专门的场所内，危险固废、一般固废和生活垃圾分开，不得混放。本项目产生的危险废物纳入</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江苏省危险废物全生命周期监控系统</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管理，在项目营运期间按照相关要求进行管理计划申报，在危废产生后进行产废申报与贮存申报。本项目产生的固废经安全收集，都得到妥善处理，不会对周围环境产生二次污染。本项目危废库房建筑面积为</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，设置合理。实施危险废物转移时，应执行危险废物转移联单制度，并加强对运输单位及处置单位的跟踪检查，确保符合环保要求。</w:t>
            </w:r>
          </w:p>
          <w:p w14:paraId="74E2036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本项目危险废物贮存场所基本情况详见下表：</w:t>
            </w:r>
          </w:p>
          <w:p w14:paraId="7255483E">
            <w:pPr>
              <w:jc w:val="center"/>
              <w:rPr>
                <w:rFonts w:hint="default" w:ascii="Times New Roman" w:hAnsi="Times New Roman" w:eastAsia="宋体" w:cs="Times New Roman"/>
                <w:b/>
                <w:color w:val="auto"/>
                <w:sz w:val="24"/>
              </w:rPr>
            </w:pPr>
          </w:p>
          <w:p w14:paraId="21DA8384">
            <w:pPr>
              <w:jc w:val="center"/>
              <w:rPr>
                <w:rFonts w:hint="default" w:ascii="Times New Roman" w:hAnsi="Times New Roman" w:eastAsia="宋体" w:cs="Times New Roman"/>
                <w:b/>
                <w:color w:val="auto"/>
                <w:sz w:val="24"/>
              </w:rPr>
            </w:pPr>
          </w:p>
          <w:p w14:paraId="0FDDD346">
            <w:pPr>
              <w:jc w:val="center"/>
              <w:rPr>
                <w:rFonts w:hint="default" w:ascii="Times New Roman" w:hAnsi="Times New Roman" w:eastAsia="宋体" w:cs="Times New Roman"/>
                <w:b/>
                <w:color w:val="auto"/>
                <w:sz w:val="24"/>
              </w:rPr>
            </w:pPr>
          </w:p>
          <w:p w14:paraId="03DDD5FC">
            <w:pPr>
              <w:jc w:val="center"/>
              <w:rPr>
                <w:rFonts w:hint="default" w:ascii="Times New Roman" w:hAnsi="Times New Roman" w:eastAsia="宋体" w:cs="Times New Roman"/>
                <w:b/>
                <w:color w:val="auto"/>
                <w:sz w:val="24"/>
              </w:rPr>
            </w:pPr>
          </w:p>
          <w:p w14:paraId="46C805E2">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3  企业危险废物贮存场所（设施）基本情况表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427"/>
              <w:gridCol w:w="1077"/>
              <w:gridCol w:w="1217"/>
              <w:gridCol w:w="1252"/>
              <w:gridCol w:w="684"/>
              <w:gridCol w:w="881"/>
              <w:gridCol w:w="849"/>
              <w:gridCol w:w="958"/>
              <w:gridCol w:w="1003"/>
            </w:tblGrid>
            <w:tr w14:paraId="0C8AE6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3FA213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序号</w:t>
                  </w:r>
                </w:p>
              </w:tc>
              <w:tc>
                <w:tcPr>
                  <w:tcW w:w="645" w:type="pct"/>
                  <w:vAlign w:val="center"/>
                </w:tcPr>
                <w:p w14:paraId="05C3BC8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贮存场所（设施）名称</w:t>
                  </w:r>
                </w:p>
              </w:tc>
              <w:tc>
                <w:tcPr>
                  <w:tcW w:w="728" w:type="pct"/>
                  <w:vAlign w:val="center"/>
                </w:tcPr>
                <w:p w14:paraId="37A7CAB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危险废物</w:t>
                  </w:r>
                </w:p>
                <w:p w14:paraId="48A2851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名称</w:t>
                  </w:r>
                </w:p>
              </w:tc>
              <w:tc>
                <w:tcPr>
                  <w:tcW w:w="749" w:type="pct"/>
                  <w:vAlign w:val="center"/>
                </w:tcPr>
                <w:p w14:paraId="5BFBBE4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危废代码</w:t>
                  </w:r>
                </w:p>
              </w:tc>
              <w:tc>
                <w:tcPr>
                  <w:tcW w:w="409" w:type="pct"/>
                  <w:vAlign w:val="center"/>
                </w:tcPr>
                <w:p w14:paraId="72116B7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位置</w:t>
                  </w:r>
                </w:p>
              </w:tc>
              <w:tc>
                <w:tcPr>
                  <w:tcW w:w="527" w:type="pct"/>
                  <w:shd w:val="clear" w:color="auto" w:fill="auto"/>
                  <w:vAlign w:val="center"/>
                </w:tcPr>
                <w:p w14:paraId="2D56004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占地</w:t>
                  </w:r>
                </w:p>
                <w:p w14:paraId="4F8023F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rPr>
                    <w:t>面积</w:t>
                  </w:r>
                  <w:r>
                    <w:rPr>
                      <w:rFonts w:hint="default" w:ascii="Times New Roman" w:hAnsi="Times New Roman" w:eastAsia="宋体" w:cs="Times New Roman"/>
                      <w:b/>
                      <w:color w:val="auto"/>
                      <w:lang w:eastAsia="zh-CN"/>
                    </w:rPr>
                    <w:t>（</w:t>
                  </w:r>
                  <w:r>
                    <w:rPr>
                      <w:rFonts w:hint="default" w:ascii="Times New Roman" w:hAnsi="Times New Roman" w:eastAsia="宋体" w:cs="Times New Roman"/>
                      <w:b/>
                      <w:color w:val="auto"/>
                    </w:rPr>
                    <w:t>m</w:t>
                  </w:r>
                  <w:r>
                    <w:rPr>
                      <w:rFonts w:hint="default" w:ascii="Times New Roman" w:hAnsi="Times New Roman" w:eastAsia="宋体" w:cs="Times New Roman"/>
                      <w:b/>
                      <w:color w:val="auto"/>
                      <w:vertAlign w:val="superscript"/>
                    </w:rPr>
                    <w:t>2</w:t>
                  </w:r>
                  <w:r>
                    <w:rPr>
                      <w:rFonts w:hint="default" w:ascii="Times New Roman" w:hAnsi="Times New Roman" w:eastAsia="宋体" w:cs="Times New Roman"/>
                      <w:b/>
                      <w:color w:val="auto"/>
                      <w:lang w:eastAsia="zh-CN"/>
                    </w:rPr>
                    <w:t>）</w:t>
                  </w:r>
                </w:p>
              </w:tc>
              <w:tc>
                <w:tcPr>
                  <w:tcW w:w="508" w:type="pct"/>
                  <w:shd w:val="clear" w:color="auto" w:fill="auto"/>
                  <w:vAlign w:val="center"/>
                </w:tcPr>
                <w:p w14:paraId="7E1765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贮存能力</w:t>
                  </w:r>
                </w:p>
                <w:p w14:paraId="2E876A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lang w:eastAsia="zh-CN"/>
                    </w:rPr>
                  </w:pPr>
                  <w:r>
                    <w:rPr>
                      <w:rFonts w:hint="default" w:ascii="Times New Roman" w:hAnsi="Times New Roman" w:eastAsia="宋体" w:cs="Times New Roman"/>
                      <w:b/>
                      <w:color w:val="auto"/>
                      <w:lang w:eastAsia="zh-CN"/>
                    </w:rPr>
                    <w:t>（</w:t>
                  </w:r>
                  <w:r>
                    <w:rPr>
                      <w:rFonts w:hint="default" w:ascii="Times New Roman" w:hAnsi="Times New Roman" w:eastAsia="宋体" w:cs="Times New Roman"/>
                      <w:b/>
                      <w:color w:val="auto"/>
                    </w:rPr>
                    <w:t>吨</w:t>
                  </w:r>
                  <w:r>
                    <w:rPr>
                      <w:rFonts w:hint="default" w:ascii="Times New Roman" w:hAnsi="Times New Roman" w:eastAsia="宋体" w:cs="Times New Roman"/>
                      <w:b/>
                      <w:color w:val="auto"/>
                      <w:lang w:eastAsia="zh-CN"/>
                    </w:rPr>
                    <w:t>）</w:t>
                  </w:r>
                </w:p>
              </w:tc>
              <w:tc>
                <w:tcPr>
                  <w:tcW w:w="573" w:type="pct"/>
                  <w:vAlign w:val="center"/>
                </w:tcPr>
                <w:p w14:paraId="11534BF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包装方式</w:t>
                  </w:r>
                </w:p>
              </w:tc>
              <w:tc>
                <w:tcPr>
                  <w:tcW w:w="600" w:type="pct"/>
                  <w:vAlign w:val="center"/>
                </w:tcPr>
                <w:p w14:paraId="7BBEEF2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贮存</w:t>
                  </w:r>
                </w:p>
                <w:p w14:paraId="2B269E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color w:val="auto"/>
                    </w:rPr>
                  </w:pPr>
                  <w:r>
                    <w:rPr>
                      <w:rFonts w:hint="default" w:ascii="Times New Roman" w:hAnsi="Times New Roman" w:eastAsia="宋体" w:cs="Times New Roman"/>
                      <w:b/>
                      <w:color w:val="auto"/>
                    </w:rPr>
                    <w:t>周期</w:t>
                  </w:r>
                </w:p>
              </w:tc>
            </w:tr>
            <w:tr w14:paraId="7287AF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7C3C818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1</w:t>
                  </w:r>
                </w:p>
              </w:tc>
              <w:tc>
                <w:tcPr>
                  <w:tcW w:w="645" w:type="pct"/>
                  <w:vMerge w:val="restart"/>
                  <w:vAlign w:val="center"/>
                </w:tcPr>
                <w:p w14:paraId="6BEA831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危废仓库</w:t>
                  </w:r>
                </w:p>
              </w:tc>
              <w:tc>
                <w:tcPr>
                  <w:tcW w:w="728" w:type="pct"/>
                  <w:shd w:val="clear" w:color="auto" w:fill="auto"/>
                  <w:vAlign w:val="center"/>
                </w:tcPr>
                <w:p w14:paraId="7CCC63E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废清洗剂桶</w:t>
                  </w:r>
                </w:p>
              </w:tc>
              <w:tc>
                <w:tcPr>
                  <w:tcW w:w="749" w:type="pct"/>
                  <w:vAlign w:val="center"/>
                </w:tcPr>
                <w:p w14:paraId="63FCFB9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68EF05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900-041-49</w:t>
                  </w:r>
                </w:p>
              </w:tc>
              <w:tc>
                <w:tcPr>
                  <w:tcW w:w="409" w:type="pct"/>
                  <w:vMerge w:val="restart"/>
                  <w:vAlign w:val="center"/>
                </w:tcPr>
                <w:p w14:paraId="32F83A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生产车间内</w:t>
                  </w:r>
                </w:p>
              </w:tc>
              <w:tc>
                <w:tcPr>
                  <w:tcW w:w="527" w:type="pct"/>
                  <w:shd w:val="clear" w:color="auto" w:fill="auto"/>
                  <w:vAlign w:val="center"/>
                </w:tcPr>
                <w:p w14:paraId="20AA049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0.5</w:t>
                  </w:r>
                </w:p>
              </w:tc>
              <w:tc>
                <w:tcPr>
                  <w:tcW w:w="508" w:type="pct"/>
                  <w:shd w:val="clear" w:color="auto" w:fill="auto"/>
                  <w:vAlign w:val="center"/>
                </w:tcPr>
                <w:p w14:paraId="3A575E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025</w:t>
                  </w:r>
                </w:p>
              </w:tc>
              <w:tc>
                <w:tcPr>
                  <w:tcW w:w="573" w:type="pct"/>
                  <w:vAlign w:val="center"/>
                </w:tcPr>
                <w:p w14:paraId="6CB08B5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堆放</w:t>
                  </w:r>
                </w:p>
              </w:tc>
              <w:tc>
                <w:tcPr>
                  <w:tcW w:w="600" w:type="pct"/>
                  <w:vAlign w:val="center"/>
                </w:tcPr>
                <w:p w14:paraId="116405B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3个月</w:t>
                  </w:r>
                </w:p>
              </w:tc>
            </w:tr>
            <w:tr w14:paraId="7F5E63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331336B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2</w:t>
                  </w:r>
                </w:p>
              </w:tc>
              <w:tc>
                <w:tcPr>
                  <w:tcW w:w="645" w:type="pct"/>
                  <w:vMerge w:val="continue"/>
                  <w:vAlign w:val="center"/>
                </w:tcPr>
                <w:p w14:paraId="7770B28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728" w:type="pct"/>
                  <w:shd w:val="clear" w:color="auto" w:fill="auto"/>
                  <w:vAlign w:val="center"/>
                </w:tcPr>
                <w:p w14:paraId="0AD1D60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淬火油</w:t>
                  </w:r>
                  <w:r>
                    <w:rPr>
                      <w:rFonts w:hint="default" w:ascii="Times New Roman" w:hAnsi="Times New Roman" w:eastAsia="宋体" w:cs="Times New Roman"/>
                      <w:color w:val="auto"/>
                      <w:sz w:val="21"/>
                      <w:szCs w:val="21"/>
                    </w:rPr>
                    <w:t>桶</w:t>
                  </w:r>
                </w:p>
              </w:tc>
              <w:tc>
                <w:tcPr>
                  <w:tcW w:w="749" w:type="pct"/>
                  <w:vAlign w:val="center"/>
                </w:tcPr>
                <w:p w14:paraId="474890A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p w14:paraId="07073C7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900-249-08</w:t>
                  </w:r>
                </w:p>
              </w:tc>
              <w:tc>
                <w:tcPr>
                  <w:tcW w:w="409" w:type="pct"/>
                  <w:vMerge w:val="continue"/>
                  <w:vAlign w:val="center"/>
                </w:tcPr>
                <w:p w14:paraId="0773DD0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7" w:type="pct"/>
                  <w:shd w:val="clear" w:color="auto" w:fill="auto"/>
                  <w:vAlign w:val="center"/>
                </w:tcPr>
                <w:p w14:paraId="6C530E2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0.5</w:t>
                  </w:r>
                </w:p>
              </w:tc>
              <w:tc>
                <w:tcPr>
                  <w:tcW w:w="508" w:type="pct"/>
                  <w:shd w:val="clear" w:color="auto" w:fill="auto"/>
                  <w:vAlign w:val="center"/>
                </w:tcPr>
                <w:p w14:paraId="5447761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1</w:t>
                  </w:r>
                </w:p>
              </w:tc>
              <w:tc>
                <w:tcPr>
                  <w:tcW w:w="573" w:type="pct"/>
                  <w:vAlign w:val="center"/>
                </w:tcPr>
                <w:p w14:paraId="68E08D6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堆放</w:t>
                  </w:r>
                </w:p>
              </w:tc>
              <w:tc>
                <w:tcPr>
                  <w:tcW w:w="600" w:type="pct"/>
                  <w:vAlign w:val="center"/>
                </w:tcPr>
                <w:p w14:paraId="66151F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3个月</w:t>
                  </w:r>
                </w:p>
              </w:tc>
            </w:tr>
            <w:tr w14:paraId="711F50D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03520B0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w:t>
                  </w:r>
                </w:p>
              </w:tc>
              <w:tc>
                <w:tcPr>
                  <w:tcW w:w="645" w:type="pct"/>
                  <w:vMerge w:val="continue"/>
                  <w:vAlign w:val="center"/>
                </w:tcPr>
                <w:p w14:paraId="7221DEE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728" w:type="pct"/>
                  <w:shd w:val="clear" w:color="auto" w:fill="auto"/>
                  <w:vAlign w:val="center"/>
                </w:tcPr>
                <w:p w14:paraId="28EC175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淬火油</w:t>
                  </w:r>
                </w:p>
              </w:tc>
              <w:tc>
                <w:tcPr>
                  <w:tcW w:w="749" w:type="pct"/>
                  <w:vAlign w:val="center"/>
                </w:tcPr>
                <w:p w14:paraId="07CC07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p w14:paraId="09C0170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900-203-08</w:t>
                  </w:r>
                </w:p>
              </w:tc>
              <w:tc>
                <w:tcPr>
                  <w:tcW w:w="409" w:type="pct"/>
                  <w:vMerge w:val="continue"/>
                  <w:vAlign w:val="center"/>
                </w:tcPr>
                <w:p w14:paraId="6F993E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7" w:type="pct"/>
                  <w:shd w:val="clear" w:color="auto" w:fill="auto"/>
                  <w:vAlign w:val="center"/>
                </w:tcPr>
                <w:p w14:paraId="17646B0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508" w:type="pct"/>
                  <w:shd w:val="clear" w:color="auto" w:fill="auto"/>
                  <w:vAlign w:val="center"/>
                </w:tcPr>
                <w:p w14:paraId="4BA5C07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0.3</w:t>
                  </w:r>
                </w:p>
              </w:tc>
              <w:tc>
                <w:tcPr>
                  <w:tcW w:w="573" w:type="pct"/>
                  <w:vAlign w:val="center"/>
                </w:tcPr>
                <w:p w14:paraId="18F9A2E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桶</w:t>
                  </w:r>
                  <w:r>
                    <w:rPr>
                      <w:rFonts w:hint="default" w:ascii="Times New Roman" w:hAnsi="Times New Roman" w:eastAsia="宋体" w:cs="Times New Roman"/>
                      <w:color w:val="auto"/>
                      <w:lang w:val="en-US" w:eastAsia="zh-CN"/>
                    </w:rPr>
                    <w:t>装</w:t>
                  </w:r>
                </w:p>
              </w:tc>
              <w:tc>
                <w:tcPr>
                  <w:tcW w:w="600" w:type="pct"/>
                  <w:vAlign w:val="center"/>
                </w:tcPr>
                <w:p w14:paraId="63EC150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3个月</w:t>
                  </w:r>
                </w:p>
              </w:tc>
            </w:tr>
            <w:tr w14:paraId="5188368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4FE12F3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4</w:t>
                  </w:r>
                </w:p>
              </w:tc>
              <w:tc>
                <w:tcPr>
                  <w:tcW w:w="645" w:type="pct"/>
                  <w:vMerge w:val="continue"/>
                  <w:vAlign w:val="center"/>
                </w:tcPr>
                <w:p w14:paraId="5B5E4A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728" w:type="pct"/>
                  <w:shd w:val="clear" w:color="auto" w:fill="auto"/>
                  <w:vAlign w:val="center"/>
                </w:tcPr>
                <w:p w14:paraId="4E88681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废防锈油桶</w:t>
                  </w:r>
                </w:p>
              </w:tc>
              <w:tc>
                <w:tcPr>
                  <w:tcW w:w="749" w:type="pct"/>
                  <w:vAlign w:val="center"/>
                </w:tcPr>
                <w:p w14:paraId="0D2D43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p w14:paraId="4836B1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900-249-08</w:t>
                  </w:r>
                </w:p>
              </w:tc>
              <w:tc>
                <w:tcPr>
                  <w:tcW w:w="409" w:type="pct"/>
                  <w:vMerge w:val="continue"/>
                  <w:vAlign w:val="center"/>
                </w:tcPr>
                <w:p w14:paraId="4CA734DB">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7" w:type="pct"/>
                  <w:shd w:val="clear" w:color="auto" w:fill="auto"/>
                  <w:vAlign w:val="center"/>
                </w:tcPr>
                <w:p w14:paraId="0DF26D8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0.5</w:t>
                  </w:r>
                </w:p>
              </w:tc>
              <w:tc>
                <w:tcPr>
                  <w:tcW w:w="508" w:type="pct"/>
                  <w:shd w:val="clear" w:color="auto" w:fill="auto"/>
                  <w:vAlign w:val="center"/>
                </w:tcPr>
                <w:p w14:paraId="747CE80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0.025</w:t>
                  </w:r>
                </w:p>
              </w:tc>
              <w:tc>
                <w:tcPr>
                  <w:tcW w:w="573" w:type="pct"/>
                  <w:vAlign w:val="center"/>
                </w:tcPr>
                <w:p w14:paraId="60521B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堆放</w:t>
                  </w:r>
                </w:p>
              </w:tc>
              <w:tc>
                <w:tcPr>
                  <w:tcW w:w="600" w:type="pct"/>
                  <w:vAlign w:val="center"/>
                </w:tcPr>
                <w:p w14:paraId="559AAA9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3个月</w:t>
                  </w:r>
                </w:p>
              </w:tc>
            </w:tr>
            <w:tr w14:paraId="62FACC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006095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645" w:type="pct"/>
                  <w:vMerge w:val="continue"/>
                  <w:vAlign w:val="center"/>
                </w:tcPr>
                <w:p w14:paraId="20F8C3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728" w:type="pct"/>
                  <w:shd w:val="clear" w:color="auto" w:fill="auto"/>
                  <w:vAlign w:val="center"/>
                </w:tcPr>
                <w:p w14:paraId="56FEB45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废防锈油</w:t>
                  </w:r>
                </w:p>
              </w:tc>
              <w:tc>
                <w:tcPr>
                  <w:tcW w:w="749" w:type="pct"/>
                  <w:vAlign w:val="center"/>
                </w:tcPr>
                <w:p w14:paraId="71D7B2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p w14:paraId="27215EF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kern w:val="2"/>
                      <w:sz w:val="21"/>
                      <w:szCs w:val="21"/>
                      <w:lang w:val="en-US" w:eastAsia="zh-CN" w:bidi="ar-SA"/>
                    </w:rPr>
                    <w:t>900-2</w:t>
                  </w:r>
                  <w:r>
                    <w:rPr>
                      <w:rFonts w:hint="eastAsia" w:ascii="Times New Roman" w:hAnsi="Times New Roman" w:eastAsia="宋体" w:cs="Times New Roman"/>
                      <w:color w:val="auto"/>
                      <w:kern w:val="2"/>
                      <w:sz w:val="21"/>
                      <w:szCs w:val="21"/>
                      <w:lang w:val="en-US" w:eastAsia="zh-CN" w:bidi="ar-SA"/>
                    </w:rPr>
                    <w:t>16</w:t>
                  </w:r>
                  <w:r>
                    <w:rPr>
                      <w:rFonts w:hint="default" w:ascii="Times New Roman" w:hAnsi="Times New Roman" w:eastAsia="宋体" w:cs="Times New Roman"/>
                      <w:color w:val="auto"/>
                      <w:kern w:val="2"/>
                      <w:sz w:val="21"/>
                      <w:szCs w:val="21"/>
                      <w:lang w:val="en-US" w:eastAsia="zh-CN" w:bidi="ar-SA"/>
                    </w:rPr>
                    <w:t>-08</w:t>
                  </w:r>
                </w:p>
              </w:tc>
              <w:tc>
                <w:tcPr>
                  <w:tcW w:w="409" w:type="pct"/>
                  <w:vMerge w:val="continue"/>
                  <w:vAlign w:val="center"/>
                </w:tcPr>
                <w:p w14:paraId="362FB4E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7" w:type="pct"/>
                  <w:shd w:val="clear" w:color="auto" w:fill="auto"/>
                  <w:vAlign w:val="center"/>
                </w:tcPr>
                <w:p w14:paraId="10E1765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0.5</w:t>
                  </w:r>
                </w:p>
              </w:tc>
              <w:tc>
                <w:tcPr>
                  <w:tcW w:w="508" w:type="pct"/>
                  <w:shd w:val="clear" w:color="auto" w:fill="auto"/>
                  <w:vAlign w:val="center"/>
                </w:tcPr>
                <w:p w14:paraId="29F2AEAC">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1</w:t>
                  </w:r>
                </w:p>
              </w:tc>
              <w:tc>
                <w:tcPr>
                  <w:tcW w:w="573" w:type="pct"/>
                  <w:vAlign w:val="center"/>
                </w:tcPr>
                <w:p w14:paraId="71BE0FB8">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桶</w:t>
                  </w:r>
                  <w:r>
                    <w:rPr>
                      <w:rFonts w:hint="eastAsia" w:ascii="Times New Roman" w:hAnsi="Times New Roman" w:eastAsia="宋体" w:cs="Times New Roman"/>
                      <w:color w:val="auto"/>
                      <w:lang w:val="en-US" w:eastAsia="zh-CN"/>
                    </w:rPr>
                    <w:t>装</w:t>
                  </w:r>
                </w:p>
              </w:tc>
              <w:tc>
                <w:tcPr>
                  <w:tcW w:w="600" w:type="pct"/>
                  <w:vAlign w:val="center"/>
                </w:tcPr>
                <w:p w14:paraId="1AE50E1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3个月</w:t>
                  </w:r>
                </w:p>
              </w:tc>
            </w:tr>
            <w:tr w14:paraId="7FAF18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2529813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645" w:type="pct"/>
                  <w:vMerge w:val="continue"/>
                  <w:vAlign w:val="center"/>
                </w:tcPr>
                <w:p w14:paraId="544286A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728" w:type="pct"/>
                  <w:shd w:val="clear" w:color="auto" w:fill="auto"/>
                  <w:vAlign w:val="center"/>
                </w:tcPr>
                <w:p w14:paraId="5724B98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749" w:type="pct"/>
                  <w:vAlign w:val="center"/>
                </w:tcPr>
                <w:p w14:paraId="0F4BACB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7110136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900-0</w:t>
                  </w:r>
                  <w:r>
                    <w:rPr>
                      <w:rFonts w:hint="eastAsia" w:ascii="Times New Roman" w:hAnsi="Times New Roman" w:eastAsia="宋体" w:cs="Times New Roman"/>
                      <w:color w:val="auto"/>
                      <w:szCs w:val="21"/>
                      <w:lang w:val="en-US" w:eastAsia="zh-CN"/>
                    </w:rPr>
                    <w:t>39</w:t>
                  </w:r>
                  <w:r>
                    <w:rPr>
                      <w:rFonts w:hint="default" w:ascii="Times New Roman" w:hAnsi="Times New Roman" w:eastAsia="宋体" w:cs="Times New Roman"/>
                      <w:color w:val="auto"/>
                      <w:szCs w:val="21"/>
                    </w:rPr>
                    <w:t>-49</w:t>
                  </w:r>
                </w:p>
              </w:tc>
              <w:tc>
                <w:tcPr>
                  <w:tcW w:w="409" w:type="pct"/>
                  <w:vMerge w:val="continue"/>
                  <w:vAlign w:val="center"/>
                </w:tcPr>
                <w:p w14:paraId="6518BE5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7" w:type="pct"/>
                  <w:shd w:val="clear" w:color="auto" w:fill="auto"/>
                  <w:vAlign w:val="center"/>
                </w:tcPr>
                <w:p w14:paraId="1AC44B2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rPr>
                    <w:t>.5</w:t>
                  </w:r>
                </w:p>
              </w:tc>
              <w:tc>
                <w:tcPr>
                  <w:tcW w:w="508" w:type="pct"/>
                  <w:shd w:val="clear" w:color="auto" w:fill="auto"/>
                  <w:vAlign w:val="center"/>
                </w:tcPr>
                <w:p w14:paraId="641CFB1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2</w:t>
                  </w:r>
                </w:p>
              </w:tc>
              <w:tc>
                <w:tcPr>
                  <w:tcW w:w="573" w:type="pct"/>
                  <w:vAlign w:val="center"/>
                </w:tcPr>
                <w:p w14:paraId="122B51C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袋装</w:t>
                  </w:r>
                </w:p>
              </w:tc>
              <w:tc>
                <w:tcPr>
                  <w:tcW w:w="600" w:type="pct"/>
                  <w:vAlign w:val="center"/>
                </w:tcPr>
                <w:p w14:paraId="20E3BE2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3个月</w:t>
                  </w:r>
                </w:p>
              </w:tc>
            </w:tr>
            <w:tr w14:paraId="104AE0B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08BFF8D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645" w:type="pct"/>
                  <w:vMerge w:val="continue"/>
                  <w:vAlign w:val="center"/>
                </w:tcPr>
                <w:p w14:paraId="69841FB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728" w:type="pct"/>
                  <w:shd w:val="clear" w:color="auto" w:fill="auto"/>
                  <w:vAlign w:val="center"/>
                </w:tcPr>
                <w:p w14:paraId="20BC3D0E">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废含油抹布</w:t>
                  </w:r>
                </w:p>
              </w:tc>
              <w:tc>
                <w:tcPr>
                  <w:tcW w:w="749" w:type="pct"/>
                  <w:shd w:val="clear" w:color="auto" w:fill="auto"/>
                  <w:vAlign w:val="center"/>
                </w:tcPr>
                <w:p w14:paraId="05A44D6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55FB3B0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900-041-49</w:t>
                  </w:r>
                </w:p>
              </w:tc>
              <w:tc>
                <w:tcPr>
                  <w:tcW w:w="409" w:type="pct"/>
                  <w:vMerge w:val="continue"/>
                  <w:shd w:val="clear" w:color="auto" w:fill="auto"/>
                  <w:vAlign w:val="center"/>
                </w:tcPr>
                <w:p w14:paraId="27AAC45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p>
              </w:tc>
              <w:tc>
                <w:tcPr>
                  <w:tcW w:w="527" w:type="pct"/>
                  <w:shd w:val="clear" w:color="auto" w:fill="auto"/>
                  <w:vAlign w:val="center"/>
                </w:tcPr>
                <w:p w14:paraId="4ADA267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0.5</w:t>
                  </w:r>
                </w:p>
              </w:tc>
              <w:tc>
                <w:tcPr>
                  <w:tcW w:w="508" w:type="pct"/>
                  <w:shd w:val="clear" w:color="auto" w:fill="auto"/>
                  <w:vAlign w:val="center"/>
                </w:tcPr>
                <w:p w14:paraId="27722FC7">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0.</w:t>
                  </w:r>
                  <w:r>
                    <w:rPr>
                      <w:rFonts w:hint="eastAsia" w:ascii="Times New Roman" w:hAnsi="Times New Roman" w:eastAsia="宋体" w:cs="Times New Roman"/>
                      <w:color w:val="auto"/>
                      <w:lang w:val="en-US" w:eastAsia="zh-CN"/>
                    </w:rPr>
                    <w:t>1</w:t>
                  </w:r>
                </w:p>
              </w:tc>
              <w:tc>
                <w:tcPr>
                  <w:tcW w:w="573" w:type="pct"/>
                  <w:shd w:val="clear" w:color="auto" w:fill="auto"/>
                  <w:vAlign w:val="center"/>
                </w:tcPr>
                <w:p w14:paraId="1DEAF362">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lang w:val="en-US" w:eastAsia="zh-CN"/>
                    </w:rPr>
                    <w:t>袋装</w:t>
                  </w:r>
                </w:p>
              </w:tc>
              <w:tc>
                <w:tcPr>
                  <w:tcW w:w="600" w:type="pct"/>
                  <w:shd w:val="clear" w:color="auto" w:fill="auto"/>
                  <w:vAlign w:val="center"/>
                </w:tcPr>
                <w:p w14:paraId="6B8755E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default" w:ascii="Times New Roman" w:hAnsi="Times New Roman" w:eastAsia="宋体" w:cs="Times New Roman"/>
                      <w:color w:val="auto"/>
                    </w:rPr>
                    <w:t>3个月</w:t>
                  </w:r>
                </w:p>
              </w:tc>
            </w:tr>
            <w:tr w14:paraId="0793C4B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55" w:type="pct"/>
                  <w:vAlign w:val="center"/>
                </w:tcPr>
                <w:p w14:paraId="354A551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645" w:type="pct"/>
                  <w:vMerge w:val="continue"/>
                  <w:vAlign w:val="center"/>
                </w:tcPr>
                <w:p w14:paraId="17E2A31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728" w:type="pct"/>
                  <w:shd w:val="clear" w:color="auto" w:fill="auto"/>
                  <w:vAlign w:val="center"/>
                </w:tcPr>
                <w:p w14:paraId="634F78D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污水处理站污泥和浓液</w:t>
                  </w:r>
                </w:p>
              </w:tc>
              <w:tc>
                <w:tcPr>
                  <w:tcW w:w="749" w:type="pct"/>
                  <w:vAlign w:val="center"/>
                </w:tcPr>
                <w:p w14:paraId="1E5ABEA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42362B2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eastAsia" w:ascii="Times New Roman" w:hAnsi="Times New Roman" w:eastAsia="宋体" w:cs="Times New Roman"/>
                      <w:color w:val="auto"/>
                      <w:sz w:val="21"/>
                      <w:szCs w:val="21"/>
                      <w:lang w:val="en-US" w:eastAsia="zh-CN"/>
                    </w:rPr>
                    <w:t>722</w:t>
                  </w: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06</w:t>
                  </w:r>
                  <w:r>
                    <w:rPr>
                      <w:rFonts w:hint="default" w:ascii="Times New Roman" w:hAnsi="Times New Roman" w:eastAsia="宋体" w:cs="Times New Roman"/>
                      <w:color w:val="auto"/>
                      <w:sz w:val="21"/>
                      <w:szCs w:val="21"/>
                    </w:rPr>
                    <w:t>-49</w:t>
                  </w:r>
                </w:p>
              </w:tc>
              <w:tc>
                <w:tcPr>
                  <w:tcW w:w="409" w:type="pct"/>
                  <w:vMerge w:val="continue"/>
                  <w:vAlign w:val="center"/>
                </w:tcPr>
                <w:p w14:paraId="4F51775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p>
              </w:tc>
              <w:tc>
                <w:tcPr>
                  <w:tcW w:w="527" w:type="pct"/>
                  <w:shd w:val="clear" w:color="auto" w:fill="auto"/>
                  <w:vAlign w:val="center"/>
                </w:tcPr>
                <w:p w14:paraId="5881986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4</w:t>
                  </w:r>
                </w:p>
              </w:tc>
              <w:tc>
                <w:tcPr>
                  <w:tcW w:w="508" w:type="pct"/>
                  <w:shd w:val="clear" w:color="auto" w:fill="auto"/>
                  <w:vAlign w:val="center"/>
                </w:tcPr>
                <w:p w14:paraId="3113CEF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2"/>
                      <w:lang w:val="en-US" w:eastAsia="zh-CN" w:bidi="ar-SA"/>
                    </w:rPr>
                  </w:pPr>
                  <w:r>
                    <w:rPr>
                      <w:rFonts w:hint="eastAsia" w:ascii="Times New Roman" w:hAnsi="Times New Roman" w:eastAsia="宋体" w:cs="Times New Roman"/>
                      <w:color w:val="auto"/>
                      <w:kern w:val="2"/>
                      <w:sz w:val="21"/>
                      <w:szCs w:val="22"/>
                      <w:lang w:val="en-US" w:eastAsia="zh-CN" w:bidi="ar-SA"/>
                    </w:rPr>
                    <w:t>3</w:t>
                  </w:r>
                </w:p>
              </w:tc>
              <w:tc>
                <w:tcPr>
                  <w:tcW w:w="958" w:type="dxa"/>
                  <w:vAlign w:val="center"/>
                </w:tcPr>
                <w:p w14:paraId="3C8DBC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桶</w:t>
                  </w:r>
                  <w:r>
                    <w:rPr>
                      <w:rFonts w:hint="eastAsia" w:ascii="Times New Roman" w:hAnsi="Times New Roman" w:eastAsia="宋体" w:cs="Times New Roman"/>
                      <w:color w:val="auto"/>
                      <w:lang w:val="en-US" w:eastAsia="zh-CN"/>
                    </w:rPr>
                    <w:t>装</w:t>
                  </w:r>
                </w:p>
              </w:tc>
              <w:tc>
                <w:tcPr>
                  <w:tcW w:w="1003" w:type="dxa"/>
                  <w:vAlign w:val="center"/>
                </w:tcPr>
                <w:p w14:paraId="3234A6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3个月</w:t>
                  </w:r>
                </w:p>
              </w:tc>
            </w:tr>
          </w:tbl>
          <w:p w14:paraId="0504967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本项目设</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的</w:t>
            </w:r>
            <w:r>
              <w:rPr>
                <w:rFonts w:hint="default" w:ascii="Times New Roman" w:hAnsi="Times New Roman" w:eastAsia="宋体" w:cs="Times New Roman"/>
                <w:color w:val="auto"/>
                <w:sz w:val="24"/>
                <w:lang w:val="en-US" w:eastAsia="zh-CN"/>
              </w:rPr>
              <w:t>危废暂存间</w:t>
            </w:r>
            <w:r>
              <w:rPr>
                <w:rFonts w:hint="default" w:ascii="Times New Roman" w:hAnsi="Times New Roman" w:eastAsia="宋体" w:cs="Times New Roman"/>
                <w:color w:val="auto"/>
                <w:sz w:val="24"/>
              </w:rPr>
              <w:t>，最多可容纳约</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t危险废物，项目全厂一个贮存周期的危险废物的产生量约为</w:t>
            </w:r>
            <w:r>
              <w:rPr>
                <w:rFonts w:hint="eastAsia" w:ascii="Times New Roman" w:hAnsi="Times New Roman" w:eastAsia="宋体" w:cs="Times New Roman"/>
                <w:color w:val="auto"/>
                <w:sz w:val="24"/>
                <w:lang w:val="en-US" w:eastAsia="zh-CN"/>
              </w:rPr>
              <w:t>4.023</w:t>
            </w:r>
            <w:r>
              <w:rPr>
                <w:rFonts w:hint="default" w:ascii="Times New Roman" w:hAnsi="Times New Roman" w:eastAsia="宋体" w:cs="Times New Roman"/>
                <w:color w:val="auto"/>
                <w:sz w:val="24"/>
              </w:rPr>
              <w:t>t，因此企业危废暂存场所可以满足项目产生的危废暂存需求。</w:t>
            </w:r>
          </w:p>
          <w:p w14:paraId="426BBB4A">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w:t>
            </w:r>
            <w:r>
              <w:rPr>
                <w:rFonts w:hint="default" w:ascii="Times New Roman" w:hAnsi="Times New Roman" w:eastAsia="宋体" w:cs="Times New Roman"/>
                <w:b/>
                <w:color w:val="auto"/>
                <w:sz w:val="24"/>
              </w:rPr>
              <w:t>4  本项目固体废物利用处置方式评价表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50"/>
              <w:gridCol w:w="1664"/>
              <w:gridCol w:w="1109"/>
              <w:gridCol w:w="1109"/>
              <w:gridCol w:w="1423"/>
              <w:gridCol w:w="949"/>
              <w:gridCol w:w="1544"/>
            </w:tblGrid>
            <w:tr w14:paraId="7DB85A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0952F23C">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996" w:type="pct"/>
                  <w:vAlign w:val="center"/>
                </w:tcPr>
                <w:p w14:paraId="6E729FC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固废名称</w:t>
                  </w:r>
                </w:p>
              </w:tc>
              <w:tc>
                <w:tcPr>
                  <w:tcW w:w="664" w:type="pct"/>
                  <w:vAlign w:val="center"/>
                </w:tcPr>
                <w:p w14:paraId="11525275">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产生工序</w:t>
                  </w:r>
                </w:p>
              </w:tc>
              <w:tc>
                <w:tcPr>
                  <w:tcW w:w="664" w:type="pct"/>
                  <w:vAlign w:val="center"/>
                </w:tcPr>
                <w:p w14:paraId="18CE325A">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属性</w:t>
                  </w:r>
                </w:p>
              </w:tc>
              <w:tc>
                <w:tcPr>
                  <w:tcW w:w="852" w:type="pct"/>
                  <w:vAlign w:val="center"/>
                </w:tcPr>
                <w:p w14:paraId="3A61FCBB">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危废代码</w:t>
                  </w:r>
                </w:p>
              </w:tc>
              <w:tc>
                <w:tcPr>
                  <w:tcW w:w="568" w:type="pct"/>
                  <w:vAlign w:val="center"/>
                </w:tcPr>
                <w:p w14:paraId="05DEA266">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产生量（t/a）</w:t>
                  </w:r>
                </w:p>
              </w:tc>
              <w:tc>
                <w:tcPr>
                  <w:tcW w:w="924" w:type="pct"/>
                  <w:vAlign w:val="center"/>
                </w:tcPr>
                <w:p w14:paraId="13022519">
                  <w:pPr>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利用处置方式</w:t>
                  </w:r>
                </w:p>
              </w:tc>
            </w:tr>
            <w:tr w14:paraId="45AF146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58862BF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996" w:type="pct"/>
                  <w:shd w:val="clear" w:color="auto" w:fill="auto"/>
                  <w:vAlign w:val="center"/>
                </w:tcPr>
                <w:p w14:paraId="1BE9ABF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废清洗剂桶</w:t>
                  </w:r>
                </w:p>
              </w:tc>
              <w:tc>
                <w:tcPr>
                  <w:tcW w:w="664" w:type="pct"/>
                  <w:shd w:val="clear" w:color="auto" w:fill="auto"/>
                  <w:vAlign w:val="center"/>
                </w:tcPr>
                <w:p w14:paraId="5542BC04">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清洗</w:t>
                  </w:r>
                </w:p>
              </w:tc>
              <w:tc>
                <w:tcPr>
                  <w:tcW w:w="664" w:type="pct"/>
                  <w:vMerge w:val="restart"/>
                  <w:vAlign w:val="center"/>
                </w:tcPr>
                <w:p w14:paraId="6067C4B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危险废物</w:t>
                  </w:r>
                </w:p>
              </w:tc>
              <w:tc>
                <w:tcPr>
                  <w:tcW w:w="852" w:type="pct"/>
                  <w:shd w:val="clear" w:color="auto" w:fill="auto"/>
                  <w:vAlign w:val="center"/>
                </w:tcPr>
                <w:p w14:paraId="3ACB23E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7BF0B58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900-041-49</w:t>
                  </w:r>
                </w:p>
              </w:tc>
              <w:tc>
                <w:tcPr>
                  <w:tcW w:w="568" w:type="pct"/>
                  <w:shd w:val="clear" w:color="auto" w:fill="auto"/>
                  <w:vAlign w:val="center"/>
                </w:tcPr>
                <w:p w14:paraId="3F91FFD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924" w:type="pct"/>
                  <w:vAlign w:val="center"/>
                </w:tcPr>
                <w:p w14:paraId="5DBD87DF">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3823F3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5735DD1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996" w:type="pct"/>
                  <w:shd w:val="clear" w:color="auto" w:fill="auto"/>
                  <w:vAlign w:val="center"/>
                </w:tcPr>
                <w:p w14:paraId="0294F95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淬火油</w:t>
                  </w:r>
                  <w:r>
                    <w:rPr>
                      <w:rFonts w:hint="default" w:ascii="Times New Roman" w:hAnsi="Times New Roman" w:eastAsia="宋体" w:cs="Times New Roman"/>
                      <w:color w:val="auto"/>
                      <w:sz w:val="21"/>
                      <w:szCs w:val="21"/>
                    </w:rPr>
                    <w:t>桶</w:t>
                  </w:r>
                </w:p>
              </w:tc>
              <w:tc>
                <w:tcPr>
                  <w:tcW w:w="664" w:type="pct"/>
                  <w:shd w:val="clear" w:color="auto" w:fill="auto"/>
                  <w:vAlign w:val="center"/>
                </w:tcPr>
                <w:p w14:paraId="5C3AB9ED">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淬火</w:t>
                  </w:r>
                </w:p>
              </w:tc>
              <w:tc>
                <w:tcPr>
                  <w:tcW w:w="664" w:type="pct"/>
                  <w:vMerge w:val="continue"/>
                  <w:vAlign w:val="center"/>
                </w:tcPr>
                <w:p w14:paraId="7BAD7232">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2697C00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p w14:paraId="17B2590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900-249-08</w:t>
                  </w:r>
                </w:p>
              </w:tc>
              <w:tc>
                <w:tcPr>
                  <w:tcW w:w="568" w:type="pct"/>
                  <w:shd w:val="clear" w:color="auto" w:fill="auto"/>
                  <w:vAlign w:val="center"/>
                </w:tcPr>
                <w:p w14:paraId="35ED154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w:t>
                  </w:r>
                </w:p>
              </w:tc>
              <w:tc>
                <w:tcPr>
                  <w:tcW w:w="924" w:type="pct"/>
                  <w:vAlign w:val="center"/>
                </w:tcPr>
                <w:p w14:paraId="6CE4C92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2699DC7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3BAD6F9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996" w:type="pct"/>
                  <w:shd w:val="clear" w:color="auto" w:fill="auto"/>
                  <w:vAlign w:val="center"/>
                </w:tcPr>
                <w:p w14:paraId="6851D2F4">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淬火油</w:t>
                  </w:r>
                </w:p>
              </w:tc>
              <w:tc>
                <w:tcPr>
                  <w:tcW w:w="664" w:type="pct"/>
                  <w:shd w:val="clear" w:color="auto" w:fill="auto"/>
                  <w:vAlign w:val="center"/>
                </w:tcPr>
                <w:p w14:paraId="3E264326">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淬火</w:t>
                  </w:r>
                </w:p>
              </w:tc>
              <w:tc>
                <w:tcPr>
                  <w:tcW w:w="664" w:type="pct"/>
                  <w:vMerge w:val="continue"/>
                  <w:vAlign w:val="center"/>
                </w:tcPr>
                <w:p w14:paraId="66527BAF">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62ACC32D">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p w14:paraId="7C36E90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900-203-08</w:t>
                  </w:r>
                </w:p>
              </w:tc>
              <w:tc>
                <w:tcPr>
                  <w:tcW w:w="568" w:type="pct"/>
                  <w:shd w:val="clear" w:color="auto" w:fill="auto"/>
                  <w:vAlign w:val="center"/>
                </w:tcPr>
                <w:p w14:paraId="4836120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924" w:type="pct"/>
                  <w:vAlign w:val="center"/>
                </w:tcPr>
                <w:p w14:paraId="31563A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273BEC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212B9283">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996" w:type="pct"/>
                  <w:shd w:val="clear" w:color="auto" w:fill="auto"/>
                  <w:vAlign w:val="center"/>
                </w:tcPr>
                <w:p w14:paraId="145853A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废防锈油桶</w:t>
                  </w:r>
                </w:p>
              </w:tc>
              <w:tc>
                <w:tcPr>
                  <w:tcW w:w="664" w:type="pct"/>
                  <w:shd w:val="clear" w:color="auto" w:fill="auto"/>
                  <w:vAlign w:val="center"/>
                </w:tcPr>
                <w:p w14:paraId="0BFAE5A0">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上油</w:t>
                  </w:r>
                </w:p>
              </w:tc>
              <w:tc>
                <w:tcPr>
                  <w:tcW w:w="664" w:type="pct"/>
                  <w:vMerge w:val="continue"/>
                  <w:vAlign w:val="center"/>
                </w:tcPr>
                <w:p w14:paraId="619A84A9">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7E1E4BF0">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p w14:paraId="7486D79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900-249-08</w:t>
                  </w:r>
                </w:p>
              </w:tc>
              <w:tc>
                <w:tcPr>
                  <w:tcW w:w="568" w:type="pct"/>
                  <w:shd w:val="clear" w:color="auto" w:fill="auto"/>
                  <w:vAlign w:val="center"/>
                </w:tcPr>
                <w:p w14:paraId="01824B3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w:t>
                  </w:r>
                </w:p>
              </w:tc>
              <w:tc>
                <w:tcPr>
                  <w:tcW w:w="924" w:type="pct"/>
                  <w:vAlign w:val="center"/>
                </w:tcPr>
                <w:p w14:paraId="6682549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32A98B9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18730EE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5</w:t>
                  </w:r>
                </w:p>
              </w:tc>
              <w:tc>
                <w:tcPr>
                  <w:tcW w:w="996" w:type="pct"/>
                  <w:shd w:val="clear" w:color="auto" w:fill="auto"/>
                  <w:vAlign w:val="center"/>
                </w:tcPr>
                <w:p w14:paraId="4E7134E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废防锈油</w:t>
                  </w:r>
                </w:p>
              </w:tc>
              <w:tc>
                <w:tcPr>
                  <w:tcW w:w="664" w:type="pct"/>
                  <w:shd w:val="clear" w:color="auto" w:fill="auto"/>
                  <w:vAlign w:val="center"/>
                </w:tcPr>
                <w:p w14:paraId="13864D5C">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上油</w:t>
                  </w:r>
                </w:p>
              </w:tc>
              <w:tc>
                <w:tcPr>
                  <w:tcW w:w="664" w:type="pct"/>
                  <w:vMerge w:val="continue"/>
                  <w:vAlign w:val="center"/>
                </w:tcPr>
                <w:p w14:paraId="5D755AEC">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43DA27A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p w14:paraId="0034AEF2">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w:t>
                  </w:r>
                  <w:r>
                    <w:rPr>
                      <w:rFonts w:hint="eastAsia" w:ascii="Times New Roman" w:hAnsi="Times New Roman" w:eastAsia="宋体" w:cs="Times New Roman"/>
                      <w:color w:val="auto"/>
                      <w:kern w:val="2"/>
                      <w:sz w:val="21"/>
                      <w:szCs w:val="21"/>
                      <w:lang w:val="en-US" w:eastAsia="zh-CN" w:bidi="ar-SA"/>
                    </w:rPr>
                    <w:t>16</w:t>
                  </w:r>
                  <w:r>
                    <w:rPr>
                      <w:rFonts w:hint="default" w:ascii="Times New Roman" w:hAnsi="Times New Roman" w:eastAsia="宋体" w:cs="Times New Roman"/>
                      <w:color w:val="auto"/>
                      <w:kern w:val="2"/>
                      <w:sz w:val="21"/>
                      <w:szCs w:val="21"/>
                      <w:lang w:val="en-US" w:eastAsia="zh-CN" w:bidi="ar-SA"/>
                    </w:rPr>
                    <w:t>-08</w:t>
                  </w:r>
                </w:p>
              </w:tc>
              <w:tc>
                <w:tcPr>
                  <w:tcW w:w="568" w:type="pct"/>
                  <w:shd w:val="clear" w:color="auto" w:fill="auto"/>
                  <w:vAlign w:val="center"/>
                </w:tcPr>
                <w:p w14:paraId="6339F43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w:t>
                  </w:r>
                </w:p>
              </w:tc>
              <w:tc>
                <w:tcPr>
                  <w:tcW w:w="924" w:type="pct"/>
                  <w:vAlign w:val="center"/>
                </w:tcPr>
                <w:p w14:paraId="6E21324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7D7FDB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7F464EF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6</w:t>
                  </w:r>
                </w:p>
              </w:tc>
              <w:tc>
                <w:tcPr>
                  <w:tcW w:w="996" w:type="pct"/>
                  <w:shd w:val="clear" w:color="auto" w:fill="auto"/>
                  <w:vAlign w:val="center"/>
                </w:tcPr>
                <w:p w14:paraId="3CF0ACE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664" w:type="pct"/>
                  <w:shd w:val="clear" w:color="auto" w:fill="auto"/>
                  <w:vAlign w:val="center"/>
                </w:tcPr>
                <w:p w14:paraId="39393DE7">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废气处理</w:t>
                  </w:r>
                </w:p>
              </w:tc>
              <w:tc>
                <w:tcPr>
                  <w:tcW w:w="664" w:type="pct"/>
                  <w:vMerge w:val="continue"/>
                  <w:vAlign w:val="center"/>
                </w:tcPr>
                <w:p w14:paraId="4134D5E2">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36EE07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3C34BF45">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rPr>
                    <w:t>900-</w:t>
                  </w:r>
                  <w:r>
                    <w:rPr>
                      <w:rFonts w:hint="eastAsia" w:ascii="Times New Roman" w:hAnsi="Times New Roman" w:eastAsia="宋体" w:cs="Times New Roman"/>
                      <w:color w:val="auto"/>
                      <w:szCs w:val="21"/>
                      <w:lang w:val="en-US" w:eastAsia="zh-CN"/>
                    </w:rPr>
                    <w:t>039</w:t>
                  </w:r>
                  <w:r>
                    <w:rPr>
                      <w:rFonts w:hint="default" w:ascii="Times New Roman" w:hAnsi="Times New Roman" w:eastAsia="宋体" w:cs="Times New Roman"/>
                      <w:color w:val="auto"/>
                      <w:szCs w:val="21"/>
                    </w:rPr>
                    <w:t>-49</w:t>
                  </w:r>
                </w:p>
              </w:tc>
              <w:tc>
                <w:tcPr>
                  <w:tcW w:w="568" w:type="pct"/>
                  <w:shd w:val="clear" w:color="auto" w:fill="auto"/>
                  <w:vAlign w:val="center"/>
                </w:tcPr>
                <w:p w14:paraId="378DA90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3.445</w:t>
                  </w:r>
                </w:p>
              </w:tc>
              <w:tc>
                <w:tcPr>
                  <w:tcW w:w="924" w:type="pct"/>
                  <w:vAlign w:val="center"/>
                </w:tcPr>
                <w:p w14:paraId="5728128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300BDF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5CA34667">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w:t>
                  </w:r>
                </w:p>
              </w:tc>
              <w:tc>
                <w:tcPr>
                  <w:tcW w:w="996" w:type="pct"/>
                  <w:shd w:val="clear" w:color="auto" w:fill="auto"/>
                  <w:vAlign w:val="center"/>
                </w:tcPr>
                <w:p w14:paraId="34C4686C">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废含油抹布</w:t>
                  </w:r>
                </w:p>
              </w:tc>
              <w:tc>
                <w:tcPr>
                  <w:tcW w:w="664" w:type="pct"/>
                  <w:shd w:val="clear" w:color="auto" w:fill="auto"/>
                  <w:vAlign w:val="center"/>
                </w:tcPr>
                <w:p w14:paraId="3D7D686F">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设备维护等</w:t>
                  </w:r>
                </w:p>
              </w:tc>
              <w:tc>
                <w:tcPr>
                  <w:tcW w:w="664" w:type="pct"/>
                  <w:vMerge w:val="continue"/>
                  <w:vAlign w:val="center"/>
                </w:tcPr>
                <w:p w14:paraId="42C3F8AE">
                  <w:pPr>
                    <w:jc w:val="center"/>
                    <w:rPr>
                      <w:rFonts w:hint="default" w:ascii="Times New Roman" w:hAnsi="Times New Roman" w:eastAsia="宋体" w:cs="Times New Roman"/>
                      <w:color w:val="auto"/>
                      <w:sz w:val="21"/>
                      <w:szCs w:val="21"/>
                    </w:rPr>
                  </w:pPr>
                </w:p>
              </w:tc>
              <w:tc>
                <w:tcPr>
                  <w:tcW w:w="852" w:type="pct"/>
                  <w:shd w:val="clear" w:color="auto" w:fill="auto"/>
                  <w:vAlign w:val="center"/>
                </w:tcPr>
                <w:p w14:paraId="628074A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4DD5BA8F">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900-041-49</w:t>
                  </w:r>
                </w:p>
              </w:tc>
              <w:tc>
                <w:tcPr>
                  <w:tcW w:w="568" w:type="pct"/>
                  <w:shd w:val="clear" w:color="auto" w:fill="auto"/>
                  <w:vAlign w:val="center"/>
                </w:tcPr>
                <w:p w14:paraId="2C48DEA2">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0.156</w:t>
                  </w:r>
                </w:p>
              </w:tc>
              <w:tc>
                <w:tcPr>
                  <w:tcW w:w="924" w:type="pct"/>
                  <w:vAlign w:val="center"/>
                </w:tcPr>
                <w:p w14:paraId="061A0E0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委托有资质单位处置</w:t>
                  </w:r>
                </w:p>
              </w:tc>
            </w:tr>
            <w:tr w14:paraId="44FA8E7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64E49FE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8</w:t>
                  </w:r>
                </w:p>
              </w:tc>
              <w:tc>
                <w:tcPr>
                  <w:tcW w:w="996" w:type="pct"/>
                  <w:shd w:val="clear" w:color="auto" w:fill="auto"/>
                  <w:vAlign w:val="center"/>
                </w:tcPr>
                <w:p w14:paraId="788BD3B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污水处理站污泥和浓液</w:t>
                  </w:r>
                </w:p>
              </w:tc>
              <w:tc>
                <w:tcPr>
                  <w:tcW w:w="664" w:type="pct"/>
                  <w:shd w:val="clear" w:color="auto" w:fill="auto"/>
                  <w:vAlign w:val="center"/>
                </w:tcPr>
                <w:p w14:paraId="018E16DF">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污水处理</w:t>
                  </w:r>
                </w:p>
              </w:tc>
              <w:tc>
                <w:tcPr>
                  <w:tcW w:w="664" w:type="pct"/>
                  <w:vMerge w:val="continue"/>
                  <w:shd w:val="clear" w:color="auto" w:fill="auto"/>
                  <w:vAlign w:val="center"/>
                </w:tcPr>
                <w:p w14:paraId="1035D39A">
                  <w:pPr>
                    <w:jc w:val="center"/>
                    <w:rPr>
                      <w:rFonts w:hint="default" w:ascii="Times New Roman" w:hAnsi="Times New Roman" w:eastAsia="宋体" w:cs="Times New Roman"/>
                      <w:color w:val="auto"/>
                      <w:kern w:val="2"/>
                      <w:sz w:val="21"/>
                      <w:szCs w:val="21"/>
                      <w:lang w:val="en-US" w:eastAsia="zh-CN" w:bidi="ar-SA"/>
                    </w:rPr>
                  </w:pPr>
                </w:p>
              </w:tc>
              <w:tc>
                <w:tcPr>
                  <w:tcW w:w="852" w:type="pct"/>
                  <w:shd w:val="clear" w:color="auto" w:fill="auto"/>
                  <w:vAlign w:val="center"/>
                </w:tcPr>
                <w:p w14:paraId="1A81803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HW49</w:t>
                  </w:r>
                </w:p>
                <w:p w14:paraId="5960FF7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722</w:t>
                  </w:r>
                  <w:r>
                    <w:rPr>
                      <w:rFonts w:hint="default" w:ascii="Times New Roman" w:hAnsi="Times New Roman" w:eastAsia="宋体" w:cs="Times New Roman"/>
                      <w:color w:val="auto"/>
                      <w:sz w:val="21"/>
                      <w:szCs w:val="21"/>
                    </w:rPr>
                    <w:t>-0</w:t>
                  </w:r>
                  <w:r>
                    <w:rPr>
                      <w:rFonts w:hint="eastAsia" w:ascii="Times New Roman" w:hAnsi="Times New Roman" w:eastAsia="宋体" w:cs="Times New Roman"/>
                      <w:color w:val="auto"/>
                      <w:sz w:val="21"/>
                      <w:szCs w:val="21"/>
                      <w:lang w:val="en-US" w:eastAsia="zh-CN"/>
                    </w:rPr>
                    <w:t>06</w:t>
                  </w:r>
                  <w:r>
                    <w:rPr>
                      <w:rFonts w:hint="default" w:ascii="Times New Roman" w:hAnsi="Times New Roman" w:eastAsia="宋体" w:cs="Times New Roman"/>
                      <w:color w:val="auto"/>
                      <w:sz w:val="21"/>
                      <w:szCs w:val="21"/>
                    </w:rPr>
                    <w:t>-49</w:t>
                  </w:r>
                </w:p>
              </w:tc>
              <w:tc>
                <w:tcPr>
                  <w:tcW w:w="568" w:type="pct"/>
                  <w:shd w:val="clear" w:color="auto" w:fill="auto"/>
                  <w:vAlign w:val="center"/>
                </w:tcPr>
                <w:p w14:paraId="47F82CD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10.99</w:t>
                  </w:r>
                </w:p>
              </w:tc>
              <w:tc>
                <w:tcPr>
                  <w:tcW w:w="924" w:type="pct"/>
                  <w:shd w:val="clear" w:color="auto" w:fill="auto"/>
                  <w:vAlign w:val="center"/>
                </w:tcPr>
                <w:p w14:paraId="133BD96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委托有资质单位处置</w:t>
                  </w:r>
                </w:p>
              </w:tc>
            </w:tr>
            <w:tr w14:paraId="2F74C5D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69118BE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w:t>
                  </w:r>
                </w:p>
              </w:tc>
              <w:tc>
                <w:tcPr>
                  <w:tcW w:w="996" w:type="pct"/>
                  <w:vAlign w:val="center"/>
                </w:tcPr>
                <w:p w14:paraId="0E143AC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rPr>
                    <w:t>废</w:t>
                  </w:r>
                  <w:r>
                    <w:rPr>
                      <w:rFonts w:hint="eastAsia" w:ascii="Times New Roman" w:hAnsi="Times New Roman" w:eastAsia="宋体" w:cs="Times New Roman"/>
                      <w:b w:val="0"/>
                      <w:bCs/>
                      <w:color w:val="auto"/>
                      <w:sz w:val="21"/>
                      <w:szCs w:val="21"/>
                      <w:lang w:val="en-US" w:eastAsia="zh-CN"/>
                    </w:rPr>
                    <w:t>金刚砂</w:t>
                  </w:r>
                </w:p>
              </w:tc>
              <w:tc>
                <w:tcPr>
                  <w:tcW w:w="664" w:type="pct"/>
                  <w:shd w:val="clear" w:color="auto" w:fill="auto"/>
                  <w:vAlign w:val="center"/>
                </w:tcPr>
                <w:p w14:paraId="2296AEDC">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喷砂</w:t>
                  </w:r>
                </w:p>
              </w:tc>
              <w:tc>
                <w:tcPr>
                  <w:tcW w:w="664" w:type="pct"/>
                  <w:vMerge w:val="restart"/>
                  <w:vAlign w:val="center"/>
                </w:tcPr>
                <w:p w14:paraId="2FA11E3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852" w:type="pct"/>
                  <w:vAlign w:val="center"/>
                </w:tcPr>
                <w:p w14:paraId="4A2618A5">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68" w:type="pct"/>
                  <w:vAlign w:val="center"/>
                </w:tcPr>
                <w:p w14:paraId="67F26A0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c>
                <w:tcPr>
                  <w:tcW w:w="924" w:type="pct"/>
                  <w:vAlign w:val="center"/>
                </w:tcPr>
                <w:p w14:paraId="4866E09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外售综合利用</w:t>
                  </w:r>
                </w:p>
              </w:tc>
            </w:tr>
            <w:tr w14:paraId="6D02CE7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12973CD7">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w:t>
                  </w:r>
                </w:p>
              </w:tc>
              <w:tc>
                <w:tcPr>
                  <w:tcW w:w="996" w:type="pct"/>
                  <w:vAlign w:val="center"/>
                </w:tcPr>
                <w:p w14:paraId="07FC5797">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废布袋</w:t>
                  </w:r>
                </w:p>
              </w:tc>
              <w:tc>
                <w:tcPr>
                  <w:tcW w:w="664" w:type="pct"/>
                  <w:shd w:val="clear" w:color="auto" w:fill="auto"/>
                  <w:vAlign w:val="center"/>
                </w:tcPr>
                <w:p w14:paraId="050A48B3">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废气处理</w:t>
                  </w:r>
                </w:p>
              </w:tc>
              <w:tc>
                <w:tcPr>
                  <w:tcW w:w="664" w:type="pct"/>
                  <w:vMerge w:val="continue"/>
                  <w:vAlign w:val="center"/>
                </w:tcPr>
                <w:p w14:paraId="7B503DFB">
                  <w:pPr>
                    <w:jc w:val="center"/>
                    <w:rPr>
                      <w:rFonts w:hint="default" w:ascii="Times New Roman" w:hAnsi="Times New Roman" w:eastAsia="宋体" w:cs="Times New Roman"/>
                      <w:color w:val="auto"/>
                      <w:sz w:val="21"/>
                      <w:szCs w:val="21"/>
                    </w:rPr>
                  </w:pPr>
                </w:p>
              </w:tc>
              <w:tc>
                <w:tcPr>
                  <w:tcW w:w="852" w:type="pct"/>
                  <w:vAlign w:val="center"/>
                </w:tcPr>
                <w:p w14:paraId="21ECCE1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68" w:type="pct"/>
                  <w:vAlign w:val="center"/>
                </w:tcPr>
                <w:p w14:paraId="14FB1D7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924" w:type="pct"/>
                  <w:vAlign w:val="center"/>
                </w:tcPr>
                <w:p w14:paraId="6668923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外售综合利用</w:t>
                  </w:r>
                </w:p>
              </w:tc>
            </w:tr>
            <w:tr w14:paraId="7A265C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shd w:val="clear" w:color="auto" w:fill="auto"/>
                  <w:vAlign w:val="center"/>
                </w:tcPr>
                <w:p w14:paraId="36F4F755">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w:t>
                  </w:r>
                </w:p>
              </w:tc>
              <w:tc>
                <w:tcPr>
                  <w:tcW w:w="996" w:type="pct"/>
                  <w:vAlign w:val="center"/>
                </w:tcPr>
                <w:p w14:paraId="5FA75661">
                  <w:pPr>
                    <w:adjustRightInd w:val="0"/>
                    <w:snapToGrid w:val="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布袋收尘</w:t>
                  </w:r>
                </w:p>
              </w:tc>
              <w:tc>
                <w:tcPr>
                  <w:tcW w:w="664" w:type="pct"/>
                  <w:shd w:val="clear" w:color="auto" w:fill="auto"/>
                  <w:vAlign w:val="center"/>
                </w:tcPr>
                <w:p w14:paraId="6D5035F8">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废气处理</w:t>
                  </w:r>
                </w:p>
              </w:tc>
              <w:tc>
                <w:tcPr>
                  <w:tcW w:w="664" w:type="pct"/>
                  <w:vMerge w:val="continue"/>
                  <w:vAlign w:val="center"/>
                </w:tcPr>
                <w:p w14:paraId="77BBA03F">
                  <w:pPr>
                    <w:jc w:val="center"/>
                    <w:rPr>
                      <w:rFonts w:hint="default" w:ascii="Times New Roman" w:hAnsi="Times New Roman" w:eastAsia="宋体" w:cs="Times New Roman"/>
                      <w:color w:val="auto"/>
                      <w:sz w:val="21"/>
                      <w:szCs w:val="21"/>
                    </w:rPr>
                  </w:pPr>
                </w:p>
              </w:tc>
              <w:tc>
                <w:tcPr>
                  <w:tcW w:w="852" w:type="pct"/>
                  <w:vAlign w:val="center"/>
                </w:tcPr>
                <w:p w14:paraId="0F1F91F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68" w:type="pct"/>
                  <w:vAlign w:val="center"/>
                </w:tcPr>
                <w:p w14:paraId="166A184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p>
              </w:tc>
              <w:tc>
                <w:tcPr>
                  <w:tcW w:w="924" w:type="pct"/>
                  <w:vAlign w:val="center"/>
                </w:tcPr>
                <w:p w14:paraId="6A5B0DB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外售综合利用</w:t>
                  </w:r>
                </w:p>
              </w:tc>
            </w:tr>
            <w:tr w14:paraId="74E789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29" w:type="pct"/>
                  <w:vAlign w:val="center"/>
                </w:tcPr>
                <w:p w14:paraId="1789EFF9">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12</w:t>
                  </w:r>
                </w:p>
              </w:tc>
              <w:tc>
                <w:tcPr>
                  <w:tcW w:w="996" w:type="pct"/>
                  <w:vAlign w:val="center"/>
                </w:tcPr>
                <w:p w14:paraId="369BBE8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664" w:type="pct"/>
                  <w:vAlign w:val="center"/>
                </w:tcPr>
                <w:p w14:paraId="637B665C">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员工生活、办公</w:t>
                  </w:r>
                </w:p>
              </w:tc>
              <w:tc>
                <w:tcPr>
                  <w:tcW w:w="664" w:type="pct"/>
                  <w:vAlign w:val="center"/>
                </w:tcPr>
                <w:p w14:paraId="11C7C361">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w:t>
                  </w:r>
                </w:p>
              </w:tc>
              <w:tc>
                <w:tcPr>
                  <w:tcW w:w="852" w:type="pct"/>
                  <w:vAlign w:val="center"/>
                </w:tcPr>
                <w:p w14:paraId="44FB57F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568" w:type="pct"/>
                  <w:vAlign w:val="center"/>
                </w:tcPr>
                <w:p w14:paraId="1EF7BA97">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3.0</w:t>
                  </w:r>
                </w:p>
              </w:tc>
              <w:tc>
                <w:tcPr>
                  <w:tcW w:w="924" w:type="pct"/>
                  <w:vAlign w:val="center"/>
                </w:tcPr>
                <w:p w14:paraId="3B5C0512">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环卫部门统一清运</w:t>
                  </w:r>
                </w:p>
              </w:tc>
            </w:tr>
          </w:tbl>
          <w:p w14:paraId="120574D0">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5、固体废物污染防治措施</w:t>
            </w:r>
          </w:p>
          <w:p w14:paraId="44AC1AC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（1）危险固体废物</w:t>
            </w:r>
          </w:p>
          <w:p w14:paraId="0064CE0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1）危险废物处置方式</w:t>
            </w:r>
          </w:p>
          <w:p w14:paraId="4F693CB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根据《国家危险废物名录》（2021年版）以及危险废物鉴别标准，本项目危险废物为</w:t>
            </w:r>
            <w:r>
              <w:rPr>
                <w:rFonts w:hint="eastAsia" w:ascii="Times New Roman" w:hAnsi="Times New Roman" w:eastAsia="宋体" w:cs="Times New Roman"/>
                <w:b w:val="0"/>
                <w:bCs/>
                <w:color w:val="auto"/>
                <w:sz w:val="24"/>
                <w:lang w:val="en-US" w:eastAsia="zh-CN"/>
              </w:rPr>
              <w:t>废清洗剂桶</w:t>
            </w:r>
            <w:r>
              <w:rPr>
                <w:rFonts w:hint="default" w:ascii="Times New Roman" w:hAnsi="Times New Roman" w:eastAsia="宋体" w:cs="Times New Roman"/>
                <w:color w:val="auto"/>
                <w:sz w:val="24"/>
              </w:rPr>
              <w:t>（HW49</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rPr>
              <w:t>900-041-49）</w:t>
            </w:r>
            <w:r>
              <w:rPr>
                <w:rFonts w:hint="eastAsia" w:ascii="Times New Roman" w:hAnsi="Times New Roman" w:eastAsia="宋体" w:cs="Times New Roman"/>
                <w:color w:val="auto"/>
                <w:sz w:val="24"/>
                <w:lang w:val="en-US" w:eastAsia="zh-CN"/>
              </w:rPr>
              <w:t>0.05</w:t>
            </w:r>
            <w:r>
              <w:rPr>
                <w:rFonts w:hint="default" w:ascii="Times New Roman" w:hAnsi="Times New Roman" w:eastAsia="宋体" w:cs="Times New Roman"/>
                <w:color w:val="auto"/>
                <w:sz w:val="24"/>
              </w:rPr>
              <w:t>t/a、</w:t>
            </w:r>
            <w:r>
              <w:rPr>
                <w:rFonts w:hint="default" w:ascii="Times New Roman" w:hAnsi="Times New Roman" w:eastAsia="宋体" w:cs="Times New Roman"/>
                <w:b w:val="0"/>
                <w:bCs/>
                <w:color w:val="auto"/>
                <w:sz w:val="24"/>
              </w:rPr>
              <w:t>废</w:t>
            </w:r>
            <w:r>
              <w:rPr>
                <w:rFonts w:hint="eastAsia" w:ascii="Times New Roman" w:hAnsi="Times New Roman" w:eastAsia="宋体" w:cs="Times New Roman"/>
                <w:b w:val="0"/>
                <w:bCs/>
                <w:color w:val="auto"/>
                <w:sz w:val="24"/>
                <w:lang w:val="en-US" w:eastAsia="zh-CN"/>
              </w:rPr>
              <w:t>淬火油</w:t>
            </w:r>
            <w:r>
              <w:rPr>
                <w:rFonts w:hint="default" w:ascii="Times New Roman" w:hAnsi="Times New Roman" w:eastAsia="宋体" w:cs="Times New Roman"/>
                <w:b w:val="0"/>
                <w:bCs/>
                <w:color w:val="auto"/>
                <w:sz w:val="24"/>
              </w:rPr>
              <w:t>桶</w:t>
            </w:r>
            <w:r>
              <w:rPr>
                <w:rFonts w:hint="default" w:ascii="Times New Roman" w:hAnsi="Times New Roman" w:eastAsia="宋体" w:cs="Times New Roman"/>
                <w:color w:val="auto"/>
                <w:sz w:val="24"/>
              </w:rPr>
              <w:t>（HW</w:t>
            </w:r>
            <w:r>
              <w:rPr>
                <w:rFonts w:hint="eastAsia" w:ascii="Times New Roman" w:hAnsi="Times New Roman" w:eastAsia="宋体" w:cs="Times New Roman"/>
                <w:color w:val="auto"/>
                <w:sz w:val="24"/>
                <w:lang w:val="en-US" w:eastAsia="zh-CN"/>
              </w:rPr>
              <w:t>08</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b w:val="0"/>
                <w:bCs/>
                <w:color w:val="auto"/>
                <w:sz w:val="24"/>
                <w:lang w:val="en-US" w:eastAsia="zh-CN"/>
              </w:rPr>
              <w:t>900-249-08</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0.2</w:t>
            </w:r>
            <w:r>
              <w:rPr>
                <w:rFonts w:hint="default" w:ascii="Times New Roman" w:hAnsi="Times New Roman" w:eastAsia="宋体" w:cs="Times New Roman"/>
                <w:color w:val="auto"/>
                <w:sz w:val="24"/>
              </w:rPr>
              <w:t>t/a、</w:t>
            </w:r>
            <w:r>
              <w:rPr>
                <w:rFonts w:hint="default" w:ascii="Times New Roman" w:hAnsi="Times New Roman" w:eastAsia="宋体" w:cs="Times New Roman"/>
                <w:b w:val="0"/>
                <w:bCs/>
                <w:color w:val="auto"/>
                <w:sz w:val="24"/>
              </w:rPr>
              <w:t>废</w:t>
            </w:r>
            <w:r>
              <w:rPr>
                <w:rFonts w:hint="default" w:ascii="Times New Roman" w:hAnsi="Times New Roman" w:eastAsia="宋体" w:cs="Times New Roman"/>
                <w:b w:val="0"/>
                <w:bCs/>
                <w:color w:val="auto"/>
                <w:sz w:val="24"/>
                <w:lang w:val="en-US" w:eastAsia="zh-CN"/>
              </w:rPr>
              <w:t>防锈油</w:t>
            </w:r>
            <w:r>
              <w:rPr>
                <w:rFonts w:hint="default" w:ascii="Times New Roman" w:hAnsi="Times New Roman" w:eastAsia="宋体" w:cs="Times New Roman"/>
                <w:b w:val="0"/>
                <w:bCs/>
                <w:color w:val="auto"/>
                <w:sz w:val="24"/>
              </w:rPr>
              <w:t>桶</w:t>
            </w:r>
            <w:r>
              <w:rPr>
                <w:rFonts w:hint="default" w:ascii="Times New Roman" w:hAnsi="Times New Roman" w:eastAsia="宋体" w:cs="Times New Roman"/>
                <w:color w:val="auto"/>
                <w:sz w:val="24"/>
              </w:rPr>
              <w:t>（HW08</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b w:val="0"/>
                <w:bCs/>
                <w:color w:val="auto"/>
                <w:sz w:val="24"/>
                <w:lang w:val="en-US" w:eastAsia="zh-CN"/>
              </w:rPr>
              <w:t>900-249-08</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0.0</w:t>
            </w:r>
            <w:r>
              <w:rPr>
                <w:rFonts w:hint="default" w:ascii="Times New Roman" w:hAnsi="Times New Roman" w:eastAsia="宋体" w:cs="Times New Roman"/>
                <w:color w:val="auto"/>
                <w:sz w:val="24"/>
                <w:lang w:val="en-US" w:eastAsia="zh-CN"/>
              </w:rPr>
              <w:t>5</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b w:val="0"/>
                <w:bCs/>
                <w:color w:val="auto"/>
                <w:sz w:val="24"/>
                <w:lang w:val="en-US" w:eastAsia="zh-CN"/>
              </w:rPr>
              <w:t xml:space="preserve">废淬火油（HW08 </w:t>
            </w:r>
            <w:r>
              <w:rPr>
                <w:rFonts w:hint="default" w:ascii="Times New Roman" w:hAnsi="Times New Roman" w:eastAsia="宋体" w:cs="Times New Roman"/>
                <w:b w:val="0"/>
                <w:bCs/>
                <w:color w:val="auto"/>
                <w:sz w:val="24"/>
                <w:lang w:val="en-US" w:eastAsia="zh-CN"/>
              </w:rPr>
              <w:t>900-203-08</w:t>
            </w:r>
            <w:r>
              <w:rPr>
                <w:rFonts w:hint="eastAsia" w:ascii="Times New Roman" w:hAnsi="Times New Roman" w:eastAsia="宋体" w:cs="Times New Roman"/>
                <w:b w:val="0"/>
                <w:bCs/>
                <w:color w:val="auto"/>
                <w:sz w:val="24"/>
                <w:lang w:val="en-US" w:eastAsia="zh-CN"/>
              </w:rPr>
              <w:t>）</w:t>
            </w:r>
            <w:r>
              <w:rPr>
                <w:rFonts w:hint="eastAsia"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t/a</w:t>
            </w:r>
            <w:r>
              <w:rPr>
                <w:rFonts w:hint="default" w:ascii="Times New Roman" w:hAnsi="Times New Roman" w:eastAsia="宋体" w:cs="Times New Roman"/>
                <w:color w:val="auto"/>
                <w:sz w:val="24"/>
                <w:lang w:eastAsia="zh-CN"/>
              </w:rPr>
              <w:t>、</w:t>
            </w:r>
            <w:r>
              <w:rPr>
                <w:rFonts w:hint="eastAsia" w:ascii="Times New Roman" w:hAnsi="Times New Roman" w:eastAsia="宋体" w:cs="Times New Roman"/>
                <w:b w:val="0"/>
                <w:bCs/>
                <w:color w:val="auto"/>
                <w:sz w:val="24"/>
                <w:lang w:val="en-US" w:eastAsia="zh-CN"/>
              </w:rPr>
              <w:t xml:space="preserve">废防锈油（HW08 </w:t>
            </w:r>
            <w:r>
              <w:rPr>
                <w:rFonts w:hint="default" w:ascii="Times New Roman" w:hAnsi="Times New Roman" w:eastAsia="宋体" w:cs="Times New Roman"/>
                <w:b w:val="0"/>
                <w:bCs/>
                <w:color w:val="auto"/>
                <w:sz w:val="24"/>
                <w:lang w:val="en-US" w:eastAsia="zh-CN"/>
              </w:rPr>
              <w:t>900-216-08</w:t>
            </w:r>
            <w:r>
              <w:rPr>
                <w:rFonts w:hint="eastAsia" w:ascii="Times New Roman" w:hAnsi="Times New Roman" w:eastAsia="宋体" w:cs="Times New Roman"/>
                <w:b w:val="0"/>
                <w:bCs/>
                <w:color w:val="auto"/>
                <w:sz w:val="24"/>
                <w:lang w:val="en-US" w:eastAsia="zh-CN"/>
              </w:rPr>
              <w:t>）</w:t>
            </w:r>
            <w:r>
              <w:rPr>
                <w:rFonts w:hint="eastAsia" w:ascii="Times New Roman" w:hAnsi="Times New Roman" w:eastAsia="宋体" w:cs="Times New Roman"/>
                <w:color w:val="auto"/>
                <w:sz w:val="24"/>
                <w:lang w:val="en-US" w:eastAsia="zh-CN"/>
              </w:rPr>
              <w:t>0.2</w:t>
            </w:r>
            <w:r>
              <w:rPr>
                <w:rFonts w:hint="default" w:ascii="Times New Roman" w:hAnsi="Times New Roman" w:eastAsia="宋体" w:cs="Times New Roman"/>
                <w:color w:val="auto"/>
                <w:sz w:val="24"/>
              </w:rPr>
              <w:t>t/a</w:t>
            </w:r>
            <w:r>
              <w:rPr>
                <w:rFonts w:hint="eastAsia" w:ascii="Times New Roman" w:hAnsi="Times New Roman" w:eastAsia="宋体" w:cs="Times New Roman"/>
                <w:b w:val="0"/>
                <w:bCs/>
                <w:color w:val="auto"/>
                <w:sz w:val="24"/>
                <w:lang w:val="en-US" w:eastAsia="zh-CN"/>
              </w:rPr>
              <w:t>、</w:t>
            </w:r>
            <w:r>
              <w:rPr>
                <w:rFonts w:hint="default" w:ascii="Times New Roman" w:hAnsi="Times New Roman" w:eastAsia="宋体" w:cs="Times New Roman"/>
                <w:color w:val="auto"/>
                <w:sz w:val="24"/>
                <w:lang w:val="en-US" w:eastAsia="zh-CN"/>
              </w:rPr>
              <w:t>废活性炭</w:t>
            </w:r>
            <w:r>
              <w:rPr>
                <w:rFonts w:hint="default" w:ascii="Times New Roman" w:hAnsi="Times New Roman" w:eastAsia="宋体" w:cs="Times New Roman"/>
                <w:color w:val="auto"/>
                <w:sz w:val="24"/>
                <w:lang w:eastAsia="zh-CN"/>
              </w:rPr>
              <w:t>（HW49</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eastAsia="zh-CN"/>
              </w:rPr>
              <w:t>900-0</w:t>
            </w:r>
            <w:r>
              <w:rPr>
                <w:rFonts w:hint="eastAsia" w:ascii="Times New Roman" w:hAnsi="Times New Roman" w:eastAsia="宋体" w:cs="Times New Roman"/>
                <w:color w:val="auto"/>
                <w:sz w:val="24"/>
                <w:lang w:val="en-US" w:eastAsia="zh-CN"/>
              </w:rPr>
              <w:t>39</w:t>
            </w:r>
            <w:r>
              <w:rPr>
                <w:rFonts w:hint="default" w:ascii="Times New Roman" w:hAnsi="Times New Roman" w:eastAsia="宋体" w:cs="Times New Roman"/>
                <w:color w:val="auto"/>
                <w:sz w:val="24"/>
                <w:lang w:eastAsia="zh-CN"/>
              </w:rPr>
              <w:t>-49）</w:t>
            </w:r>
            <w:r>
              <w:rPr>
                <w:rFonts w:hint="eastAsia" w:ascii="Times New Roman" w:hAnsi="Times New Roman" w:eastAsia="宋体" w:cs="Times New Roman"/>
                <w:color w:val="auto"/>
                <w:sz w:val="24"/>
                <w:lang w:val="en-US" w:eastAsia="zh-CN"/>
              </w:rPr>
              <w:t>3.445</w:t>
            </w:r>
            <w:r>
              <w:rPr>
                <w:rFonts w:hint="default" w:ascii="Times New Roman" w:hAnsi="Times New Roman" w:eastAsia="宋体" w:cs="Times New Roman"/>
                <w:color w:val="auto"/>
                <w:sz w:val="24"/>
              </w:rPr>
              <w:t>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废含油抹布（</w:t>
            </w:r>
            <w:r>
              <w:rPr>
                <w:rFonts w:hint="default" w:ascii="Times New Roman" w:hAnsi="Times New Roman" w:eastAsia="宋体" w:cs="Times New Roman"/>
                <w:color w:val="auto"/>
                <w:sz w:val="24"/>
                <w:lang w:eastAsia="zh-CN"/>
              </w:rPr>
              <w:t>HW49</w:t>
            </w:r>
            <w:r>
              <w:rPr>
                <w:rFonts w:hint="default"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eastAsia="zh-CN"/>
              </w:rPr>
              <w:t>900-041-49</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0.156</w:t>
            </w:r>
            <w:r>
              <w:rPr>
                <w:rFonts w:hint="default" w:ascii="Times New Roman" w:hAnsi="Times New Roman" w:eastAsia="宋体" w:cs="Times New Roman"/>
                <w:color w:val="auto"/>
                <w:sz w:val="24"/>
              </w:rPr>
              <w:t>t/a</w:t>
            </w:r>
            <w:r>
              <w:rPr>
                <w:rFonts w:hint="eastAsia" w:ascii="Times New Roman" w:hAnsi="Times New Roman" w:eastAsia="宋体" w:cs="Times New Roman"/>
                <w:color w:val="auto"/>
                <w:sz w:val="24"/>
                <w:lang w:eastAsia="zh-CN"/>
              </w:rPr>
              <w:t>、</w:t>
            </w:r>
            <w:r>
              <w:rPr>
                <w:rFonts w:hint="eastAsia" w:ascii="Times New Roman" w:hAnsi="Times New Roman" w:eastAsia="宋体" w:cs="Times New Roman"/>
                <w:color w:val="auto"/>
                <w:sz w:val="24"/>
                <w:lang w:val="en-US" w:eastAsia="zh-CN"/>
              </w:rPr>
              <w:t>污水处理站污泥和浓液</w:t>
            </w:r>
            <w:r>
              <w:rPr>
                <w:rFonts w:hint="default" w:ascii="Times New Roman" w:hAnsi="Times New Roman" w:eastAsia="宋体" w:cs="Times New Roman"/>
                <w:color w:val="auto"/>
                <w:sz w:val="24"/>
                <w:lang w:eastAsia="zh-CN"/>
              </w:rPr>
              <w:t>（HW49</w:t>
            </w: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val="en-US" w:eastAsia="zh-CN"/>
              </w:rPr>
              <w:t>722</w:t>
            </w:r>
            <w:r>
              <w:rPr>
                <w:rFonts w:hint="default" w:ascii="Times New Roman" w:hAnsi="Times New Roman" w:eastAsia="宋体" w:cs="Times New Roman"/>
                <w:color w:val="auto"/>
                <w:sz w:val="24"/>
                <w:lang w:eastAsia="zh-CN"/>
              </w:rPr>
              <w:t>-0</w:t>
            </w:r>
            <w:r>
              <w:rPr>
                <w:rFonts w:hint="default" w:ascii="Times New Roman" w:hAnsi="Times New Roman" w:eastAsia="宋体" w:cs="Times New Roman"/>
                <w:color w:val="auto"/>
                <w:sz w:val="24"/>
                <w:lang w:val="en-US" w:eastAsia="zh-CN"/>
              </w:rPr>
              <w:t>06</w:t>
            </w:r>
            <w:r>
              <w:rPr>
                <w:rFonts w:hint="default" w:ascii="Times New Roman" w:hAnsi="Times New Roman" w:eastAsia="宋体" w:cs="Times New Roman"/>
                <w:color w:val="auto"/>
                <w:sz w:val="24"/>
                <w:lang w:eastAsia="zh-CN"/>
              </w:rPr>
              <w:t>-49）</w:t>
            </w:r>
            <w:r>
              <w:rPr>
                <w:rFonts w:hint="eastAsia" w:ascii="Times New Roman" w:hAnsi="Times New Roman" w:eastAsia="宋体" w:cs="Times New Roman"/>
                <w:color w:val="auto"/>
                <w:sz w:val="24"/>
                <w:lang w:val="en-US" w:eastAsia="zh-CN"/>
              </w:rPr>
              <w:t>10.99</w:t>
            </w:r>
            <w:r>
              <w:rPr>
                <w:rFonts w:hint="default" w:ascii="Times New Roman" w:hAnsi="Times New Roman" w:eastAsia="宋体" w:cs="Times New Roman"/>
                <w:color w:val="auto"/>
                <w:sz w:val="24"/>
              </w:rPr>
              <w:t>t/a，须委托具备处置资质和处置能力的单位进行无害化处置，并在本项目正式投产前落实危险废物处置途径，签订危废处置协议。</w:t>
            </w:r>
          </w:p>
          <w:p w14:paraId="12B4253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2）贮存场所（设施）污染防治措施</w:t>
            </w:r>
          </w:p>
          <w:p w14:paraId="005FCF8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本项目拟在生产车间</w:t>
            </w:r>
            <w:r>
              <w:rPr>
                <w:rFonts w:hint="eastAsia" w:ascii="Times New Roman" w:hAnsi="Times New Roman" w:eastAsia="宋体" w:cs="Times New Roman"/>
                <w:color w:val="auto"/>
                <w:sz w:val="24"/>
                <w:lang w:val="en-US" w:eastAsia="zh-CN"/>
              </w:rPr>
              <w:t>一层东南</w:t>
            </w:r>
            <w:r>
              <w:rPr>
                <w:rFonts w:hint="default" w:ascii="Times New Roman" w:hAnsi="Times New Roman" w:eastAsia="宋体" w:cs="Times New Roman"/>
                <w:color w:val="auto"/>
                <w:sz w:val="24"/>
                <w:lang w:val="en-US" w:eastAsia="zh-CN"/>
              </w:rPr>
              <w:t>侧</w:t>
            </w:r>
            <w:r>
              <w:rPr>
                <w:rFonts w:hint="default" w:ascii="Times New Roman" w:hAnsi="Times New Roman" w:eastAsia="宋体" w:cs="Times New Roman"/>
                <w:color w:val="auto"/>
                <w:sz w:val="24"/>
              </w:rPr>
              <w:t>设置一个占地面积</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危废</w:t>
            </w:r>
            <w:r>
              <w:rPr>
                <w:rFonts w:hint="default" w:ascii="Times New Roman" w:hAnsi="Times New Roman" w:eastAsia="宋体" w:cs="Times New Roman"/>
                <w:color w:val="auto"/>
                <w:sz w:val="24"/>
                <w:lang w:val="en-US" w:eastAsia="zh-CN"/>
              </w:rPr>
              <w:t>仓库</w:t>
            </w:r>
            <w:r>
              <w:rPr>
                <w:rFonts w:hint="default" w:ascii="Times New Roman" w:hAnsi="Times New Roman" w:eastAsia="宋体" w:cs="Times New Roman"/>
                <w:color w:val="auto"/>
                <w:sz w:val="24"/>
              </w:rPr>
              <w:t>对各类危险废物进行安全暂存。危废仓库应按《危险废物贮存污染控制标准》（GB18597-2023）、《危险废物识别标志设置技术规范》（HJ1276-2022）、省生态环境厅关于印发《江苏省固体废物全过程环境监管工作意见》的通知&gt;（苏环办[2024]16号）等要求进行设置</w:t>
            </w:r>
            <w:r>
              <w:rPr>
                <w:rFonts w:hint="default" w:ascii="Times New Roman" w:hAnsi="Times New Roman" w:eastAsia="宋体" w:cs="Times New Roman"/>
                <w:color w:val="auto"/>
                <w:sz w:val="24"/>
                <w:lang w:eastAsia="zh-CN"/>
              </w:rPr>
              <w:t>：</w:t>
            </w:r>
          </w:p>
          <w:p w14:paraId="1C87277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①按照《环境保护图形标志—固体废物贮存（处置）场》（GB15562.2-1995）（2023年修订）和《危险废物识别标志设置技术规范》（HJ1276-2022）设置标志，并配备通讯设备、照明设施和消防设施。</w:t>
            </w:r>
          </w:p>
          <w:p w14:paraId="51A44E1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②贮存设施应根据危险废物的形态、物理化学性质、包装形式和污染物迁移途径，采取必要的防风、防晒、防雨、防漏、防渗、防腐以及其他环境污染防治措施，不应露天堆放危险废物。</w:t>
            </w:r>
          </w:p>
          <w:p w14:paraId="20BDC1F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③贮存设施应根据危险废物的类别、数量、形态、物理化学性质和污染防治等要求设置必要的贮存分区，避免不相容的危险废物接触、混合。</w:t>
            </w:r>
          </w:p>
          <w:p w14:paraId="1B2B6BF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④贮存设施或贮存分区内地面、墙面裙脚、堵截泄漏的围堰、接触危险废物的隔板和墙体等应采用坚固的材料建造，表面无裂缝。</w:t>
            </w:r>
          </w:p>
          <w:p w14:paraId="2FBF1D8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渗透系数不大于10</w:t>
            </w:r>
            <w:r>
              <w:rPr>
                <w:rFonts w:hint="default" w:ascii="Times New Roman" w:hAnsi="Times New Roman" w:eastAsia="宋体" w:cs="Times New Roman"/>
                <w:color w:val="auto"/>
                <w:sz w:val="24"/>
                <w:vertAlign w:val="superscript"/>
              </w:rPr>
              <w:t>-7</w:t>
            </w:r>
            <w:r>
              <w:rPr>
                <w:rFonts w:hint="default" w:ascii="Times New Roman" w:hAnsi="Times New Roman" w:eastAsia="宋体" w:cs="Times New Roman"/>
                <w:color w:val="auto"/>
                <w:sz w:val="24"/>
              </w:rPr>
              <w:t>cm/s</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，或至少2mm厚高密度聚乙烯膜等人工防渗材料</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渗透系数不大于10</w:t>
            </w:r>
            <w:r>
              <w:rPr>
                <w:rFonts w:hint="default" w:ascii="Times New Roman" w:hAnsi="Times New Roman" w:eastAsia="宋体" w:cs="Times New Roman"/>
                <w:color w:val="auto"/>
                <w:sz w:val="24"/>
                <w:vertAlign w:val="superscript"/>
              </w:rPr>
              <w:t>-10</w:t>
            </w:r>
            <w:r>
              <w:rPr>
                <w:rFonts w:hint="default" w:ascii="Times New Roman" w:hAnsi="Times New Roman" w:eastAsia="宋体" w:cs="Times New Roman"/>
                <w:color w:val="auto"/>
                <w:sz w:val="24"/>
              </w:rPr>
              <w:t>cm/s），或其他防渗性能等效的材料。</w:t>
            </w:r>
          </w:p>
          <w:p w14:paraId="2087AE3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⑥同一贮存设施宜采用相同的防渗、防腐工艺（包括防渗、防腐结构或材料），防渗、防腐材料应覆盖所有可能与废物及其渗滤液、渗漏液等接触的构筑物表面；采用不同防渗、防腐工艺应分别建设贮存分区。</w:t>
            </w:r>
          </w:p>
          <w:p w14:paraId="7109012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⑦贮存设施应采取技术和管理措施防止无关人员进入。</w:t>
            </w:r>
          </w:p>
          <w:p w14:paraId="5E5C668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⑧贮存库内不同贮存分区之间应采取隔离措施。隔离措施可根据危险废物特性采用过道、隔板或隔墙等方式。</w:t>
            </w:r>
          </w:p>
          <w:p w14:paraId="38CD1D8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⑨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14:paraId="732E83C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⑩贮存易产生粉尘、VOCs、酸雾、有毒有害大气污染物和刺激性气味气体的危险废物贮存库，应设置气体收集装置和气体净化设施；气体净化设施的排气筒高度应符合GB16297要求。</w:t>
            </w:r>
          </w:p>
          <w:p w14:paraId="73A5CA0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⑪落实信息公开制度。危险废物环境重点监管单位要在出入口、设施内部、危险废物运输车辆通道等关键位置设置视频监控并与中控室联网，通过设立公开栏、标志牌等方式，主动公开危险废物产生和利用处置等有关信息。</w:t>
            </w:r>
          </w:p>
          <w:p w14:paraId="168D370F">
            <w:pPr>
              <w:spacing w:line="360" w:lineRule="auto"/>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 xml:space="preserve">25 </w:t>
            </w:r>
            <w:r>
              <w:rPr>
                <w:rFonts w:hint="default" w:ascii="Times New Roman" w:hAnsi="Times New Roman" w:eastAsia="宋体" w:cs="Times New Roman"/>
                <w:b/>
                <w:bCs/>
                <w:color w:val="auto"/>
                <w:sz w:val="24"/>
              </w:rPr>
              <w:t xml:space="preserve"> 危险废物贮存场所基本情况表</w:t>
            </w:r>
          </w:p>
          <w:tbl>
            <w:tblPr>
              <w:tblStyle w:val="27"/>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48"/>
              <w:gridCol w:w="1176"/>
              <w:gridCol w:w="1336"/>
              <w:gridCol w:w="1437"/>
              <w:gridCol w:w="789"/>
              <w:gridCol w:w="760"/>
              <w:gridCol w:w="1118"/>
              <w:gridCol w:w="984"/>
            </w:tblGrid>
            <w:tr w14:paraId="29092C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48" w:type="pct"/>
                  <w:vAlign w:val="center"/>
                </w:tcPr>
                <w:p w14:paraId="46757C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贮存场所名称</w:t>
                  </w:r>
                </w:p>
              </w:tc>
              <w:tc>
                <w:tcPr>
                  <w:tcW w:w="704" w:type="pct"/>
                  <w:vAlign w:val="center"/>
                </w:tcPr>
                <w:p w14:paraId="64F933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固废名称</w:t>
                  </w:r>
                </w:p>
              </w:tc>
              <w:tc>
                <w:tcPr>
                  <w:tcW w:w="800" w:type="pct"/>
                  <w:vAlign w:val="center"/>
                </w:tcPr>
                <w:p w14:paraId="2E7770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废物类别</w:t>
                  </w:r>
                </w:p>
              </w:tc>
              <w:tc>
                <w:tcPr>
                  <w:tcW w:w="860" w:type="pct"/>
                  <w:vAlign w:val="center"/>
                </w:tcPr>
                <w:p w14:paraId="4B56B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废物代码</w:t>
                  </w:r>
                </w:p>
              </w:tc>
              <w:tc>
                <w:tcPr>
                  <w:tcW w:w="472" w:type="pct"/>
                  <w:vAlign w:val="center"/>
                </w:tcPr>
                <w:p w14:paraId="16501C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位置</w:t>
                  </w:r>
                </w:p>
              </w:tc>
              <w:tc>
                <w:tcPr>
                  <w:tcW w:w="455" w:type="pct"/>
                  <w:vAlign w:val="center"/>
                </w:tcPr>
                <w:p w14:paraId="75030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占地面积</w:t>
                  </w:r>
                </w:p>
                <w:p w14:paraId="109AB7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（m</w:t>
                  </w:r>
                  <w:r>
                    <w:rPr>
                      <w:rFonts w:hint="default" w:ascii="Times New Roman" w:hAnsi="Times New Roman" w:eastAsia="宋体" w:cs="Times New Roman"/>
                      <w:b/>
                      <w:bCs/>
                      <w:color w:val="auto"/>
                      <w:sz w:val="21"/>
                      <w:szCs w:val="21"/>
                      <w:vertAlign w:val="superscript"/>
                    </w:rPr>
                    <w:t>2</w:t>
                  </w:r>
                  <w:r>
                    <w:rPr>
                      <w:rFonts w:hint="default" w:ascii="Times New Roman" w:hAnsi="Times New Roman" w:eastAsia="宋体" w:cs="Times New Roman"/>
                      <w:b/>
                      <w:bCs/>
                      <w:color w:val="auto"/>
                      <w:sz w:val="21"/>
                      <w:szCs w:val="21"/>
                    </w:rPr>
                    <w:t>）</w:t>
                  </w:r>
                </w:p>
              </w:tc>
              <w:tc>
                <w:tcPr>
                  <w:tcW w:w="669" w:type="pct"/>
                  <w:vAlign w:val="center"/>
                </w:tcPr>
                <w:p w14:paraId="5C726B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贮存方式</w:t>
                  </w:r>
                </w:p>
              </w:tc>
              <w:tc>
                <w:tcPr>
                  <w:tcW w:w="589" w:type="pct"/>
                  <w:vAlign w:val="center"/>
                </w:tcPr>
                <w:p w14:paraId="26CC05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贮存周期</w:t>
                  </w:r>
                </w:p>
              </w:tc>
            </w:tr>
            <w:tr w14:paraId="7649E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57" w:hRule="atLeast"/>
                <w:jc w:val="center"/>
              </w:trPr>
              <w:tc>
                <w:tcPr>
                  <w:tcW w:w="448" w:type="pct"/>
                  <w:vMerge w:val="restart"/>
                  <w:vAlign w:val="center"/>
                </w:tcPr>
                <w:p w14:paraId="0C5542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危险固废暂存场</w:t>
                  </w:r>
                </w:p>
              </w:tc>
              <w:tc>
                <w:tcPr>
                  <w:tcW w:w="704" w:type="pct"/>
                  <w:shd w:val="clear" w:color="auto" w:fill="auto"/>
                  <w:vAlign w:val="center"/>
                </w:tcPr>
                <w:p w14:paraId="3463D24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废清洗剂桶</w:t>
                  </w:r>
                </w:p>
              </w:tc>
              <w:tc>
                <w:tcPr>
                  <w:tcW w:w="800" w:type="pct"/>
                  <w:shd w:val="clear" w:color="auto" w:fill="auto"/>
                  <w:vAlign w:val="center"/>
                </w:tcPr>
                <w:p w14:paraId="0982795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HW49</w:t>
                  </w:r>
                </w:p>
              </w:tc>
              <w:tc>
                <w:tcPr>
                  <w:tcW w:w="860" w:type="pct"/>
                  <w:shd w:val="clear" w:color="auto" w:fill="auto"/>
                  <w:vAlign w:val="center"/>
                </w:tcPr>
                <w:p w14:paraId="4B9CFAC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900-041-49</w:t>
                  </w:r>
                </w:p>
              </w:tc>
              <w:tc>
                <w:tcPr>
                  <w:tcW w:w="472" w:type="pct"/>
                  <w:vMerge w:val="restart"/>
                  <w:vAlign w:val="center"/>
                </w:tcPr>
                <w:p w14:paraId="01D933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车间</w:t>
                  </w:r>
                  <w:r>
                    <w:rPr>
                      <w:rFonts w:hint="eastAsia" w:ascii="Times New Roman" w:hAnsi="Times New Roman" w:eastAsia="宋体" w:cs="Times New Roman"/>
                      <w:color w:val="auto"/>
                      <w:sz w:val="21"/>
                      <w:szCs w:val="21"/>
                      <w:lang w:val="en-US" w:eastAsia="zh-CN"/>
                    </w:rPr>
                    <w:t>东南</w:t>
                  </w:r>
                  <w:r>
                    <w:rPr>
                      <w:rFonts w:hint="default" w:ascii="Times New Roman" w:hAnsi="Times New Roman" w:eastAsia="宋体" w:cs="Times New Roman"/>
                      <w:color w:val="auto"/>
                      <w:sz w:val="21"/>
                      <w:szCs w:val="21"/>
                      <w:lang w:val="en-US" w:eastAsia="zh-CN"/>
                    </w:rPr>
                    <w:t>侧</w:t>
                  </w:r>
                </w:p>
              </w:tc>
              <w:tc>
                <w:tcPr>
                  <w:tcW w:w="455" w:type="pct"/>
                  <w:vMerge w:val="restart"/>
                  <w:vAlign w:val="center"/>
                </w:tcPr>
                <w:p w14:paraId="3C00C3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10</w:t>
                  </w:r>
                </w:p>
              </w:tc>
              <w:tc>
                <w:tcPr>
                  <w:tcW w:w="669" w:type="pct"/>
                  <w:vAlign w:val="center"/>
                </w:tcPr>
                <w:p w14:paraId="264401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堆放</w:t>
                  </w:r>
                </w:p>
              </w:tc>
              <w:tc>
                <w:tcPr>
                  <w:tcW w:w="589" w:type="pct"/>
                  <w:vMerge w:val="restart"/>
                  <w:vAlign w:val="center"/>
                </w:tcPr>
                <w:p w14:paraId="5BC084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不超过</w:t>
                  </w:r>
                </w:p>
                <w:p w14:paraId="51518F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90天</w:t>
                  </w:r>
                </w:p>
              </w:tc>
            </w:tr>
            <w:tr w14:paraId="242D73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1CC419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04" w:type="pct"/>
                  <w:shd w:val="clear" w:color="auto" w:fill="auto"/>
                  <w:vAlign w:val="center"/>
                </w:tcPr>
                <w:p w14:paraId="3E1DC43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淬火油</w:t>
                  </w:r>
                  <w:r>
                    <w:rPr>
                      <w:rFonts w:hint="default" w:ascii="Times New Roman" w:hAnsi="Times New Roman" w:eastAsia="宋体" w:cs="Times New Roman"/>
                      <w:color w:val="auto"/>
                      <w:sz w:val="21"/>
                      <w:szCs w:val="21"/>
                    </w:rPr>
                    <w:t>桶</w:t>
                  </w:r>
                </w:p>
              </w:tc>
              <w:tc>
                <w:tcPr>
                  <w:tcW w:w="800" w:type="pct"/>
                  <w:shd w:val="clear" w:color="auto" w:fill="auto"/>
                  <w:vAlign w:val="center"/>
                </w:tcPr>
                <w:p w14:paraId="0B9BACE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860" w:type="pct"/>
                  <w:shd w:val="clear" w:color="auto" w:fill="auto"/>
                  <w:vAlign w:val="center"/>
                </w:tcPr>
                <w:p w14:paraId="6A2F3E0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900-249-08</w:t>
                  </w:r>
                </w:p>
              </w:tc>
              <w:tc>
                <w:tcPr>
                  <w:tcW w:w="472" w:type="pct"/>
                  <w:vMerge w:val="continue"/>
                  <w:vAlign w:val="center"/>
                </w:tcPr>
                <w:p w14:paraId="554487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6FA2B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5D58D3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堆放</w:t>
                  </w:r>
                </w:p>
              </w:tc>
              <w:tc>
                <w:tcPr>
                  <w:tcW w:w="589" w:type="pct"/>
                  <w:vMerge w:val="continue"/>
                  <w:vAlign w:val="center"/>
                </w:tcPr>
                <w:p w14:paraId="23A48E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380D7C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003F25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04" w:type="pct"/>
                  <w:shd w:val="clear" w:color="auto" w:fill="auto"/>
                  <w:vAlign w:val="center"/>
                </w:tcPr>
                <w:p w14:paraId="61C36C8A">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淬火油</w:t>
                  </w:r>
                </w:p>
              </w:tc>
              <w:tc>
                <w:tcPr>
                  <w:tcW w:w="800" w:type="pct"/>
                  <w:shd w:val="clear" w:color="auto" w:fill="auto"/>
                  <w:vAlign w:val="center"/>
                </w:tcPr>
                <w:p w14:paraId="203F518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HW08</w:t>
                  </w:r>
                </w:p>
              </w:tc>
              <w:tc>
                <w:tcPr>
                  <w:tcW w:w="860" w:type="pct"/>
                  <w:shd w:val="clear" w:color="auto" w:fill="auto"/>
                  <w:vAlign w:val="center"/>
                </w:tcPr>
                <w:p w14:paraId="620C43B9">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900-203-08</w:t>
                  </w:r>
                </w:p>
              </w:tc>
              <w:tc>
                <w:tcPr>
                  <w:tcW w:w="472" w:type="pct"/>
                  <w:vMerge w:val="continue"/>
                  <w:vAlign w:val="center"/>
                </w:tcPr>
                <w:p w14:paraId="752C7A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4BB2F5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76F9E4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桶装密封、分区放置</w:t>
                  </w:r>
                </w:p>
              </w:tc>
              <w:tc>
                <w:tcPr>
                  <w:tcW w:w="589" w:type="pct"/>
                  <w:vMerge w:val="continue"/>
                  <w:vAlign w:val="center"/>
                </w:tcPr>
                <w:p w14:paraId="100446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7CF82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4DCFA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w:t>
                  </w:r>
                </w:p>
              </w:tc>
              <w:tc>
                <w:tcPr>
                  <w:tcW w:w="704" w:type="pct"/>
                  <w:shd w:val="clear" w:color="auto" w:fill="auto"/>
                  <w:vAlign w:val="center"/>
                </w:tcPr>
                <w:p w14:paraId="0E56127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废防锈油桶</w:t>
                  </w:r>
                </w:p>
              </w:tc>
              <w:tc>
                <w:tcPr>
                  <w:tcW w:w="800" w:type="pct"/>
                  <w:shd w:val="clear" w:color="auto" w:fill="auto"/>
                  <w:vAlign w:val="center"/>
                </w:tcPr>
                <w:p w14:paraId="47A743B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860" w:type="pct"/>
                  <w:shd w:val="clear" w:color="auto" w:fill="auto"/>
                  <w:vAlign w:val="center"/>
                </w:tcPr>
                <w:p w14:paraId="7BB12B3E">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900-249-08</w:t>
                  </w:r>
                </w:p>
              </w:tc>
              <w:tc>
                <w:tcPr>
                  <w:tcW w:w="472" w:type="pct"/>
                  <w:vMerge w:val="continue"/>
                  <w:vAlign w:val="center"/>
                </w:tcPr>
                <w:p w14:paraId="05EB43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1F09A3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704F33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堆放</w:t>
                  </w:r>
                </w:p>
              </w:tc>
              <w:tc>
                <w:tcPr>
                  <w:tcW w:w="589" w:type="pct"/>
                  <w:vMerge w:val="continue"/>
                  <w:vAlign w:val="center"/>
                </w:tcPr>
                <w:p w14:paraId="69209F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69C76F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437A3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04" w:type="pct"/>
                  <w:shd w:val="clear" w:color="auto" w:fill="auto"/>
                  <w:vAlign w:val="center"/>
                </w:tcPr>
                <w:p w14:paraId="696D81E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废防锈油</w:t>
                  </w:r>
                </w:p>
              </w:tc>
              <w:tc>
                <w:tcPr>
                  <w:tcW w:w="800" w:type="pct"/>
                  <w:shd w:val="clear" w:color="auto" w:fill="auto"/>
                  <w:vAlign w:val="center"/>
                </w:tcPr>
                <w:p w14:paraId="0C2856C2">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w:t>
                  </w:r>
                  <w:r>
                    <w:rPr>
                      <w:rFonts w:hint="eastAsia" w:ascii="Times New Roman" w:hAnsi="Times New Roman" w:eastAsia="宋体" w:cs="Times New Roman"/>
                      <w:color w:val="auto"/>
                      <w:sz w:val="21"/>
                      <w:szCs w:val="21"/>
                      <w:lang w:val="en-US" w:eastAsia="zh-CN"/>
                    </w:rPr>
                    <w:t>08</w:t>
                  </w:r>
                </w:p>
              </w:tc>
              <w:tc>
                <w:tcPr>
                  <w:tcW w:w="860" w:type="pct"/>
                  <w:shd w:val="clear" w:color="auto" w:fill="auto"/>
                  <w:vAlign w:val="center"/>
                </w:tcPr>
                <w:p w14:paraId="081C6C5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lang w:val="en-US" w:eastAsia="zh-CN"/>
                    </w:rPr>
                    <w:t>900-216-08</w:t>
                  </w:r>
                </w:p>
              </w:tc>
              <w:tc>
                <w:tcPr>
                  <w:tcW w:w="472" w:type="pct"/>
                  <w:vMerge w:val="continue"/>
                  <w:vAlign w:val="center"/>
                </w:tcPr>
                <w:p w14:paraId="14A89D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6F185E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61D750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桶装密封、分区放置</w:t>
                  </w:r>
                </w:p>
              </w:tc>
              <w:tc>
                <w:tcPr>
                  <w:tcW w:w="589" w:type="pct"/>
                  <w:vMerge w:val="continue"/>
                  <w:vAlign w:val="center"/>
                </w:tcPr>
                <w:p w14:paraId="3307EE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52465D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0D2B27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04" w:type="pct"/>
                  <w:shd w:val="clear" w:color="auto" w:fill="auto"/>
                  <w:vAlign w:val="center"/>
                </w:tcPr>
                <w:p w14:paraId="69719FA0">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800" w:type="pct"/>
                  <w:shd w:val="clear" w:color="auto" w:fill="auto"/>
                  <w:vAlign w:val="center"/>
                </w:tcPr>
                <w:p w14:paraId="044536BB">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HW49</w:t>
                  </w:r>
                </w:p>
              </w:tc>
              <w:tc>
                <w:tcPr>
                  <w:tcW w:w="860" w:type="pct"/>
                  <w:shd w:val="clear" w:color="auto" w:fill="auto"/>
                  <w:vAlign w:val="center"/>
                </w:tcPr>
                <w:p w14:paraId="13B39214">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w:t>
                  </w:r>
                  <w:r>
                    <w:rPr>
                      <w:rFonts w:hint="eastAsia" w:ascii="Times New Roman" w:hAnsi="Times New Roman" w:eastAsia="宋体" w:cs="Times New Roman"/>
                      <w:color w:val="auto"/>
                      <w:sz w:val="21"/>
                      <w:szCs w:val="21"/>
                      <w:lang w:val="en-US" w:eastAsia="zh-CN"/>
                    </w:rPr>
                    <w:t>39</w:t>
                  </w:r>
                  <w:r>
                    <w:rPr>
                      <w:rFonts w:hint="default" w:ascii="Times New Roman" w:hAnsi="Times New Roman" w:eastAsia="宋体" w:cs="Times New Roman"/>
                      <w:color w:val="auto"/>
                      <w:sz w:val="21"/>
                      <w:szCs w:val="21"/>
                    </w:rPr>
                    <w:t>-49</w:t>
                  </w:r>
                </w:p>
              </w:tc>
              <w:tc>
                <w:tcPr>
                  <w:tcW w:w="472" w:type="pct"/>
                  <w:vMerge w:val="continue"/>
                  <w:vAlign w:val="center"/>
                </w:tcPr>
                <w:p w14:paraId="270BEB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56C59F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2FD0C4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袋装密封、分区放置</w:t>
                  </w:r>
                </w:p>
              </w:tc>
              <w:tc>
                <w:tcPr>
                  <w:tcW w:w="589" w:type="pct"/>
                  <w:vMerge w:val="continue"/>
                  <w:vAlign w:val="center"/>
                </w:tcPr>
                <w:p w14:paraId="48B60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7505A6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8" w:type="pct"/>
                  <w:vMerge w:val="continue"/>
                  <w:vAlign w:val="center"/>
                </w:tcPr>
                <w:p w14:paraId="34C22B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04" w:type="pct"/>
                  <w:shd w:val="clear" w:color="auto" w:fill="auto"/>
                  <w:vAlign w:val="center"/>
                </w:tcPr>
                <w:p w14:paraId="0403D02B">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含油抹布</w:t>
                  </w:r>
                </w:p>
              </w:tc>
              <w:tc>
                <w:tcPr>
                  <w:tcW w:w="800" w:type="pct"/>
                  <w:shd w:val="clear" w:color="auto" w:fill="auto"/>
                  <w:vAlign w:val="center"/>
                </w:tcPr>
                <w:p w14:paraId="659DD2A2">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HW49</w:t>
                  </w:r>
                </w:p>
              </w:tc>
              <w:tc>
                <w:tcPr>
                  <w:tcW w:w="860" w:type="pct"/>
                  <w:shd w:val="clear" w:color="auto" w:fill="auto"/>
                  <w:vAlign w:val="center"/>
                </w:tcPr>
                <w:p w14:paraId="6F09FEC8">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900-041-49</w:t>
                  </w:r>
                </w:p>
              </w:tc>
              <w:tc>
                <w:tcPr>
                  <w:tcW w:w="472" w:type="pct"/>
                  <w:vMerge w:val="continue"/>
                  <w:shd w:val="clear" w:color="auto" w:fill="auto"/>
                  <w:vAlign w:val="center"/>
                </w:tcPr>
                <w:p w14:paraId="65AAB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455" w:type="pct"/>
                  <w:vMerge w:val="continue"/>
                  <w:shd w:val="clear" w:color="auto" w:fill="auto"/>
                  <w:vAlign w:val="center"/>
                </w:tcPr>
                <w:p w14:paraId="332464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p>
              </w:tc>
              <w:tc>
                <w:tcPr>
                  <w:tcW w:w="669" w:type="pct"/>
                  <w:shd w:val="clear" w:color="auto" w:fill="auto"/>
                  <w:vAlign w:val="center"/>
                </w:tcPr>
                <w:p w14:paraId="0DCDAE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袋装密封、分区放置</w:t>
                  </w:r>
                </w:p>
              </w:tc>
              <w:tc>
                <w:tcPr>
                  <w:tcW w:w="589" w:type="pct"/>
                  <w:vMerge w:val="continue"/>
                  <w:vAlign w:val="center"/>
                </w:tcPr>
                <w:p w14:paraId="21A838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r w14:paraId="059E23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4" w:hRule="atLeast"/>
                <w:jc w:val="center"/>
              </w:trPr>
              <w:tc>
                <w:tcPr>
                  <w:tcW w:w="448" w:type="pct"/>
                  <w:vMerge w:val="continue"/>
                  <w:vAlign w:val="center"/>
                </w:tcPr>
                <w:p w14:paraId="56E7C7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04" w:type="pct"/>
                  <w:shd w:val="clear" w:color="auto" w:fill="auto"/>
                  <w:vAlign w:val="center"/>
                </w:tcPr>
                <w:p w14:paraId="7314BB75">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污水处理站污泥和浓液</w:t>
                  </w:r>
                </w:p>
              </w:tc>
              <w:tc>
                <w:tcPr>
                  <w:tcW w:w="800" w:type="pct"/>
                  <w:shd w:val="clear" w:color="auto" w:fill="auto"/>
                  <w:vAlign w:val="center"/>
                </w:tcPr>
                <w:p w14:paraId="44049A95">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HW49</w:t>
                  </w:r>
                </w:p>
              </w:tc>
              <w:tc>
                <w:tcPr>
                  <w:tcW w:w="860" w:type="pct"/>
                  <w:shd w:val="clear" w:color="auto" w:fill="auto"/>
                  <w:vAlign w:val="center"/>
                </w:tcPr>
                <w:p w14:paraId="5B5DBD23">
                  <w:pPr>
                    <w:topLinePunct/>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722-006-49</w:t>
                  </w:r>
                </w:p>
              </w:tc>
              <w:tc>
                <w:tcPr>
                  <w:tcW w:w="472" w:type="pct"/>
                  <w:vMerge w:val="continue"/>
                  <w:vAlign w:val="center"/>
                </w:tcPr>
                <w:p w14:paraId="2E4534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455" w:type="pct"/>
                  <w:vMerge w:val="continue"/>
                  <w:vAlign w:val="center"/>
                </w:tcPr>
                <w:p w14:paraId="172A0F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669" w:type="pct"/>
                  <w:vAlign w:val="center"/>
                </w:tcPr>
                <w:p w14:paraId="2149BB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桶装密封、分区放置</w:t>
                  </w:r>
                </w:p>
              </w:tc>
              <w:tc>
                <w:tcPr>
                  <w:tcW w:w="589" w:type="pct"/>
                  <w:vMerge w:val="continue"/>
                  <w:vAlign w:val="center"/>
                </w:tcPr>
                <w:p w14:paraId="03CC75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rPr>
                  </w:pPr>
                </w:p>
              </w:tc>
            </w:tr>
          </w:tbl>
          <w:p w14:paraId="54DEFB3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贮存能力可行性分析：</w:t>
            </w:r>
          </w:p>
          <w:p w14:paraId="5469780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本项目拟设置一个占地面积约为</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的危废</w:t>
            </w:r>
            <w:r>
              <w:rPr>
                <w:rFonts w:hint="default" w:ascii="Times New Roman" w:hAnsi="Times New Roman" w:eastAsia="宋体" w:cs="Times New Roman"/>
                <w:color w:val="auto"/>
                <w:sz w:val="24"/>
                <w:lang w:val="en-US" w:eastAsia="zh-CN"/>
              </w:rPr>
              <w:t>仓库</w:t>
            </w:r>
            <w:r>
              <w:rPr>
                <w:rFonts w:hint="default" w:ascii="Times New Roman" w:hAnsi="Times New Roman" w:eastAsia="宋体" w:cs="Times New Roman"/>
                <w:color w:val="auto"/>
                <w:sz w:val="24"/>
              </w:rPr>
              <w:t>对危废进行暂存，危废</w:t>
            </w:r>
            <w:r>
              <w:rPr>
                <w:rFonts w:hint="default" w:ascii="Times New Roman" w:hAnsi="Times New Roman" w:eastAsia="宋体" w:cs="Times New Roman"/>
                <w:color w:val="auto"/>
                <w:sz w:val="24"/>
                <w:lang w:val="en-US" w:eastAsia="zh-CN"/>
              </w:rPr>
              <w:t>仓库</w:t>
            </w:r>
            <w:r>
              <w:rPr>
                <w:rFonts w:hint="default" w:ascii="Times New Roman" w:hAnsi="Times New Roman" w:eastAsia="宋体" w:cs="Times New Roman"/>
                <w:color w:val="auto"/>
                <w:sz w:val="24"/>
              </w:rPr>
              <w:t>所应做到</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四防</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，即：防风、防雨、防晒、防渗漏，危废仓库地面与裙脚为坚固、防渗材料，建筑材料与危险废物相容。</w:t>
            </w:r>
          </w:p>
          <w:p w14:paraId="59C29FC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本项目设</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m</w:t>
            </w:r>
            <w:r>
              <w:rPr>
                <w:rFonts w:hint="default" w:ascii="Times New Roman" w:hAnsi="Times New Roman" w:eastAsia="宋体" w:cs="Times New Roman"/>
                <w:color w:val="auto"/>
                <w:sz w:val="24"/>
                <w:vertAlign w:val="superscript"/>
              </w:rPr>
              <w:t>2</w:t>
            </w:r>
            <w:r>
              <w:rPr>
                <w:rFonts w:hint="default" w:ascii="Times New Roman" w:hAnsi="Times New Roman" w:eastAsia="宋体" w:cs="Times New Roman"/>
                <w:color w:val="auto"/>
                <w:sz w:val="24"/>
              </w:rPr>
              <w:t>的</w:t>
            </w:r>
            <w:r>
              <w:rPr>
                <w:rFonts w:hint="default" w:ascii="Times New Roman" w:hAnsi="Times New Roman" w:eastAsia="宋体" w:cs="Times New Roman"/>
                <w:color w:val="auto"/>
                <w:sz w:val="24"/>
                <w:lang w:val="en-US" w:eastAsia="zh-CN"/>
              </w:rPr>
              <w:t>危废暂存间</w:t>
            </w:r>
            <w:r>
              <w:rPr>
                <w:rFonts w:hint="default" w:ascii="Times New Roman" w:hAnsi="Times New Roman" w:eastAsia="宋体" w:cs="Times New Roman"/>
                <w:color w:val="auto"/>
                <w:sz w:val="24"/>
              </w:rPr>
              <w:t>，最多可容纳约</w:t>
            </w:r>
            <w:r>
              <w:rPr>
                <w:rFonts w:hint="default" w:ascii="Times New Roman" w:hAnsi="Times New Roman" w:eastAsia="宋体" w:cs="Times New Roman"/>
                <w:color w:val="auto"/>
                <w:sz w:val="24"/>
                <w:lang w:val="en-US" w:eastAsia="zh-CN"/>
              </w:rPr>
              <w:t>10</w:t>
            </w:r>
            <w:r>
              <w:rPr>
                <w:rFonts w:hint="default" w:ascii="Times New Roman" w:hAnsi="Times New Roman" w:eastAsia="宋体" w:cs="Times New Roman"/>
                <w:color w:val="auto"/>
                <w:sz w:val="24"/>
              </w:rPr>
              <w:t>t危险废物，项目全厂一个贮存周期的危险废物的产生量约为</w:t>
            </w:r>
            <w:r>
              <w:rPr>
                <w:rFonts w:hint="eastAsia" w:ascii="Times New Roman" w:hAnsi="Times New Roman" w:eastAsia="宋体" w:cs="Times New Roman"/>
                <w:color w:val="auto"/>
                <w:sz w:val="24"/>
                <w:lang w:val="en-US" w:eastAsia="zh-CN"/>
              </w:rPr>
              <w:t>4.023</w:t>
            </w:r>
            <w:r>
              <w:rPr>
                <w:rFonts w:hint="default" w:ascii="Times New Roman" w:hAnsi="Times New Roman" w:eastAsia="宋体" w:cs="Times New Roman"/>
                <w:color w:val="auto"/>
                <w:sz w:val="24"/>
              </w:rPr>
              <w:t>t，因此企业危废暂存场所可以满足项目产生的危废暂存需求。</w:t>
            </w:r>
          </w:p>
          <w:p w14:paraId="7A55944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贮存安全可行性分析：</w:t>
            </w:r>
          </w:p>
          <w:p w14:paraId="09790AB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本项目产生并贮存于危废仓库的危险废物主要为</w:t>
            </w:r>
            <w:r>
              <w:rPr>
                <w:rFonts w:hint="eastAsia" w:ascii="Times New Roman" w:hAnsi="Times New Roman" w:eastAsia="宋体" w:cs="Times New Roman"/>
                <w:color w:val="auto"/>
                <w:sz w:val="24"/>
                <w:lang w:val="en-US" w:eastAsia="zh-CN"/>
              </w:rPr>
              <w:t>废清洗剂桶、废淬火油、废淬火油</w:t>
            </w:r>
            <w:r>
              <w:rPr>
                <w:rFonts w:hint="default" w:ascii="Times New Roman" w:hAnsi="Times New Roman" w:eastAsia="宋体" w:cs="Times New Roman"/>
                <w:color w:val="auto"/>
                <w:sz w:val="24"/>
                <w:lang w:val="en-US" w:eastAsia="zh-CN"/>
              </w:rPr>
              <w:t>等</w:t>
            </w:r>
            <w:r>
              <w:rPr>
                <w:rFonts w:hint="default" w:ascii="Times New Roman" w:hAnsi="Times New Roman" w:eastAsia="宋体" w:cs="Times New Roman"/>
                <w:color w:val="auto"/>
                <w:sz w:val="24"/>
              </w:rPr>
              <w:t>，企业根据各危险废物的形态和危险特性，用专用编织袋</w:t>
            </w:r>
            <w:r>
              <w:rPr>
                <w:rFonts w:hint="default" w:ascii="Times New Roman" w:hAnsi="Times New Roman" w:eastAsia="宋体" w:cs="Times New Roman"/>
                <w:color w:val="auto"/>
                <w:sz w:val="24"/>
                <w:lang w:val="en-US" w:eastAsia="zh-CN"/>
              </w:rPr>
              <w:t>和密封吨桶</w:t>
            </w:r>
            <w:r>
              <w:rPr>
                <w:rFonts w:hint="default" w:ascii="Times New Roman" w:hAnsi="Times New Roman" w:eastAsia="宋体" w:cs="Times New Roman"/>
                <w:color w:val="auto"/>
                <w:sz w:val="24"/>
              </w:rPr>
              <w:t>等包装容器盛装，并在盛装容器上粘贴标签，分开存放。贮存场所内设有隔离间隔断，并设置危险废物识别标志，且应满足</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四防</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。综上所述，本项目危废按上述要求贮存于该危废仓库可行。</w:t>
            </w:r>
          </w:p>
          <w:p w14:paraId="5E2B075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3）容器和包装物污染控制要求</w:t>
            </w:r>
          </w:p>
          <w:p w14:paraId="501BD61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根据《危险废物贮存污染控制标准》（GB 18597-2023），危险废物容器和包装物污染控制要求如下：</w:t>
            </w:r>
          </w:p>
          <w:p w14:paraId="19177CB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①容器和包装物材质、内衬应与盛装的危险废物相容。</w:t>
            </w:r>
          </w:p>
          <w:p w14:paraId="3372C69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②针对不同类别、形态、物理化学性质的危险废物，其容器和包装物应满足相应的防渗、防漏、防腐和强度等要求。</w:t>
            </w:r>
          </w:p>
          <w:p w14:paraId="4FBDBA9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③硬质容器和包装物及其支护结构堆叠码放时不应有明显变形，无破损泄漏。</w:t>
            </w:r>
          </w:p>
          <w:p w14:paraId="2C16123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④柔性容器和包装物堆叠码放时应封口严密，无破损泄漏。</w:t>
            </w:r>
          </w:p>
          <w:p w14:paraId="13466D4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⑤使用容器盛装液态、半固态危险废物时，容器内部应留有适当的空间，以适应因温度变化等可能引发的收缩和膨胀，防止其导致容器渗漏或永久变形。</w:t>
            </w:r>
          </w:p>
          <w:p w14:paraId="79C8400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⑥容器和包装物外表面应保持清洁。</w:t>
            </w:r>
          </w:p>
          <w:p w14:paraId="22FD75F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4）贮存过程要求</w:t>
            </w:r>
          </w:p>
          <w:p w14:paraId="6857624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根据《危险废物贮存污染控制标准》（GB 18597-2023），危险废物贮存过程污染控制要求如下：</w:t>
            </w:r>
          </w:p>
          <w:p w14:paraId="71BA08D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①在常温常压下不易水解、不易挥发的固态危险废物可分类堆放贮存，其他固态危险废物应装入容器或包装物内贮存。</w:t>
            </w:r>
          </w:p>
          <w:p w14:paraId="29D8960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②液态危险废物应装入容器内贮存，或直接采用贮存池、贮存罐区贮存。</w:t>
            </w:r>
          </w:p>
          <w:p w14:paraId="6B6AAAF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③半固态危险废物应装入容器或包装袋内贮存，或者采用贮存池贮存。</w:t>
            </w:r>
          </w:p>
          <w:p w14:paraId="1D09591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④具有热塑性的危险废物应装入容器或包装袋内进行贮存。</w:t>
            </w:r>
          </w:p>
          <w:p w14:paraId="1F2D357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⑤</w:t>
            </w:r>
            <w:r>
              <w:rPr>
                <w:rFonts w:hint="default" w:ascii="Times New Roman" w:hAnsi="Times New Roman" w:eastAsia="宋体" w:cs="Times New Roman"/>
                <w:color w:val="auto"/>
                <w:sz w:val="24"/>
              </w:rPr>
              <w:t>危险废物贮存过程中易产生粉尘等无组织排放的，应采取抑尘等有效措施。</w:t>
            </w:r>
          </w:p>
          <w:p w14:paraId="7EC94D7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5）运输过程的污染防治措施</w:t>
            </w:r>
          </w:p>
          <w:p w14:paraId="5C45926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危险废物运输必须按照《危险废物收集 贮存 运输技术规范》（HJ2025-2012）的要求并做到以下几点：</w:t>
            </w:r>
          </w:p>
          <w:p w14:paraId="311F8A1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①危险废物运输应由持有危险废物经营许可证的单位按照其许可证的经营范围组织实施，承担危险废物运输的单位应获得交通运输部门颁发的危险货物运输资质。</w:t>
            </w:r>
          </w:p>
          <w:p w14:paraId="4241E0A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②危险废物公路运输应按照《道路危险货物运输管理规定》（交通部令[2015年]第9号）、JT617以及JT618执行。</w:t>
            </w:r>
          </w:p>
          <w:p w14:paraId="4F96D85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③运输单位在承运危险废物时，应在危险废物包装上按照GB18597附录A设置标志。</w:t>
            </w:r>
          </w:p>
          <w:p w14:paraId="76A0BD90">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④危险废物公路运输时，运输车辆按GB13392设置车辆标志。铁路运输和水路运输危险废物时应在集装箱外按GB190规定悬挂标志。</w:t>
            </w:r>
          </w:p>
          <w:p w14:paraId="590BC19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⑤危险废物运输时的中转、装卸过程应遵守如下技术要求：</w:t>
            </w:r>
          </w:p>
          <w:p w14:paraId="6BE87CA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装卸区的工作人员应熟悉废物的危险特性，并配备适当的个人防护装备，装卸剧毒废物应配备特殊的防护装备；</w:t>
            </w:r>
          </w:p>
          <w:p w14:paraId="3050A89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装卸区应配备必要的消防设备和设施，并设置明显的指示标志；</w:t>
            </w:r>
          </w:p>
          <w:p w14:paraId="735E6E6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危险废物装卸区应设置隔离设施，液态废物装卸区应设置收集槽和缓冲罐。</w:t>
            </w:r>
          </w:p>
          <w:p w14:paraId="65FE4760">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（2）一般工业固体废物</w:t>
            </w:r>
          </w:p>
          <w:p w14:paraId="3B46D3D4">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本项目一般工业固废主要为废</w:t>
            </w:r>
            <w:r>
              <w:rPr>
                <w:rFonts w:hint="default" w:ascii="Times New Roman" w:hAnsi="Times New Roman" w:eastAsia="宋体" w:cs="Times New Roman"/>
                <w:color w:val="auto"/>
                <w:sz w:val="24"/>
                <w:lang w:val="en-US" w:eastAsia="zh-CN"/>
              </w:rPr>
              <w:t>金刚砂0.3</w:t>
            </w:r>
            <w:r>
              <w:rPr>
                <w:rFonts w:hint="default" w:ascii="Times New Roman" w:hAnsi="Times New Roman" w:eastAsia="宋体" w:cs="Times New Roman"/>
                <w:color w:val="auto"/>
                <w:sz w:val="24"/>
              </w:rPr>
              <w:t>t/a、</w:t>
            </w:r>
            <w:r>
              <w:rPr>
                <w:rFonts w:hint="eastAsia" w:ascii="Times New Roman" w:hAnsi="Times New Roman" w:eastAsia="宋体" w:cs="Times New Roman"/>
                <w:color w:val="auto"/>
                <w:sz w:val="24"/>
                <w:lang w:val="en-US" w:eastAsia="zh-CN"/>
              </w:rPr>
              <w:t>废布袋0.05</w:t>
            </w:r>
            <w:r>
              <w:rPr>
                <w:rFonts w:hint="default" w:ascii="Times New Roman" w:hAnsi="Times New Roman" w:eastAsia="宋体" w:cs="Times New Roman"/>
                <w:color w:val="auto"/>
                <w:sz w:val="24"/>
              </w:rPr>
              <w:t>t/a、</w:t>
            </w:r>
            <w:r>
              <w:rPr>
                <w:rFonts w:hint="eastAsia" w:ascii="Times New Roman" w:hAnsi="Times New Roman" w:eastAsia="宋体" w:cs="Times New Roman"/>
                <w:color w:val="auto"/>
                <w:sz w:val="24"/>
                <w:lang w:val="en-US" w:eastAsia="zh-CN"/>
              </w:rPr>
              <w:t>布袋收尘0.1</w:t>
            </w:r>
            <w:r>
              <w:rPr>
                <w:rFonts w:hint="default" w:ascii="Times New Roman" w:hAnsi="Times New Roman" w:eastAsia="宋体" w:cs="Times New Roman"/>
                <w:color w:val="auto"/>
                <w:sz w:val="24"/>
              </w:rPr>
              <w:t>t/a，均定期</w:t>
            </w:r>
            <w:r>
              <w:rPr>
                <w:rFonts w:hint="eastAsia" w:ascii="Times New Roman" w:hAnsi="Times New Roman" w:eastAsia="宋体" w:cs="Times New Roman"/>
                <w:color w:val="auto"/>
                <w:sz w:val="24"/>
                <w:lang w:val="en-US" w:eastAsia="zh-CN"/>
              </w:rPr>
              <w:t>外售</w:t>
            </w:r>
            <w:r>
              <w:rPr>
                <w:rFonts w:hint="default" w:ascii="Times New Roman" w:hAnsi="Times New Roman" w:eastAsia="宋体" w:cs="Times New Roman"/>
                <w:color w:val="auto"/>
                <w:sz w:val="24"/>
              </w:rPr>
              <w:t>综合利用。一般固废仓库应按照《一般工业固体废物贮存和填埋污染控制标准》（GB18599-2020）、《省生态环境厅关于进一步完善一般工业固体废物环境管理的通知》（苏环办</w:t>
            </w:r>
            <w:r>
              <w:rPr>
                <w:rFonts w:hint="eastAsia" w:ascii="宋体" w:hAnsi="宋体" w:eastAsia="宋体" w:cs="宋体"/>
                <w:color w:val="auto"/>
                <w:sz w:val="24"/>
              </w:rPr>
              <w:t>〔</w:t>
            </w:r>
            <w:r>
              <w:rPr>
                <w:rFonts w:hint="default" w:ascii="Times New Roman" w:hAnsi="Times New Roman" w:eastAsia="宋体" w:cs="Times New Roman"/>
                <w:color w:val="auto"/>
                <w:sz w:val="24"/>
              </w:rPr>
              <w:t>2023</w:t>
            </w:r>
            <w:r>
              <w:rPr>
                <w:rFonts w:hint="eastAsia" w:ascii="宋体" w:hAnsi="宋体" w:eastAsia="宋体" w:cs="宋体"/>
                <w:color w:val="auto"/>
                <w:sz w:val="24"/>
              </w:rPr>
              <w:t>〕</w:t>
            </w:r>
            <w:r>
              <w:rPr>
                <w:rFonts w:hint="default" w:ascii="Times New Roman" w:hAnsi="Times New Roman" w:eastAsia="宋体" w:cs="Times New Roman"/>
                <w:color w:val="auto"/>
                <w:sz w:val="24"/>
              </w:rPr>
              <w:t>327号）要求建设，具体技术要求如下：</w:t>
            </w:r>
          </w:p>
          <w:p w14:paraId="74B6677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①根据建设、运行、封场等污染控制技术要求不同，贮存场、填埋场分为I类场和</w:t>
            </w:r>
            <w:r>
              <w:rPr>
                <w:rFonts w:hint="default" w:ascii="Times New Roman" w:hAnsi="Times New Roman" w:eastAsia="宋体" w:cs="Times New Roman"/>
                <w:color w:val="auto"/>
                <w:sz w:val="24"/>
                <w:lang w:eastAsia="zh-CN"/>
              </w:rPr>
              <w:t>Ⅱ类</w:t>
            </w:r>
            <w:r>
              <w:rPr>
                <w:rFonts w:hint="default" w:ascii="Times New Roman" w:hAnsi="Times New Roman" w:eastAsia="宋体" w:cs="Times New Roman"/>
                <w:color w:val="auto"/>
                <w:sz w:val="24"/>
              </w:rPr>
              <w:t>场。</w:t>
            </w:r>
          </w:p>
          <w:p w14:paraId="55F908B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②贮存场、填埋场的防洪标准应按重现期不小于50年一遇的洪水位设计，国家已有标准提出更高要求的除外。</w:t>
            </w:r>
          </w:p>
          <w:p w14:paraId="6D6C993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③贮存场和填埋场一般应包括以下单元：</w:t>
            </w:r>
          </w:p>
          <w:p w14:paraId="6124138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a</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防渗系统、渗滤液收集和导排系统； </w:t>
            </w:r>
          </w:p>
          <w:p w14:paraId="6B2291C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b</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雨污分流系统； </w:t>
            </w:r>
          </w:p>
          <w:p w14:paraId="0E6A4AB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c</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分析化验与环境监测系统； </w:t>
            </w:r>
          </w:p>
          <w:p w14:paraId="69D18AC8">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d</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 xml:space="preserve">公用工程和配套设施； </w:t>
            </w:r>
          </w:p>
          <w:p w14:paraId="0FEFB47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e</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地下水导排系统和废水处理系统（根据具体情况选择设置）。</w:t>
            </w:r>
          </w:p>
          <w:p w14:paraId="63737E6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④贮存场及填埋场施工方案中应包括施工质量保证和施工质量控制内容，明确环保条款和责任，作为项目竣工环境保护验收的依据，同时可作为建设环境监理的主要内容。</w:t>
            </w:r>
          </w:p>
          <w:p w14:paraId="573A5735">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⑤贮存场及填埋场在施工完毕后应保存施工报告、全套竣工图、所有材料的现场及实验室检测报告。采用高密度聚乙烯膜作为人工合成材料衬层的贮存场及填埋场还应提交人工防渗衬层完整性检测报告。上述材料连同施工质量保证书作为竣工环境保护验收的依据。</w:t>
            </w:r>
          </w:p>
          <w:p w14:paraId="3C8C15D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⑥贮存场及填埋场渗滤液收集池的防渗要求应不低于对应贮存场、填埋场的防渗要求。</w:t>
            </w:r>
          </w:p>
          <w:p w14:paraId="0E3BC29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⑦贮存场除应符合标准规定污染控制技术要求之外，其设计、施工、运行、封场等还应符合相关行政法规规定、国家及行业标准要求。</w:t>
            </w:r>
          </w:p>
          <w:p w14:paraId="29410B6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⑧食品制造业、纺织服装和服饰业、造纸和纸制品业、农副食品加工业等为日常生活提供服务的活动中产生的与生活垃圾性质相近的一般工业固体废物，以及有机质含量超过5%的一般工业固体废物（煤矸石除外），其直接贮存、填埋处置应符合GB16889要求。</w:t>
            </w:r>
          </w:p>
          <w:p w14:paraId="6EAC7CC0">
            <w:pPr>
              <w:spacing w:line="360" w:lineRule="auto"/>
              <w:ind w:firstLine="482" w:firstLineChars="200"/>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（3）生活垃圾</w:t>
            </w:r>
          </w:p>
          <w:p w14:paraId="6D2EC03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职工生活垃圾</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t/a，由环卫部门定期清运，可得到有效处置。</w:t>
            </w:r>
          </w:p>
          <w:p w14:paraId="1901090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综上，本项目产生的各类固废均可得到有效处置，固废污染防治措施可行，对周围环境影响较小。</w:t>
            </w:r>
          </w:p>
          <w:p w14:paraId="42C71687">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五、地下水、土壤</w:t>
            </w:r>
          </w:p>
          <w:p w14:paraId="73D5C6E2">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1、污染源、污染类型、污染途径</w:t>
            </w:r>
          </w:p>
          <w:p w14:paraId="23ADB6F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本项目土壤和地下水污染源主要为液态辅料（</w:t>
            </w:r>
            <w:r>
              <w:rPr>
                <w:rFonts w:hint="eastAsia" w:ascii="Times New Roman" w:hAnsi="Times New Roman" w:eastAsia="宋体" w:cs="Times New Roman"/>
                <w:color w:val="auto"/>
                <w:sz w:val="24"/>
                <w:lang w:val="en-US" w:eastAsia="zh-CN"/>
              </w:rPr>
              <w:t>碳氢清洗剂</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淬火油、防锈油等</w:t>
            </w:r>
            <w:r>
              <w:rPr>
                <w:rFonts w:hint="default" w:ascii="Times New Roman" w:hAnsi="Times New Roman" w:eastAsia="宋体" w:cs="Times New Roman"/>
                <w:color w:val="auto"/>
                <w:sz w:val="24"/>
              </w:rPr>
              <w:t>）、液态危险废物（废</w:t>
            </w:r>
            <w:r>
              <w:rPr>
                <w:rFonts w:hint="eastAsia" w:ascii="Times New Roman" w:hAnsi="Times New Roman" w:eastAsia="宋体" w:cs="Times New Roman"/>
                <w:color w:val="auto"/>
                <w:sz w:val="24"/>
                <w:lang w:val="en-US" w:eastAsia="zh-CN"/>
              </w:rPr>
              <w:t>防锈油、废淬火油</w:t>
            </w:r>
            <w:r>
              <w:rPr>
                <w:rFonts w:hint="default" w:ascii="Times New Roman" w:hAnsi="Times New Roman" w:eastAsia="宋体" w:cs="Times New Roman"/>
                <w:color w:val="auto"/>
                <w:sz w:val="24"/>
              </w:rPr>
              <w:t>）</w:t>
            </w:r>
            <w:r>
              <w:rPr>
                <w:rFonts w:hint="eastAsia" w:ascii="Times New Roman" w:hAnsi="Times New Roman" w:eastAsia="宋体" w:cs="Times New Roman"/>
                <w:color w:val="auto"/>
                <w:sz w:val="24"/>
                <w:lang w:val="en-US" w:eastAsia="zh-CN"/>
              </w:rPr>
              <w:t>以及清洗废水</w:t>
            </w:r>
            <w:r>
              <w:rPr>
                <w:rFonts w:hint="default" w:ascii="Times New Roman" w:hAnsi="Times New Roman" w:eastAsia="宋体" w:cs="Times New Roman"/>
                <w:color w:val="auto"/>
                <w:sz w:val="24"/>
              </w:rPr>
              <w:t>；可能产生土壤和地下水污染的设施、设备主要为</w:t>
            </w:r>
            <w:r>
              <w:rPr>
                <w:rFonts w:hint="eastAsia" w:ascii="Times New Roman" w:hAnsi="Times New Roman" w:eastAsia="宋体" w:cs="Times New Roman"/>
                <w:color w:val="auto"/>
                <w:sz w:val="24"/>
                <w:lang w:val="en-US" w:eastAsia="zh-CN"/>
              </w:rPr>
              <w:t>污水处理站、生产区（一层）</w:t>
            </w:r>
            <w:r>
              <w:rPr>
                <w:rFonts w:hint="default" w:ascii="Times New Roman" w:hAnsi="Times New Roman" w:eastAsia="宋体" w:cs="Times New Roman"/>
                <w:color w:val="auto"/>
                <w:sz w:val="24"/>
              </w:rPr>
              <w:t>和危废仓库。</w:t>
            </w:r>
          </w:p>
          <w:p w14:paraId="773780E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本项目运营期间可能出现的土壤和地下水污染情况分析：</w:t>
            </w:r>
          </w:p>
          <w:p w14:paraId="2C62B3FC">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①本项目</w:t>
            </w:r>
            <w:r>
              <w:rPr>
                <w:rFonts w:hint="eastAsia" w:ascii="Times New Roman" w:hAnsi="Times New Roman" w:eastAsia="宋体" w:cs="Times New Roman"/>
                <w:color w:val="auto"/>
                <w:sz w:val="24"/>
                <w:lang w:val="en-US" w:eastAsia="zh-CN"/>
              </w:rPr>
              <w:t>碳氢清洗剂</w:t>
            </w:r>
            <w:r>
              <w:rPr>
                <w:rFonts w:hint="default" w:ascii="Times New Roman" w:hAnsi="Times New Roman" w:eastAsia="宋体" w:cs="Times New Roman"/>
                <w:color w:val="auto"/>
                <w:sz w:val="24"/>
                <w:lang w:val="en-US" w:eastAsia="zh-CN"/>
              </w:rPr>
              <w:t>、</w:t>
            </w:r>
            <w:r>
              <w:rPr>
                <w:rFonts w:hint="eastAsia" w:ascii="Times New Roman" w:hAnsi="Times New Roman" w:eastAsia="宋体" w:cs="Times New Roman"/>
                <w:color w:val="auto"/>
                <w:sz w:val="24"/>
                <w:lang w:val="en-US" w:eastAsia="zh-CN"/>
              </w:rPr>
              <w:t>淬火油、防锈油等</w:t>
            </w:r>
            <w:r>
              <w:rPr>
                <w:rFonts w:hint="default" w:ascii="Times New Roman" w:hAnsi="Times New Roman" w:eastAsia="宋体" w:cs="Times New Roman"/>
                <w:color w:val="auto"/>
                <w:sz w:val="24"/>
              </w:rPr>
              <w:t>的单桶包装规格均较小，全厂地面均设置防腐水泥、防渗漏涂层等措施；液体物料一旦发生泄漏均可控制在厂界范围内，不存在可能造成土壤和地下水污染的途径。</w:t>
            </w:r>
          </w:p>
          <w:p w14:paraId="69014E2F">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②厂内若发生火灾、爆炸事故，事故状态下事故废水外溢，通过地表漫流途径及地下水渗流途径导致项目周边土壤和地下水的污染。</w:t>
            </w:r>
          </w:p>
          <w:p w14:paraId="771AF437">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2、土壤、地下水环境保护污染防控措施</w:t>
            </w:r>
          </w:p>
          <w:p w14:paraId="547F17D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地下水及土壤保护以预防为主，减少污染物进入地下水含水层几率和途径，一旦发现地下水遭受污染，应及时采取补救措施。针对本项目可能发生的地下水污染，地下水污染防治措施按照</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源头控制、分区防护、污染监控、应急响应</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相结合的原则，从污染物的产生、入渗、扩散、应急响应全方位进行控制。</w:t>
            </w:r>
          </w:p>
          <w:p w14:paraId="63FC1D8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①源头控制</w:t>
            </w:r>
          </w:p>
          <w:p w14:paraId="3D1A935E">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原料和产品储存、装卸、运输、生产过程、污染处理装置等全过程控制各种有毒有害原辅材料、中间材料、产品泄漏（含跑、冒、滴、漏），同时对有害物质可能泄漏到地面的区域采取防渗措施，阻止其进入土壤中，即从源头到末端全方位采取控制措施，防止项目的建设对土壤造成污染。采取低挥发的原料，保证各废气处理措施运行良好，可有效降低挥发性有机物对环境的排放，降低大气沉降对土壤的影响。从生产过程入手，在工艺、管道、设备、给排水等方面尽可能地采取泄漏控制措施，从源头最大限度降低污染物质泄漏的可能性和泄漏量，使项目区污染物对土壤的影响降至最低，一旦出现泄漏等即可由区域内的各种配套措施进行收集、处置，同时经过硬化处理的地面有效阻止污染物的下渗。</w:t>
            </w:r>
          </w:p>
          <w:p w14:paraId="616C7AC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②过程控制措施</w:t>
            </w:r>
          </w:p>
          <w:p w14:paraId="1F83DBC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对于地上设施，在事故情况和降雨情况下产生的废水会发生地面漫流，进一步污染土壤。企业按照要求在各阀门、溢流井等调控控制事故废水。全面防控事故废水和可能受污染的雨水发生地面漫流，进入土壤。正常工况下，由于车间及厂区地面均由水泥硬化，危废库等区域均采取了防渗措施，一般情况下不会发生液态物料</w:t>
            </w:r>
            <w:r>
              <w:rPr>
                <w:rFonts w:hint="eastAsia" w:ascii="Times New Roman" w:hAnsi="Times New Roman" w:eastAsia="宋体" w:cs="Times New Roman"/>
                <w:color w:val="auto"/>
                <w:sz w:val="24"/>
                <w:lang w:val="en-US" w:eastAsia="zh-CN"/>
              </w:rPr>
              <w:t>泄漏</w:t>
            </w:r>
            <w:r>
              <w:rPr>
                <w:rFonts w:hint="default" w:ascii="Times New Roman" w:hAnsi="Times New Roman" w:eastAsia="宋体" w:cs="Times New Roman"/>
                <w:color w:val="auto"/>
                <w:sz w:val="24"/>
              </w:rPr>
              <w:t>污染土壤及地下水的情况。涉及地面漫流途径须设置防渗、地面硬化等措施。对于项目事故状态的废水，必须保证在未经处理满足要求的前提下不得流出厂界。项目须贯彻</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围、追、堵、截</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的原则，采取多级防护措施，确保事故废水未经处理不得出厂界。</w:t>
            </w:r>
          </w:p>
          <w:p w14:paraId="5A742B77">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③分区防控</w:t>
            </w:r>
          </w:p>
          <w:p w14:paraId="772D2B0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根据防渗参照的标准和规范，结合目前施工过程中的可操作性和技术水平，针对不同的防渗区域采用典型防渗措施，在具体设计中将根据实际情况在满足防渗标准的前提下做必要的调整。</w:t>
            </w:r>
          </w:p>
          <w:p w14:paraId="156D45F1">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本项目针对污染特点设置土壤、地下水一般污染防渗区和重点防渗区，防渗分区情况下表。</w:t>
            </w:r>
          </w:p>
          <w:p w14:paraId="394AFFDF">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-26</w:t>
            </w:r>
            <w:r>
              <w:rPr>
                <w:rFonts w:hint="default" w:ascii="Times New Roman" w:hAnsi="Times New Roman" w:eastAsia="宋体" w:cs="Times New Roman"/>
                <w:b/>
                <w:color w:val="auto"/>
                <w:sz w:val="24"/>
              </w:rPr>
              <w:t xml:space="preserve">  本项目污染防渗区划分</w:t>
            </w:r>
          </w:p>
          <w:tbl>
            <w:tblPr>
              <w:tblStyle w:val="28"/>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559"/>
              <w:gridCol w:w="952"/>
              <w:gridCol w:w="1987"/>
              <w:gridCol w:w="2554"/>
              <w:gridCol w:w="2293"/>
            </w:tblGrid>
            <w:tr w14:paraId="2B12A8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c>
                <w:tcPr>
                  <w:tcW w:w="905" w:type="pct"/>
                  <w:gridSpan w:val="2"/>
                  <w:vAlign w:val="center"/>
                </w:tcPr>
                <w:p w14:paraId="3F697081">
                  <w:pPr>
                    <w:pStyle w:val="24"/>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分区</w:t>
                  </w:r>
                </w:p>
              </w:tc>
              <w:tc>
                <w:tcPr>
                  <w:tcW w:w="1190" w:type="pct"/>
                  <w:vAlign w:val="center"/>
                </w:tcPr>
                <w:p w14:paraId="4109F3E7">
                  <w:pPr>
                    <w:pStyle w:val="24"/>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定义</w:t>
                  </w:r>
                </w:p>
              </w:tc>
              <w:tc>
                <w:tcPr>
                  <w:tcW w:w="1530" w:type="pct"/>
                  <w:vAlign w:val="center"/>
                </w:tcPr>
                <w:p w14:paraId="390D44EC">
                  <w:pPr>
                    <w:pStyle w:val="24"/>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厂内分区</w:t>
                  </w:r>
                </w:p>
              </w:tc>
              <w:tc>
                <w:tcPr>
                  <w:tcW w:w="1373" w:type="pct"/>
                  <w:vAlign w:val="center"/>
                </w:tcPr>
                <w:p w14:paraId="2799307D">
                  <w:pPr>
                    <w:pStyle w:val="24"/>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防渗等级</w:t>
                  </w:r>
                </w:p>
              </w:tc>
            </w:tr>
            <w:tr w14:paraId="7B57714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5" w:type="pct"/>
                  <w:vMerge w:val="restart"/>
                  <w:vAlign w:val="center"/>
                </w:tcPr>
                <w:p w14:paraId="7882F069">
                  <w:pPr>
                    <w:pStyle w:val="24"/>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污染区</w:t>
                  </w:r>
                </w:p>
              </w:tc>
              <w:tc>
                <w:tcPr>
                  <w:tcW w:w="569" w:type="pct"/>
                  <w:vAlign w:val="center"/>
                </w:tcPr>
                <w:p w14:paraId="55632D9C">
                  <w:pPr>
                    <w:pStyle w:val="24"/>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重点防渗区</w:t>
                  </w:r>
                </w:p>
              </w:tc>
              <w:tc>
                <w:tcPr>
                  <w:tcW w:w="1190" w:type="pct"/>
                  <w:vAlign w:val="center"/>
                </w:tcPr>
                <w:p w14:paraId="7F01AA57">
                  <w:pPr>
                    <w:pStyle w:val="24"/>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危害性大，污染物较大的生产装置区，污染控制难度较难</w:t>
                  </w:r>
                </w:p>
              </w:tc>
              <w:tc>
                <w:tcPr>
                  <w:tcW w:w="1530" w:type="pct"/>
                  <w:vAlign w:val="center"/>
                </w:tcPr>
                <w:p w14:paraId="1AF74628">
                  <w:pPr>
                    <w:pStyle w:val="24"/>
                    <w:jc w:val="center"/>
                    <w:rPr>
                      <w:rFonts w:hint="default" w:ascii="Times New Roman" w:hAnsi="Times New Roman" w:eastAsia="宋体" w:cs="Times New Roman"/>
                      <w:b w:val="0"/>
                      <w:color w:val="auto"/>
                      <w:sz w:val="21"/>
                      <w:szCs w:val="21"/>
                      <w:lang w:val="en-US" w:eastAsia="zh-CN"/>
                    </w:rPr>
                  </w:pPr>
                  <w:r>
                    <w:rPr>
                      <w:rFonts w:hint="eastAsia" w:ascii="Times New Roman" w:hAnsi="Times New Roman" w:cs="Times New Roman"/>
                      <w:b w:val="0"/>
                      <w:color w:val="auto"/>
                      <w:sz w:val="21"/>
                      <w:szCs w:val="21"/>
                      <w:lang w:val="en-US" w:eastAsia="zh-CN"/>
                    </w:rPr>
                    <w:t>污水处理站</w:t>
                  </w:r>
                  <w:r>
                    <w:rPr>
                      <w:rFonts w:hint="default" w:ascii="Times New Roman" w:hAnsi="Times New Roman" w:cs="Times New Roman"/>
                      <w:b w:val="0"/>
                      <w:color w:val="auto"/>
                      <w:sz w:val="21"/>
                      <w:szCs w:val="21"/>
                    </w:rPr>
                    <w:t>、危废仓库、</w:t>
                  </w:r>
                  <w:r>
                    <w:rPr>
                      <w:rFonts w:hint="default" w:ascii="Times New Roman" w:hAnsi="Times New Roman" w:cs="Times New Roman"/>
                      <w:b w:val="0"/>
                      <w:color w:val="auto"/>
                      <w:sz w:val="21"/>
                      <w:szCs w:val="21"/>
                      <w:lang w:val="en-US" w:eastAsia="zh-CN"/>
                    </w:rPr>
                    <w:t>生产区</w:t>
                  </w:r>
                  <w:r>
                    <w:rPr>
                      <w:rFonts w:hint="eastAsia" w:ascii="Times New Roman" w:hAnsi="Times New Roman" w:cs="Times New Roman"/>
                      <w:b w:val="0"/>
                      <w:color w:val="auto"/>
                      <w:sz w:val="21"/>
                      <w:szCs w:val="21"/>
                      <w:lang w:val="en-US" w:eastAsia="zh-CN"/>
                    </w:rPr>
                    <w:t>（一层）</w:t>
                  </w:r>
                </w:p>
              </w:tc>
              <w:tc>
                <w:tcPr>
                  <w:tcW w:w="1373" w:type="pct"/>
                  <w:vAlign w:val="center"/>
                </w:tcPr>
                <w:p w14:paraId="47A94796">
                  <w:pPr>
                    <w:pStyle w:val="24"/>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设计渗透系数≤1.0</w:t>
                  </w:r>
                  <w:r>
                    <w:rPr>
                      <w:rFonts w:hint="default" w:ascii="Times New Roman" w:hAnsi="Times New Roman" w:cs="Times New Roman"/>
                      <w:b w:val="0"/>
                      <w:color w:val="auto"/>
                      <w:lang w:eastAsia="zh-CN"/>
                    </w:rPr>
                    <w:t>（</w:t>
                  </w:r>
                  <w:r>
                    <w:rPr>
                      <w:rFonts w:hint="default" w:ascii="Times New Roman" w:hAnsi="Times New Roman" w:cs="Times New Roman"/>
                      <w:b w:val="0"/>
                      <w:color w:val="auto"/>
                      <w:sz w:val="21"/>
                      <w:szCs w:val="21"/>
                    </w:rPr>
                    <w:t>10</w:t>
                  </w:r>
                  <w:r>
                    <w:rPr>
                      <w:rFonts w:hint="default" w:ascii="Times New Roman" w:hAnsi="Times New Roman" w:cs="Times New Roman"/>
                      <w:b w:val="0"/>
                      <w:color w:val="auto"/>
                      <w:sz w:val="21"/>
                      <w:szCs w:val="21"/>
                      <w:vertAlign w:val="superscript"/>
                    </w:rPr>
                    <w:t>-10</w:t>
                  </w:r>
                  <w:r>
                    <w:rPr>
                      <w:rFonts w:hint="default" w:ascii="Times New Roman" w:hAnsi="Times New Roman" w:cs="Times New Roman"/>
                      <w:b w:val="0"/>
                      <w:color w:val="auto"/>
                      <w:sz w:val="21"/>
                      <w:szCs w:val="21"/>
                    </w:rPr>
                    <w:t>cm/s，等效黏土防渗层Mb≥6.0m</w:t>
                  </w:r>
                </w:p>
              </w:tc>
            </w:tr>
            <w:tr w14:paraId="3C1580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35" w:type="pct"/>
                  <w:vMerge w:val="continue"/>
                  <w:vAlign w:val="center"/>
                </w:tcPr>
                <w:p w14:paraId="5AF224B3">
                  <w:pPr>
                    <w:pStyle w:val="24"/>
                    <w:jc w:val="center"/>
                    <w:rPr>
                      <w:rFonts w:hint="default" w:ascii="Times New Roman" w:hAnsi="Times New Roman" w:cs="Times New Roman"/>
                      <w:b w:val="0"/>
                      <w:color w:val="auto"/>
                      <w:sz w:val="21"/>
                      <w:szCs w:val="21"/>
                    </w:rPr>
                  </w:pPr>
                </w:p>
              </w:tc>
              <w:tc>
                <w:tcPr>
                  <w:tcW w:w="569" w:type="pct"/>
                  <w:vAlign w:val="center"/>
                </w:tcPr>
                <w:p w14:paraId="7AE126BA">
                  <w:pPr>
                    <w:pStyle w:val="24"/>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一般防渗区</w:t>
                  </w:r>
                </w:p>
              </w:tc>
              <w:tc>
                <w:tcPr>
                  <w:tcW w:w="1190" w:type="pct"/>
                  <w:vAlign w:val="center"/>
                </w:tcPr>
                <w:p w14:paraId="7A2C23EB">
                  <w:pPr>
                    <w:pStyle w:val="24"/>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无毒性或毒性小的生产装置区、装置区外管廊区，污染控制难度较易</w:t>
                  </w:r>
                </w:p>
              </w:tc>
              <w:tc>
                <w:tcPr>
                  <w:tcW w:w="1530" w:type="pct"/>
                  <w:vAlign w:val="center"/>
                </w:tcPr>
                <w:p w14:paraId="0B7E9D79">
                  <w:pPr>
                    <w:pStyle w:val="24"/>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除重点防渗区以外</w:t>
                  </w:r>
                </w:p>
              </w:tc>
              <w:tc>
                <w:tcPr>
                  <w:tcW w:w="1373" w:type="pct"/>
                  <w:vAlign w:val="center"/>
                </w:tcPr>
                <w:p w14:paraId="64B7AD81">
                  <w:pPr>
                    <w:pStyle w:val="24"/>
                    <w:jc w:val="center"/>
                    <w:rPr>
                      <w:rFonts w:hint="default" w:ascii="Times New Roman" w:hAnsi="Times New Roman" w:cs="Times New Roman"/>
                      <w:b w:val="0"/>
                      <w:color w:val="auto"/>
                      <w:sz w:val="21"/>
                      <w:szCs w:val="21"/>
                    </w:rPr>
                  </w:pPr>
                  <w:r>
                    <w:rPr>
                      <w:rFonts w:hint="default" w:ascii="Times New Roman" w:hAnsi="Times New Roman" w:cs="Times New Roman"/>
                      <w:b w:val="0"/>
                      <w:color w:val="auto"/>
                      <w:sz w:val="21"/>
                      <w:szCs w:val="21"/>
                    </w:rPr>
                    <w:t>设计渗透系数＜1.0</w:t>
                  </w:r>
                  <w:r>
                    <w:rPr>
                      <w:rFonts w:hint="default" w:ascii="Times New Roman" w:hAnsi="Times New Roman" w:cs="Times New Roman"/>
                      <w:b w:val="0"/>
                      <w:color w:val="auto"/>
                      <w:sz w:val="21"/>
                      <w:szCs w:val="21"/>
                      <w:lang w:eastAsia="zh-CN"/>
                    </w:rPr>
                    <w:t>（</w:t>
                  </w:r>
                  <w:r>
                    <w:rPr>
                      <w:rFonts w:hint="default" w:ascii="Times New Roman" w:hAnsi="Times New Roman" w:cs="Times New Roman"/>
                      <w:b w:val="0"/>
                      <w:color w:val="auto"/>
                      <w:sz w:val="21"/>
                      <w:szCs w:val="21"/>
                    </w:rPr>
                    <w:t>10</w:t>
                  </w:r>
                  <w:r>
                    <w:rPr>
                      <w:rFonts w:hint="default" w:ascii="Times New Roman" w:hAnsi="Times New Roman" w:cs="Times New Roman"/>
                      <w:b w:val="0"/>
                      <w:color w:val="auto"/>
                      <w:sz w:val="21"/>
                      <w:szCs w:val="21"/>
                      <w:vertAlign w:val="superscript"/>
                    </w:rPr>
                    <w:t>-7</w:t>
                  </w:r>
                  <w:r>
                    <w:rPr>
                      <w:rFonts w:hint="default" w:ascii="Times New Roman" w:hAnsi="Times New Roman" w:cs="Times New Roman"/>
                      <w:b w:val="0"/>
                      <w:color w:val="auto"/>
                      <w:sz w:val="21"/>
                      <w:szCs w:val="21"/>
                    </w:rPr>
                    <w:t>cm/s，等效黏土防渗层Mb≥1.5m</w:t>
                  </w:r>
                </w:p>
              </w:tc>
            </w:tr>
          </w:tbl>
          <w:p w14:paraId="49B19282">
            <w:pPr>
              <w:keepNext w:val="0"/>
              <w:keepLines w:val="0"/>
              <w:pageBreakBefore w:val="0"/>
              <w:widowControl w:val="0"/>
              <w:kinsoku/>
              <w:wordWrap/>
              <w:overflowPunct/>
              <w:topLinePunct w:val="0"/>
              <w:autoSpaceDE/>
              <w:autoSpaceDN/>
              <w:bidi w:val="0"/>
              <w:adjustRightInd/>
              <w:snapToGrid/>
              <w:spacing w:before="120"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一般防渗区自上而下采用人工大理石或水泥防渗结构，车间地面全部进行粘土夯实、混凝硬化。如采取粘土铺底，再在上层铺10~15cm的水泥进行硬化。重点污染区的防渗设计参照《危险废物填埋污染控制标准》要求，采取三层叠加防渗层的防渗措施。具体为：底层铺设10cm~50cm厚成品水泥混凝土，中层铺设1cm~5cm厚的成品普通防腐水泥，上层铺设≥0.1mm~0.2mm厚的环氧树脂涂层。防渗剖面见图4</w:t>
            </w:r>
            <w:r>
              <w:rPr>
                <w:rFonts w:hint="eastAsia"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w:t>
            </w:r>
          </w:p>
          <w:p w14:paraId="139E6ED8">
            <w:pPr>
              <w:spacing w:line="360" w:lineRule="auto"/>
              <w:jc w:val="center"/>
              <w:rPr>
                <w:rFonts w:hint="default" w:ascii="Times New Roman" w:hAnsi="Times New Roman" w:eastAsia="宋体" w:cs="Times New Roman"/>
                <w:color w:val="auto"/>
                <w:sz w:val="24"/>
              </w:rPr>
            </w:pPr>
            <w:r>
              <w:rPr>
                <w:rFonts w:hint="default" w:ascii="Times New Roman" w:hAnsi="Times New Roman" w:cs="Times New Roman"/>
                <w:color w:val="auto"/>
              </w:rPr>
              <w:drawing>
                <wp:inline distT="0" distB="0" distL="0" distR="0">
                  <wp:extent cx="5170805" cy="1885315"/>
                  <wp:effectExtent l="0" t="0" r="0"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6"/>
                          <a:stretch>
                            <a:fillRect/>
                          </a:stretch>
                        </pic:blipFill>
                        <pic:spPr>
                          <a:xfrm>
                            <a:off x="0" y="0"/>
                            <a:ext cx="5171429" cy="1885714"/>
                          </a:xfrm>
                          <a:prstGeom prst="rect">
                            <a:avLst/>
                          </a:prstGeom>
                        </pic:spPr>
                      </pic:pic>
                    </a:graphicData>
                  </a:graphic>
                </wp:inline>
              </w:drawing>
            </w:r>
          </w:p>
          <w:p w14:paraId="61B3B37D">
            <w:pPr>
              <w:spacing w:line="360" w:lineRule="auto"/>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图4-</w:t>
            </w:r>
            <w:r>
              <w:rPr>
                <w:rFonts w:hint="eastAsia" w:ascii="Times New Roman" w:hAnsi="Times New Roman" w:eastAsia="宋体" w:cs="Times New Roman"/>
                <w:b/>
                <w:color w:val="auto"/>
                <w:sz w:val="24"/>
                <w:lang w:val="en-US" w:eastAsia="zh-CN"/>
              </w:rPr>
              <w:t>3</w:t>
            </w:r>
            <w:r>
              <w:rPr>
                <w:rFonts w:hint="default" w:ascii="Times New Roman" w:hAnsi="Times New Roman" w:eastAsia="宋体" w:cs="Times New Roman"/>
                <w:b/>
                <w:color w:val="auto"/>
                <w:sz w:val="24"/>
              </w:rPr>
              <w:t xml:space="preserve">  重点区域防渗层剖面图</w:t>
            </w:r>
          </w:p>
          <w:p w14:paraId="4E7D4C32">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④应急响应措施</w:t>
            </w:r>
          </w:p>
          <w:p w14:paraId="4F7546D3">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一旦发生泄漏、火灾或爆炸等突发环境事件，应立即启动突发环境事件应急预案，采取切断污染源、防止污染物扩散、减少和消除污染物等一系列应急措施，同时应密切关注地下水水质变化情况。对突发环境事件现场进行调查、监测、处理，对突发环境事件发生后果进行评估，并制定防止类似事件发生的措施。</w:t>
            </w:r>
          </w:p>
          <w:p w14:paraId="1AFA835E">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六、环境风险</w:t>
            </w:r>
          </w:p>
          <w:p w14:paraId="79322B03">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1、建设项目风险源调查</w:t>
            </w:r>
          </w:p>
          <w:p w14:paraId="650CAEAD">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参照《建设项目环境风险评价技术导则》（HJ169-2018）及其附录B，本项目所涉及的危险物质主要为原辅料中的</w:t>
            </w:r>
            <w:r>
              <w:rPr>
                <w:rFonts w:hint="default" w:ascii="Times New Roman" w:hAnsi="Times New Roman" w:eastAsia="宋体" w:cs="Times New Roman"/>
                <w:color w:val="auto"/>
                <w:sz w:val="24"/>
                <w:lang w:val="en-US" w:eastAsia="zh-CN"/>
              </w:rPr>
              <w:t>防锈油</w:t>
            </w:r>
            <w:r>
              <w:rPr>
                <w:rFonts w:hint="eastAsia" w:ascii="Times New Roman" w:hAnsi="Times New Roman" w:eastAsia="宋体" w:cs="Times New Roman"/>
                <w:color w:val="auto"/>
                <w:sz w:val="24"/>
                <w:lang w:val="en-US" w:eastAsia="zh-CN"/>
              </w:rPr>
              <w:t>、纯氢、碳氢清洗剂等，以及危险废物</w:t>
            </w:r>
            <w:r>
              <w:rPr>
                <w:rFonts w:hint="default" w:ascii="Times New Roman" w:hAnsi="Times New Roman" w:eastAsia="宋体" w:cs="Times New Roman"/>
                <w:color w:val="auto"/>
                <w:sz w:val="24"/>
              </w:rPr>
              <w:t>。危险物质危险性识别见下表。</w:t>
            </w:r>
          </w:p>
          <w:p w14:paraId="2DC5C976">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-27</w:t>
            </w:r>
            <w:r>
              <w:rPr>
                <w:rFonts w:hint="default" w:ascii="Times New Roman" w:hAnsi="Times New Roman" w:eastAsia="宋体" w:cs="Times New Roman"/>
                <w:b/>
                <w:color w:val="auto"/>
                <w:sz w:val="24"/>
              </w:rPr>
              <w:t xml:space="preserve">  危险物质危险性识别表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254"/>
              <w:gridCol w:w="1971"/>
              <w:gridCol w:w="3103"/>
              <w:gridCol w:w="2020"/>
            </w:tblGrid>
            <w:tr w14:paraId="4C6C35D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Align w:val="center"/>
                </w:tcPr>
                <w:p w14:paraId="40C81291">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物质类别</w:t>
                  </w:r>
                </w:p>
              </w:tc>
              <w:tc>
                <w:tcPr>
                  <w:tcW w:w="1180" w:type="pct"/>
                  <w:vAlign w:val="center"/>
                </w:tcPr>
                <w:p w14:paraId="576F0D5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物质名称</w:t>
                  </w:r>
                </w:p>
              </w:tc>
              <w:tc>
                <w:tcPr>
                  <w:tcW w:w="1858" w:type="pct"/>
                  <w:vAlign w:val="center"/>
                </w:tcPr>
                <w:p w14:paraId="4C901E2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毒理性质</w:t>
                  </w:r>
                </w:p>
              </w:tc>
              <w:tc>
                <w:tcPr>
                  <w:tcW w:w="1209" w:type="pct"/>
                  <w:vAlign w:val="center"/>
                </w:tcPr>
                <w:p w14:paraId="00161647">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燃爆性质</w:t>
                  </w:r>
                </w:p>
              </w:tc>
            </w:tr>
            <w:tr w14:paraId="03E4F2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2" w:hRule="atLeast"/>
              </w:trPr>
              <w:tc>
                <w:tcPr>
                  <w:tcW w:w="751" w:type="pct"/>
                  <w:vMerge w:val="restart"/>
                  <w:vAlign w:val="center"/>
                </w:tcPr>
                <w:p w14:paraId="12F99E16">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原辅材料</w:t>
                  </w:r>
                </w:p>
              </w:tc>
              <w:tc>
                <w:tcPr>
                  <w:tcW w:w="1180" w:type="pct"/>
                  <w:shd w:val="clear" w:color="auto" w:fill="auto"/>
                  <w:vAlign w:val="center"/>
                </w:tcPr>
                <w:p w14:paraId="08A873BE">
                  <w:pPr>
                    <w:pStyle w:val="7"/>
                    <w:bidi w:val="0"/>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防锈油</w:t>
                  </w:r>
                </w:p>
              </w:tc>
              <w:tc>
                <w:tcPr>
                  <w:tcW w:w="1858" w:type="pct"/>
                  <w:shd w:val="clear" w:color="auto" w:fill="auto"/>
                  <w:vAlign w:val="center"/>
                </w:tcPr>
                <w:p w14:paraId="59A0812F">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09" w:type="pct"/>
                  <w:shd w:val="clear" w:color="auto" w:fill="auto"/>
                  <w:vAlign w:val="center"/>
                </w:tcPr>
                <w:p w14:paraId="6AF3CD36">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易燃</w:t>
                  </w:r>
                </w:p>
              </w:tc>
            </w:tr>
            <w:tr w14:paraId="033328D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continue"/>
                  <w:vAlign w:val="center"/>
                </w:tcPr>
                <w:p w14:paraId="3B980D1A">
                  <w:pPr>
                    <w:jc w:val="center"/>
                    <w:rPr>
                      <w:rFonts w:hint="default" w:ascii="Times New Roman" w:hAnsi="Times New Roman" w:eastAsia="宋体" w:cs="Times New Roman"/>
                      <w:bCs/>
                      <w:color w:val="auto"/>
                      <w:sz w:val="21"/>
                      <w:szCs w:val="21"/>
                    </w:rPr>
                  </w:pPr>
                </w:p>
              </w:tc>
              <w:tc>
                <w:tcPr>
                  <w:tcW w:w="1180" w:type="pct"/>
                  <w:shd w:val="clear" w:color="auto" w:fill="auto"/>
                  <w:vAlign w:val="center"/>
                </w:tcPr>
                <w:p w14:paraId="4B885449">
                  <w:pPr>
                    <w:pStyle w:val="7"/>
                    <w:bidi w:val="0"/>
                    <w:ind w:left="0" w:leftChars="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纯氢</w:t>
                  </w:r>
                </w:p>
              </w:tc>
              <w:tc>
                <w:tcPr>
                  <w:tcW w:w="1858" w:type="pct"/>
                  <w:shd w:val="clear" w:color="auto" w:fill="auto"/>
                  <w:vAlign w:val="center"/>
                </w:tcPr>
                <w:p w14:paraId="62B77347">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09" w:type="pct"/>
                  <w:shd w:val="clear" w:color="auto" w:fill="auto"/>
                  <w:vAlign w:val="center"/>
                </w:tcPr>
                <w:p w14:paraId="34442576">
                  <w:pPr>
                    <w:jc w:val="center"/>
                    <w:rPr>
                      <w:rFonts w:hint="eastAsia"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易燃</w:t>
                  </w:r>
                  <w:r>
                    <w:rPr>
                      <w:rFonts w:hint="eastAsia" w:ascii="Times New Roman" w:hAnsi="Times New Roman" w:eastAsia="宋体" w:cs="Times New Roman"/>
                      <w:bCs/>
                      <w:color w:val="auto"/>
                      <w:sz w:val="21"/>
                      <w:szCs w:val="21"/>
                      <w:lang w:val="en-US" w:eastAsia="zh-CN"/>
                    </w:rPr>
                    <w:t>易爆</w:t>
                  </w:r>
                </w:p>
              </w:tc>
            </w:tr>
            <w:tr w14:paraId="4888E3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Merge w:val="continue"/>
                  <w:vAlign w:val="center"/>
                </w:tcPr>
                <w:p w14:paraId="625FB7D9">
                  <w:pPr>
                    <w:jc w:val="center"/>
                    <w:rPr>
                      <w:rFonts w:hint="default" w:ascii="Times New Roman" w:hAnsi="Times New Roman" w:eastAsia="宋体" w:cs="Times New Roman"/>
                      <w:bCs/>
                      <w:color w:val="auto"/>
                      <w:sz w:val="21"/>
                      <w:szCs w:val="21"/>
                    </w:rPr>
                  </w:pPr>
                </w:p>
              </w:tc>
              <w:tc>
                <w:tcPr>
                  <w:tcW w:w="1180" w:type="pct"/>
                  <w:shd w:val="clear" w:color="auto" w:fill="auto"/>
                  <w:vAlign w:val="center"/>
                </w:tcPr>
                <w:p w14:paraId="3058AD19">
                  <w:pPr>
                    <w:pStyle w:val="7"/>
                    <w:bidi w:val="0"/>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碳氢</w:t>
                  </w:r>
                  <w:r>
                    <w:rPr>
                      <w:rFonts w:hint="default" w:ascii="Times New Roman" w:hAnsi="Times New Roman" w:eastAsia="宋体" w:cs="Times New Roman"/>
                      <w:color w:val="auto"/>
                      <w:sz w:val="21"/>
                      <w:szCs w:val="21"/>
                      <w:lang w:val="en-US" w:eastAsia="zh-CN"/>
                    </w:rPr>
                    <w:t>清洗剂</w:t>
                  </w:r>
                </w:p>
              </w:tc>
              <w:tc>
                <w:tcPr>
                  <w:tcW w:w="1858" w:type="pct"/>
                  <w:shd w:val="clear" w:color="auto" w:fill="auto"/>
                  <w:vAlign w:val="center"/>
                </w:tcPr>
                <w:p w14:paraId="74566996">
                  <w:pPr>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09" w:type="pct"/>
                  <w:shd w:val="clear" w:color="auto" w:fill="auto"/>
                  <w:vAlign w:val="center"/>
                </w:tcPr>
                <w:p w14:paraId="53043135">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易燃</w:t>
                  </w:r>
                </w:p>
              </w:tc>
            </w:tr>
            <w:tr w14:paraId="5C17704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68" w:hRule="atLeast"/>
              </w:trPr>
              <w:tc>
                <w:tcPr>
                  <w:tcW w:w="751" w:type="pct"/>
                  <w:vMerge w:val="continue"/>
                  <w:vAlign w:val="center"/>
                </w:tcPr>
                <w:p w14:paraId="36C92111">
                  <w:pPr>
                    <w:jc w:val="center"/>
                    <w:rPr>
                      <w:rFonts w:hint="default" w:ascii="Times New Roman" w:hAnsi="Times New Roman" w:eastAsia="宋体" w:cs="Times New Roman"/>
                      <w:bCs/>
                      <w:color w:val="auto"/>
                      <w:sz w:val="21"/>
                      <w:szCs w:val="21"/>
                    </w:rPr>
                  </w:pPr>
                </w:p>
              </w:tc>
              <w:tc>
                <w:tcPr>
                  <w:tcW w:w="1180" w:type="pct"/>
                  <w:shd w:val="clear" w:color="auto" w:fill="auto"/>
                  <w:vAlign w:val="center"/>
                </w:tcPr>
                <w:p w14:paraId="7726EE6F">
                  <w:pPr>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kern w:val="0"/>
                      <w:sz w:val="21"/>
                      <w:szCs w:val="21"/>
                      <w:lang w:eastAsia="zh-CN" w:bidi="ar"/>
                    </w:rPr>
                    <w:t>淬火油</w:t>
                  </w:r>
                </w:p>
              </w:tc>
              <w:tc>
                <w:tcPr>
                  <w:tcW w:w="1858" w:type="pct"/>
                  <w:shd w:val="clear" w:color="auto" w:fill="auto"/>
                  <w:vAlign w:val="center"/>
                </w:tcPr>
                <w:p w14:paraId="3391783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1209" w:type="pct"/>
                  <w:shd w:val="clear" w:color="auto" w:fill="auto"/>
                  <w:vAlign w:val="center"/>
                </w:tcPr>
                <w:p w14:paraId="47E8B984">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易燃</w:t>
                  </w:r>
                </w:p>
              </w:tc>
            </w:tr>
            <w:tr w14:paraId="4A17A9C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751" w:type="pct"/>
                  <w:vAlign w:val="center"/>
                </w:tcPr>
                <w:p w14:paraId="0A984039">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危险废物</w:t>
                  </w:r>
                </w:p>
              </w:tc>
              <w:tc>
                <w:tcPr>
                  <w:tcW w:w="1180" w:type="pct"/>
                  <w:vAlign w:val="center"/>
                </w:tcPr>
                <w:p w14:paraId="4574B26E">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废淬火油、废防锈油等</w:t>
                  </w:r>
                </w:p>
              </w:tc>
              <w:tc>
                <w:tcPr>
                  <w:tcW w:w="1858" w:type="pct"/>
                  <w:vAlign w:val="center"/>
                </w:tcPr>
                <w:p w14:paraId="2B647A68">
                  <w:p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209" w:type="pct"/>
                  <w:shd w:val="clear" w:color="auto" w:fill="auto"/>
                  <w:vAlign w:val="center"/>
                </w:tcPr>
                <w:p w14:paraId="0CEBA4B1">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易燃</w:t>
                  </w:r>
                </w:p>
              </w:tc>
            </w:tr>
          </w:tbl>
          <w:p w14:paraId="7614FA96">
            <w:pPr>
              <w:spacing w:before="156" w:beforeLines="50"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2、危险物质数量与临界量比值</w:t>
            </w:r>
          </w:p>
          <w:p w14:paraId="19AA19C9">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参照《建设项目环境风险评价技术导则》（HJ169-2018）附录C，计算所涉及的每种危险物质在厂界内的最大存在总量与其在附录B中对应临界量的比值Q。</w:t>
            </w:r>
          </w:p>
          <w:p w14:paraId="68E7F85A">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当存在多种危险物质时，使用以下公式计算物质总量与临界量的比值Q：</w:t>
            </w:r>
          </w:p>
          <w:p w14:paraId="3A637A20">
            <w:pPr>
              <w:spacing w:line="360" w:lineRule="auto"/>
              <w:jc w:val="center"/>
              <w:rPr>
                <w:rFonts w:hint="default" w:ascii="Times New Roman" w:hAnsi="Times New Roman" w:eastAsia="宋体" w:cs="Times New Roman"/>
                <w:color w:val="auto"/>
                <w:sz w:val="24"/>
              </w:rPr>
            </w:pPr>
            <w:r>
              <w:rPr>
                <w:rFonts w:hint="default" w:ascii="Times New Roman" w:hAnsi="Times New Roman" w:cs="Times New Roman"/>
                <w:color w:val="auto"/>
              </w:rPr>
              <w:drawing>
                <wp:inline distT="0" distB="0" distL="0" distR="0">
                  <wp:extent cx="1657350" cy="428625"/>
                  <wp:effectExtent l="19050" t="0" r="0" b="0"/>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noChangeArrowheads="1"/>
                          </pic:cNvPicPr>
                        </pic:nvPicPr>
                        <pic:blipFill>
                          <a:blip r:embed="rId27"/>
                          <a:srcRect/>
                          <a:stretch>
                            <a:fillRect/>
                          </a:stretch>
                        </pic:blipFill>
                        <pic:spPr>
                          <a:xfrm>
                            <a:off x="0" y="0"/>
                            <a:ext cx="1657350" cy="428625"/>
                          </a:xfrm>
                          <a:prstGeom prst="rect">
                            <a:avLst/>
                          </a:prstGeom>
                          <a:noFill/>
                          <a:ln w="9525" cmpd="sng">
                            <a:noFill/>
                            <a:miter lim="800000"/>
                            <a:headEnd/>
                            <a:tailEnd/>
                          </a:ln>
                        </pic:spPr>
                      </pic:pic>
                    </a:graphicData>
                  </a:graphic>
                </wp:inline>
              </w:drawing>
            </w:r>
          </w:p>
          <w:p w14:paraId="5F867AFD">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式中：</w:t>
            </w:r>
          </w:p>
          <w:p w14:paraId="2693BE45">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1</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n</w:t>
            </w:r>
            <w:r>
              <w:rPr>
                <w:rFonts w:hint="default" w:ascii="Times New Roman" w:hAnsi="Times New Roman" w:eastAsia="宋体" w:cs="Times New Roman"/>
                <w:bCs/>
                <w:color w:val="auto"/>
                <w:sz w:val="24"/>
              </w:rPr>
              <w:t>——每种危险物质的最大存在总量，t；</w:t>
            </w:r>
          </w:p>
          <w:p w14:paraId="581F8A31">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1</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2</w:t>
            </w:r>
            <w:r>
              <w:rPr>
                <w:rFonts w:hint="default" w:ascii="Times New Roman" w:hAnsi="Times New Roman" w:eastAsia="宋体" w:cs="Times New Roman"/>
                <w:bCs/>
                <w:color w:val="auto"/>
                <w:sz w:val="24"/>
              </w:rPr>
              <w:t>，...，Q</w:t>
            </w:r>
            <w:r>
              <w:rPr>
                <w:rFonts w:hint="default" w:ascii="Times New Roman" w:hAnsi="Times New Roman" w:eastAsia="宋体" w:cs="Times New Roman"/>
                <w:bCs/>
                <w:color w:val="auto"/>
                <w:sz w:val="24"/>
                <w:vertAlign w:val="subscript"/>
              </w:rPr>
              <w:t>n</w:t>
            </w:r>
            <w:r>
              <w:rPr>
                <w:rFonts w:hint="default" w:ascii="Times New Roman" w:hAnsi="Times New Roman" w:eastAsia="宋体" w:cs="Times New Roman"/>
                <w:bCs/>
                <w:color w:val="auto"/>
                <w:sz w:val="24"/>
              </w:rPr>
              <w:t>——每种危险物质的临界量，t。</w:t>
            </w:r>
          </w:p>
          <w:p w14:paraId="58ADDA22">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当Q＜1时，该项目环境风险潜势为Ⅰ。</w:t>
            </w:r>
          </w:p>
          <w:p w14:paraId="6554E338">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当Q≥1时，将Q值划分为：（1）1≤Q＜10；（2）10≤Q＜100；（3）Q≥100。</w:t>
            </w:r>
          </w:p>
          <w:p w14:paraId="4EA0B1B3">
            <w:pPr>
              <w:spacing w:line="360" w:lineRule="auto"/>
              <w:ind w:firstLine="480" w:firstLineChars="200"/>
              <w:rPr>
                <w:rFonts w:hint="default" w:ascii="Times New Roman" w:hAnsi="Times New Roman" w:eastAsia="宋体" w:cs="Times New Roman"/>
                <w:bCs/>
                <w:color w:val="auto"/>
                <w:sz w:val="24"/>
              </w:rPr>
            </w:pPr>
            <w:r>
              <w:rPr>
                <w:rFonts w:hint="default" w:ascii="Times New Roman" w:hAnsi="Times New Roman" w:eastAsia="宋体" w:cs="Times New Roman"/>
                <w:bCs/>
                <w:color w:val="auto"/>
                <w:sz w:val="24"/>
              </w:rPr>
              <w:t>本项目Q值计算结果见下表。</w:t>
            </w:r>
          </w:p>
          <w:p w14:paraId="165C142A">
            <w:pPr>
              <w:jc w:val="center"/>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rPr>
              <w:t>表4</w:t>
            </w:r>
            <w:r>
              <w:rPr>
                <w:rFonts w:hint="eastAsia" w:ascii="Times New Roman" w:hAnsi="Times New Roman" w:eastAsia="宋体" w:cs="Times New Roman"/>
                <w:b/>
                <w:bCs/>
                <w:color w:val="auto"/>
                <w:sz w:val="24"/>
                <w:lang w:val="en-US" w:eastAsia="zh-CN"/>
              </w:rPr>
              <w:t>-28</w:t>
            </w:r>
            <w:r>
              <w:rPr>
                <w:rFonts w:hint="default" w:ascii="Times New Roman" w:hAnsi="Times New Roman" w:eastAsia="宋体" w:cs="Times New Roman"/>
                <w:b/>
                <w:bCs/>
                <w:color w:val="auto"/>
                <w:sz w:val="24"/>
              </w:rPr>
              <w:t xml:space="preserve">  危险物质数量与临界量比值结果表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670"/>
              <w:gridCol w:w="1543"/>
              <w:gridCol w:w="1416"/>
              <w:gridCol w:w="2702"/>
              <w:gridCol w:w="1017"/>
            </w:tblGrid>
            <w:tr w14:paraId="6FDF990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vAlign w:val="center"/>
                </w:tcPr>
                <w:p w14:paraId="1E68AD7B">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危险物质名称</w:t>
                  </w:r>
                </w:p>
              </w:tc>
              <w:tc>
                <w:tcPr>
                  <w:tcW w:w="924" w:type="pct"/>
                  <w:vAlign w:val="center"/>
                </w:tcPr>
                <w:p w14:paraId="57ECFDB8">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最大储存量 t</w:t>
                  </w:r>
                </w:p>
              </w:tc>
              <w:tc>
                <w:tcPr>
                  <w:tcW w:w="848" w:type="pct"/>
                  <w:vAlign w:val="center"/>
                </w:tcPr>
                <w:p w14:paraId="216766A9">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
                      <w:bCs/>
                      <w:color w:val="auto"/>
                      <w:sz w:val="21"/>
                      <w:szCs w:val="21"/>
                    </w:rPr>
                    <w:t>临界量 t</w:t>
                  </w:r>
                </w:p>
              </w:tc>
              <w:tc>
                <w:tcPr>
                  <w:tcW w:w="1618" w:type="pct"/>
                  <w:vAlign w:val="center"/>
                </w:tcPr>
                <w:p w14:paraId="4A2A920A">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
                      <w:bCs/>
                      <w:color w:val="auto"/>
                      <w:sz w:val="21"/>
                      <w:szCs w:val="21"/>
                    </w:rPr>
                    <w:t>临界量依据</w:t>
                  </w:r>
                </w:p>
              </w:tc>
              <w:tc>
                <w:tcPr>
                  <w:tcW w:w="609" w:type="pct"/>
                  <w:vAlign w:val="center"/>
                </w:tcPr>
                <w:p w14:paraId="3B99AB4C">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
                      <w:bCs/>
                      <w:color w:val="auto"/>
                      <w:sz w:val="21"/>
                      <w:szCs w:val="21"/>
                    </w:rPr>
                    <w:t>q/Q</w:t>
                  </w:r>
                </w:p>
              </w:tc>
            </w:tr>
            <w:tr w14:paraId="518DE8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shd w:val="clear" w:color="auto" w:fill="auto"/>
                  <w:vAlign w:val="center"/>
                </w:tcPr>
                <w:p w14:paraId="1CE691B1">
                  <w:pPr>
                    <w:pStyle w:val="7"/>
                    <w:bidi w:val="0"/>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防锈油</w:t>
                  </w:r>
                </w:p>
              </w:tc>
              <w:tc>
                <w:tcPr>
                  <w:tcW w:w="924" w:type="pct"/>
                  <w:vAlign w:val="center"/>
                </w:tcPr>
                <w:p w14:paraId="0BED7E72">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w:t>
                  </w:r>
                </w:p>
              </w:tc>
              <w:tc>
                <w:tcPr>
                  <w:tcW w:w="848" w:type="pct"/>
                  <w:vAlign w:val="center"/>
                </w:tcPr>
                <w:p w14:paraId="3EB225F8">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2500</w:t>
                  </w:r>
                </w:p>
              </w:tc>
              <w:tc>
                <w:tcPr>
                  <w:tcW w:w="1618" w:type="pct"/>
                  <w:vAlign w:val="center"/>
                </w:tcPr>
                <w:p w14:paraId="56F3CB33">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附录B.1油类物质</w:t>
                  </w:r>
                </w:p>
              </w:tc>
              <w:tc>
                <w:tcPr>
                  <w:tcW w:w="1017" w:type="dxa"/>
                  <w:tcBorders>
                    <w:top w:val="nil"/>
                    <w:left w:val="nil"/>
                    <w:bottom w:val="single" w:color="auto" w:sz="8" w:space="0"/>
                    <w:right w:val="nil"/>
                  </w:tcBorders>
                  <w:shd w:val="clear" w:color="auto" w:fill="auto"/>
                  <w:vAlign w:val="center"/>
                </w:tcPr>
                <w:p w14:paraId="264DDF62">
                  <w:pPr>
                    <w:keepNext w:val="0"/>
                    <w:keepLines w:val="0"/>
                    <w:widowControl/>
                    <w:suppressLineNumbers w:val="0"/>
                    <w:jc w:val="center"/>
                    <w:textAlignment w:val="center"/>
                    <w:rPr>
                      <w:rFonts w:hint="default" w:ascii="Times New Roman" w:hAnsi="Times New Roman" w:eastAsia="等线"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0.0000</w:t>
                  </w:r>
                  <w:r>
                    <w:rPr>
                      <w:rFonts w:hint="eastAsia" w:ascii="Times New Roman" w:hAnsi="Times New Roman" w:eastAsia="宋体" w:cs="Times New Roman"/>
                      <w:i w:val="0"/>
                      <w:iCs w:val="0"/>
                      <w:color w:val="auto"/>
                      <w:kern w:val="0"/>
                      <w:sz w:val="21"/>
                      <w:szCs w:val="21"/>
                      <w:u w:val="none"/>
                      <w:lang w:val="en-US" w:eastAsia="zh-CN" w:bidi="ar"/>
                    </w:rPr>
                    <w:t>4</w:t>
                  </w:r>
                </w:p>
              </w:tc>
            </w:tr>
            <w:tr w14:paraId="4B04A7F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shd w:val="clear" w:color="auto" w:fill="auto"/>
                  <w:vAlign w:val="center"/>
                </w:tcPr>
                <w:p w14:paraId="63B9151F">
                  <w:pPr>
                    <w:pStyle w:val="7"/>
                    <w:bidi w:val="0"/>
                    <w:ind w:left="0" w:leftChars="0" w:firstLine="0" w:firstLine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纯氢</w:t>
                  </w:r>
                </w:p>
              </w:tc>
              <w:tc>
                <w:tcPr>
                  <w:tcW w:w="924" w:type="pct"/>
                  <w:vAlign w:val="center"/>
                </w:tcPr>
                <w:p w14:paraId="06A3B3E4">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0.004</w:t>
                  </w:r>
                </w:p>
              </w:tc>
              <w:tc>
                <w:tcPr>
                  <w:tcW w:w="848" w:type="pct"/>
                  <w:vAlign w:val="center"/>
                </w:tcPr>
                <w:p w14:paraId="40372597">
                  <w:pPr>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w:t>
                  </w:r>
                </w:p>
              </w:tc>
              <w:tc>
                <w:tcPr>
                  <w:tcW w:w="1618" w:type="pct"/>
                  <w:vAlign w:val="center"/>
                </w:tcPr>
                <w:p w14:paraId="53FA46AE">
                  <w:pPr>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rPr>
                    <w:t>危险化学品重大危险源辨识</w:t>
                  </w:r>
                  <w:r>
                    <w:rPr>
                      <w:rFonts w:hint="eastAsia" w:ascii="Times New Roman" w:hAnsi="Times New Roman" w:eastAsia="宋体" w:cs="Times New Roman"/>
                      <w:bCs/>
                      <w:color w:val="auto"/>
                      <w:sz w:val="21"/>
                      <w:szCs w:val="21"/>
                      <w:lang w:eastAsia="zh-CN"/>
                    </w:rPr>
                    <w:t>》（GB 18218-2018）</w:t>
                  </w:r>
                </w:p>
              </w:tc>
              <w:tc>
                <w:tcPr>
                  <w:tcW w:w="1017" w:type="dxa"/>
                  <w:tcBorders>
                    <w:top w:val="nil"/>
                    <w:left w:val="nil"/>
                    <w:bottom w:val="single" w:color="auto" w:sz="8" w:space="0"/>
                    <w:right w:val="nil"/>
                  </w:tcBorders>
                  <w:shd w:val="clear" w:color="auto" w:fill="auto"/>
                  <w:vAlign w:val="center"/>
                </w:tcPr>
                <w:p w14:paraId="2B5638FB">
                  <w:pPr>
                    <w:keepNext w:val="0"/>
                    <w:keepLines w:val="0"/>
                    <w:widowControl/>
                    <w:suppressLineNumbers w:val="0"/>
                    <w:jc w:val="center"/>
                    <w:textAlignment w:val="center"/>
                    <w:rPr>
                      <w:rFonts w:hint="default" w:ascii="Times New Roman" w:hAnsi="Times New Roman" w:eastAsia="等线"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0.0008</w:t>
                  </w:r>
                </w:p>
              </w:tc>
            </w:tr>
            <w:tr w14:paraId="219D1AB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shd w:val="clear" w:color="auto" w:fill="auto"/>
                  <w:vAlign w:val="center"/>
                </w:tcPr>
                <w:p w14:paraId="6B947955">
                  <w:pPr>
                    <w:pStyle w:val="7"/>
                    <w:bidi w:val="0"/>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碳氢</w:t>
                  </w:r>
                  <w:r>
                    <w:rPr>
                      <w:rFonts w:hint="default" w:ascii="Times New Roman" w:hAnsi="Times New Roman" w:eastAsia="宋体" w:cs="Times New Roman"/>
                      <w:color w:val="auto"/>
                      <w:sz w:val="21"/>
                      <w:szCs w:val="21"/>
                      <w:lang w:val="en-US" w:eastAsia="zh-CN"/>
                    </w:rPr>
                    <w:t>清洗剂</w:t>
                  </w:r>
                </w:p>
              </w:tc>
              <w:tc>
                <w:tcPr>
                  <w:tcW w:w="924" w:type="pct"/>
                  <w:vAlign w:val="center"/>
                </w:tcPr>
                <w:p w14:paraId="3CBB3D54">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0.5</w:t>
                  </w:r>
                </w:p>
              </w:tc>
              <w:tc>
                <w:tcPr>
                  <w:tcW w:w="848" w:type="pct"/>
                  <w:vAlign w:val="center"/>
                </w:tcPr>
                <w:p w14:paraId="46B52D2A">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50</w:t>
                  </w:r>
                </w:p>
              </w:tc>
              <w:tc>
                <w:tcPr>
                  <w:tcW w:w="1618" w:type="pct"/>
                  <w:vAlign w:val="center"/>
                </w:tcPr>
                <w:p w14:paraId="01EEEBCD">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rPr>
                    <w:t>附录B.2健康危险急性毒性物质（类别2，类别3）</w:t>
                  </w:r>
                </w:p>
              </w:tc>
              <w:tc>
                <w:tcPr>
                  <w:tcW w:w="1017" w:type="dxa"/>
                  <w:tcBorders>
                    <w:top w:val="nil"/>
                    <w:left w:val="nil"/>
                    <w:bottom w:val="single" w:color="auto" w:sz="8" w:space="0"/>
                    <w:right w:val="nil"/>
                  </w:tcBorders>
                  <w:shd w:val="clear" w:color="auto" w:fill="auto"/>
                  <w:vAlign w:val="center"/>
                </w:tcPr>
                <w:p w14:paraId="4961B2E1">
                  <w:pPr>
                    <w:keepNext w:val="0"/>
                    <w:keepLines w:val="0"/>
                    <w:widowControl/>
                    <w:suppressLineNumbers w:val="0"/>
                    <w:jc w:val="center"/>
                    <w:textAlignment w:val="center"/>
                    <w:rPr>
                      <w:rFonts w:hint="default" w:ascii="Times New Roman" w:hAnsi="Times New Roman" w:eastAsia="等线"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0.01</w:t>
                  </w:r>
                </w:p>
              </w:tc>
            </w:tr>
            <w:tr w14:paraId="3B71D0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shd w:val="clear" w:color="auto" w:fill="auto"/>
                  <w:vAlign w:val="center"/>
                </w:tcPr>
                <w:p w14:paraId="30E49544">
                  <w:pPr>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kern w:val="0"/>
                      <w:sz w:val="21"/>
                      <w:szCs w:val="21"/>
                      <w:lang w:eastAsia="zh-CN" w:bidi="ar"/>
                    </w:rPr>
                    <w:t>淬火油</w:t>
                  </w:r>
                </w:p>
              </w:tc>
              <w:tc>
                <w:tcPr>
                  <w:tcW w:w="924" w:type="pct"/>
                  <w:vAlign w:val="center"/>
                </w:tcPr>
                <w:p w14:paraId="405602A2">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848" w:type="pct"/>
                  <w:vAlign w:val="center"/>
                </w:tcPr>
                <w:p w14:paraId="5740C9DE">
                  <w:pPr>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kern w:val="2"/>
                      <w:sz w:val="21"/>
                      <w:szCs w:val="21"/>
                      <w:lang w:val="en-US" w:eastAsia="zh-CN" w:bidi="ar-SA"/>
                    </w:rPr>
                    <w:t>2500</w:t>
                  </w:r>
                </w:p>
              </w:tc>
              <w:tc>
                <w:tcPr>
                  <w:tcW w:w="1618" w:type="pct"/>
                  <w:vAlign w:val="center"/>
                </w:tcPr>
                <w:p w14:paraId="784E0A12">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附录B.1油类物质</w:t>
                  </w:r>
                </w:p>
              </w:tc>
              <w:tc>
                <w:tcPr>
                  <w:tcW w:w="1017" w:type="dxa"/>
                  <w:tcBorders>
                    <w:top w:val="nil"/>
                    <w:left w:val="nil"/>
                    <w:bottom w:val="single" w:color="auto" w:sz="8" w:space="0"/>
                    <w:right w:val="nil"/>
                  </w:tcBorders>
                  <w:shd w:val="clear" w:color="auto" w:fill="auto"/>
                  <w:vAlign w:val="center"/>
                </w:tcPr>
                <w:p w14:paraId="4F933C11">
                  <w:pPr>
                    <w:keepNext w:val="0"/>
                    <w:keepLines w:val="0"/>
                    <w:widowControl/>
                    <w:suppressLineNumbers w:val="0"/>
                    <w:jc w:val="center"/>
                    <w:textAlignment w:val="center"/>
                    <w:rPr>
                      <w:rFonts w:hint="default" w:ascii="Times New Roman" w:hAnsi="Times New Roman" w:eastAsia="等线"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0.000</w:t>
                  </w:r>
                  <w:r>
                    <w:rPr>
                      <w:rFonts w:hint="eastAsia" w:ascii="Times New Roman" w:hAnsi="Times New Roman" w:eastAsia="宋体" w:cs="Times New Roman"/>
                      <w:i w:val="0"/>
                      <w:iCs w:val="0"/>
                      <w:color w:val="auto"/>
                      <w:kern w:val="0"/>
                      <w:sz w:val="21"/>
                      <w:szCs w:val="21"/>
                      <w:u w:val="none"/>
                      <w:lang w:val="en-US" w:eastAsia="zh-CN" w:bidi="ar"/>
                    </w:rPr>
                    <w:t>4</w:t>
                  </w:r>
                </w:p>
              </w:tc>
            </w:tr>
            <w:tr w14:paraId="5855DCF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1000" w:type="pct"/>
                  <w:shd w:val="clear" w:color="auto" w:fill="auto"/>
                  <w:vAlign w:val="center"/>
                </w:tcPr>
                <w:p w14:paraId="6C7D61F8">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废淬火油、废防锈油等</w:t>
                  </w:r>
                </w:p>
              </w:tc>
              <w:tc>
                <w:tcPr>
                  <w:tcW w:w="924" w:type="pct"/>
                  <w:vAlign w:val="center"/>
                </w:tcPr>
                <w:p w14:paraId="7BE33505">
                  <w:pPr>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color w:val="auto"/>
                      <w:sz w:val="21"/>
                      <w:szCs w:val="21"/>
                      <w:lang w:val="en-US" w:eastAsia="zh-CN"/>
                    </w:rPr>
                    <w:t>4.023</w:t>
                  </w:r>
                </w:p>
              </w:tc>
              <w:tc>
                <w:tcPr>
                  <w:tcW w:w="848" w:type="pct"/>
                  <w:shd w:val="clear" w:color="auto" w:fill="auto"/>
                  <w:vAlign w:val="center"/>
                </w:tcPr>
                <w:p w14:paraId="7F9CA11A">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50</w:t>
                  </w:r>
                </w:p>
              </w:tc>
              <w:tc>
                <w:tcPr>
                  <w:tcW w:w="1618" w:type="pct"/>
                  <w:shd w:val="clear" w:color="auto" w:fill="auto"/>
                  <w:vAlign w:val="center"/>
                </w:tcPr>
                <w:p w14:paraId="5A806FE2">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附录B.2健康危险急性毒性物质（类别2，类别3）</w:t>
                  </w:r>
                </w:p>
              </w:tc>
              <w:tc>
                <w:tcPr>
                  <w:tcW w:w="1017" w:type="dxa"/>
                  <w:tcBorders>
                    <w:top w:val="nil"/>
                    <w:left w:val="nil"/>
                    <w:bottom w:val="single" w:color="auto" w:sz="8" w:space="0"/>
                    <w:right w:val="nil"/>
                  </w:tcBorders>
                  <w:shd w:val="clear" w:color="auto" w:fill="auto"/>
                  <w:vAlign w:val="center"/>
                </w:tcPr>
                <w:p w14:paraId="1C4B2157">
                  <w:pPr>
                    <w:keepNext w:val="0"/>
                    <w:keepLines w:val="0"/>
                    <w:widowControl/>
                    <w:suppressLineNumbers w:val="0"/>
                    <w:jc w:val="center"/>
                    <w:textAlignment w:val="center"/>
                    <w:rPr>
                      <w:rFonts w:hint="default" w:ascii="Times New Roman" w:hAnsi="Times New Roman" w:eastAsia="等线"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8046</w:t>
                  </w:r>
                </w:p>
              </w:tc>
            </w:tr>
            <w:tr w14:paraId="66BE59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390" w:type="pct"/>
                  <w:gridSpan w:val="4"/>
                  <w:vAlign w:val="center"/>
                </w:tcPr>
                <w:p w14:paraId="3C43B392">
                  <w:pPr>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合计</w:t>
                  </w:r>
                </w:p>
              </w:tc>
              <w:tc>
                <w:tcPr>
                  <w:tcW w:w="1017" w:type="dxa"/>
                  <w:shd w:val="clear" w:color="auto" w:fill="auto"/>
                  <w:vAlign w:val="center"/>
                </w:tcPr>
                <w:p w14:paraId="54D221E6">
                  <w:pPr>
                    <w:keepNext w:val="0"/>
                    <w:keepLines w:val="0"/>
                    <w:widowControl/>
                    <w:suppressLineNumbers w:val="0"/>
                    <w:jc w:val="center"/>
                    <w:textAlignment w:val="center"/>
                    <w:rPr>
                      <w:rFonts w:hint="default" w:ascii="Times New Roman" w:hAnsi="Times New Roman" w:eastAsia="宋体" w:cs="Times New Roman"/>
                      <w:bCs/>
                      <w:color w:val="auto"/>
                      <w:sz w:val="21"/>
                      <w:szCs w:val="21"/>
                      <w:lang w:val="en-US"/>
                    </w:rPr>
                  </w:pPr>
                  <w:r>
                    <w:rPr>
                      <w:rFonts w:hint="default" w:ascii="Times New Roman" w:hAnsi="Times New Roman" w:eastAsia="宋体" w:cs="Times New Roman"/>
                      <w:i w:val="0"/>
                      <w:iCs w:val="0"/>
                      <w:color w:val="auto"/>
                      <w:kern w:val="0"/>
                      <w:sz w:val="21"/>
                      <w:szCs w:val="21"/>
                      <w:u w:val="none"/>
                      <w:lang w:val="en-US" w:eastAsia="zh-CN" w:bidi="ar"/>
                    </w:rPr>
                    <w:t>0.0</w:t>
                  </w:r>
                  <w:r>
                    <w:rPr>
                      <w:rFonts w:hint="eastAsia" w:ascii="Times New Roman" w:hAnsi="Times New Roman" w:eastAsia="宋体" w:cs="Times New Roman"/>
                      <w:i w:val="0"/>
                      <w:iCs w:val="0"/>
                      <w:color w:val="auto"/>
                      <w:kern w:val="0"/>
                      <w:sz w:val="21"/>
                      <w:szCs w:val="21"/>
                      <w:u w:val="none"/>
                      <w:lang w:val="en-US" w:eastAsia="zh-CN" w:bidi="ar"/>
                    </w:rPr>
                    <w:t>917</w:t>
                  </w:r>
                </w:p>
              </w:tc>
            </w:tr>
          </w:tbl>
          <w:p w14:paraId="311B9796">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由上表可知，本项目Q=</w:t>
            </w:r>
            <w:r>
              <w:rPr>
                <w:rFonts w:hint="default" w:ascii="Times New Roman" w:hAnsi="Times New Roman" w:eastAsia="宋体" w:cs="Times New Roman"/>
                <w:color w:val="auto"/>
                <w:sz w:val="24"/>
                <w:lang w:val="en-US" w:eastAsia="zh-CN"/>
              </w:rPr>
              <w:t>0.0</w:t>
            </w:r>
            <w:r>
              <w:rPr>
                <w:rFonts w:hint="eastAsia" w:ascii="Times New Roman" w:hAnsi="Times New Roman" w:eastAsia="宋体" w:cs="Times New Roman"/>
                <w:color w:val="auto"/>
                <w:sz w:val="24"/>
                <w:lang w:val="en-US" w:eastAsia="zh-CN"/>
              </w:rPr>
              <w:t>917</w:t>
            </w:r>
            <w:r>
              <w:rPr>
                <w:rFonts w:hint="default" w:ascii="Times New Roman" w:hAnsi="Times New Roman" w:eastAsia="宋体" w:cs="Times New Roman"/>
                <w:color w:val="auto"/>
                <w:sz w:val="24"/>
              </w:rPr>
              <w:t>＜1，故不设置风险专项。</w:t>
            </w:r>
          </w:p>
          <w:p w14:paraId="0FB0C233">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3、风险源分布情况分析</w:t>
            </w:r>
          </w:p>
          <w:p w14:paraId="062D43E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本项目风险源识别结果见下表。</w:t>
            </w:r>
          </w:p>
          <w:p w14:paraId="51096D73">
            <w:pPr>
              <w:jc w:val="center"/>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表4</w:t>
            </w:r>
            <w:r>
              <w:rPr>
                <w:rFonts w:hint="eastAsia" w:ascii="Times New Roman" w:hAnsi="Times New Roman" w:eastAsia="宋体" w:cs="Times New Roman"/>
                <w:b/>
                <w:color w:val="auto"/>
                <w:sz w:val="24"/>
                <w:lang w:val="en-US" w:eastAsia="zh-CN"/>
              </w:rPr>
              <w:t>-29</w:t>
            </w:r>
            <w:r>
              <w:rPr>
                <w:rFonts w:hint="default" w:ascii="Times New Roman" w:hAnsi="Times New Roman" w:eastAsia="宋体" w:cs="Times New Roman"/>
                <w:b/>
                <w:color w:val="auto"/>
                <w:sz w:val="24"/>
              </w:rPr>
              <w:t xml:space="preserve">  环境风险源识别结果及影响途径汇总表</w:t>
            </w:r>
          </w:p>
          <w:tbl>
            <w:tblPr>
              <w:tblStyle w:val="28"/>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658"/>
              <w:gridCol w:w="1135"/>
              <w:gridCol w:w="1559"/>
              <w:gridCol w:w="1848"/>
              <w:gridCol w:w="1574"/>
              <w:gridCol w:w="1574"/>
            </w:tblGrid>
            <w:tr w14:paraId="17D58FB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6A22F616">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679" w:type="pct"/>
                  <w:vAlign w:val="center"/>
                </w:tcPr>
                <w:p w14:paraId="3AFD582B">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位置</w:t>
                  </w:r>
                </w:p>
              </w:tc>
              <w:tc>
                <w:tcPr>
                  <w:tcW w:w="933" w:type="pct"/>
                  <w:vAlign w:val="center"/>
                </w:tcPr>
                <w:p w14:paraId="7A941E3D">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风险源</w:t>
                  </w:r>
                </w:p>
              </w:tc>
              <w:tc>
                <w:tcPr>
                  <w:tcW w:w="1106" w:type="pct"/>
                  <w:vAlign w:val="center"/>
                </w:tcPr>
                <w:p w14:paraId="3ACBFA6B">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主要危险物质</w:t>
                  </w:r>
                </w:p>
              </w:tc>
              <w:tc>
                <w:tcPr>
                  <w:tcW w:w="942" w:type="pct"/>
                  <w:vAlign w:val="center"/>
                </w:tcPr>
                <w:p w14:paraId="7D5C1780">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环境风险类型</w:t>
                  </w:r>
                </w:p>
              </w:tc>
              <w:tc>
                <w:tcPr>
                  <w:tcW w:w="942" w:type="pct"/>
                  <w:vAlign w:val="center"/>
                </w:tcPr>
                <w:p w14:paraId="586B588C">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环境影响途径</w:t>
                  </w:r>
                </w:p>
              </w:tc>
            </w:tr>
            <w:tr w14:paraId="365DCD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21DBBC6D">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1</w:t>
                  </w:r>
                </w:p>
              </w:tc>
              <w:tc>
                <w:tcPr>
                  <w:tcW w:w="679" w:type="pct"/>
                  <w:vAlign w:val="center"/>
                </w:tcPr>
                <w:p w14:paraId="71B81C26">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生产车间</w:t>
                  </w:r>
                </w:p>
              </w:tc>
              <w:tc>
                <w:tcPr>
                  <w:tcW w:w="933" w:type="pct"/>
                  <w:vAlign w:val="center"/>
                </w:tcPr>
                <w:p w14:paraId="402BCA77">
                  <w:pPr>
                    <w:jc w:val="center"/>
                    <w:rPr>
                      <w:rFonts w:hint="default" w:ascii="Times New Roman" w:hAnsi="Times New Roman" w:eastAsia="宋体" w:cs="Times New Roman"/>
                      <w:bCs/>
                      <w:color w:val="auto"/>
                      <w:szCs w:val="21"/>
                      <w:lang w:val="en-US" w:eastAsia="zh-CN"/>
                    </w:rPr>
                  </w:pPr>
                  <w:r>
                    <w:rPr>
                      <w:rFonts w:hint="eastAsia" w:ascii="Times New Roman" w:hAnsi="Times New Roman" w:eastAsia="宋体" w:cs="Times New Roman"/>
                      <w:bCs/>
                      <w:color w:val="auto"/>
                      <w:szCs w:val="21"/>
                      <w:lang w:val="en-US" w:eastAsia="zh-CN"/>
                    </w:rPr>
                    <w:t>纯氢储罐、原料仓库</w:t>
                  </w:r>
                </w:p>
              </w:tc>
              <w:tc>
                <w:tcPr>
                  <w:tcW w:w="1106" w:type="pct"/>
                  <w:vAlign w:val="center"/>
                </w:tcPr>
                <w:p w14:paraId="6CBB6C5E">
                  <w:pPr>
                    <w:jc w:val="center"/>
                    <w:rPr>
                      <w:rFonts w:hint="default" w:ascii="Times New Roman" w:hAnsi="Times New Roman" w:eastAsia="宋体" w:cs="Times New Roman"/>
                      <w:bCs/>
                      <w:color w:val="auto"/>
                      <w:szCs w:val="21"/>
                      <w:lang w:val="en-US"/>
                    </w:rPr>
                  </w:pPr>
                  <w:r>
                    <w:rPr>
                      <w:rFonts w:hint="default" w:ascii="Times New Roman" w:hAnsi="Times New Roman" w:eastAsia="宋体" w:cs="Times New Roman"/>
                      <w:bCs/>
                      <w:color w:val="auto"/>
                      <w:szCs w:val="21"/>
                      <w:lang w:val="en-US" w:eastAsia="zh-CN"/>
                    </w:rPr>
                    <w:t>防锈油、纯氢、碳氢清洗剂等</w:t>
                  </w:r>
                </w:p>
              </w:tc>
              <w:tc>
                <w:tcPr>
                  <w:tcW w:w="942" w:type="pct"/>
                  <w:vAlign w:val="center"/>
                </w:tcPr>
                <w:p w14:paraId="350C8FE4">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泄漏、火灾、爆炸、中毒</w:t>
                  </w:r>
                </w:p>
              </w:tc>
              <w:tc>
                <w:tcPr>
                  <w:tcW w:w="942" w:type="pct"/>
                  <w:vAlign w:val="center"/>
                </w:tcPr>
                <w:p w14:paraId="2D541E13">
                  <w:pPr>
                    <w:jc w:val="center"/>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大气、地表水、地下水、土壤</w:t>
                  </w:r>
                </w:p>
              </w:tc>
            </w:tr>
            <w:tr w14:paraId="5946C2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483B0D32">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2</w:t>
                  </w:r>
                </w:p>
              </w:tc>
              <w:tc>
                <w:tcPr>
                  <w:tcW w:w="679" w:type="pct"/>
                  <w:shd w:val="clear" w:color="auto" w:fill="auto"/>
                  <w:vAlign w:val="center"/>
                </w:tcPr>
                <w:p w14:paraId="29DF6947">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lang w:val="en-US" w:eastAsia="zh-CN"/>
                    </w:rPr>
                    <w:t>废气处理装置</w:t>
                  </w:r>
                </w:p>
              </w:tc>
              <w:tc>
                <w:tcPr>
                  <w:tcW w:w="933" w:type="pct"/>
                  <w:shd w:val="clear" w:color="auto" w:fill="auto"/>
                  <w:vAlign w:val="center"/>
                </w:tcPr>
                <w:p w14:paraId="30FAD358">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活性炭吸附装置</w:t>
                  </w:r>
                </w:p>
              </w:tc>
              <w:tc>
                <w:tcPr>
                  <w:tcW w:w="1106" w:type="pct"/>
                  <w:shd w:val="clear" w:color="auto" w:fill="auto"/>
                  <w:vAlign w:val="center"/>
                </w:tcPr>
                <w:p w14:paraId="1A0AF88E">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lang w:val="en-US" w:eastAsia="zh-CN"/>
                    </w:rPr>
                    <w:t>/</w:t>
                  </w:r>
                </w:p>
              </w:tc>
              <w:tc>
                <w:tcPr>
                  <w:tcW w:w="942" w:type="pct"/>
                  <w:shd w:val="clear" w:color="auto" w:fill="auto"/>
                  <w:vAlign w:val="center"/>
                </w:tcPr>
                <w:p w14:paraId="1935B167">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泄漏</w:t>
                  </w:r>
                </w:p>
              </w:tc>
              <w:tc>
                <w:tcPr>
                  <w:tcW w:w="942" w:type="pct"/>
                  <w:shd w:val="clear" w:color="auto" w:fill="auto"/>
                  <w:vAlign w:val="center"/>
                </w:tcPr>
                <w:p w14:paraId="35275A07">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大气</w:t>
                  </w:r>
                </w:p>
              </w:tc>
            </w:tr>
            <w:tr w14:paraId="03B1328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394" w:type="pct"/>
                  <w:vAlign w:val="center"/>
                </w:tcPr>
                <w:p w14:paraId="3919C7F8">
                  <w:pPr>
                    <w:jc w:val="center"/>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bCs/>
                      <w:color w:val="auto"/>
                      <w:szCs w:val="21"/>
                      <w:lang w:val="en-US" w:eastAsia="zh-CN"/>
                    </w:rPr>
                    <w:t>3</w:t>
                  </w:r>
                </w:p>
              </w:tc>
              <w:tc>
                <w:tcPr>
                  <w:tcW w:w="679" w:type="pct"/>
                  <w:shd w:val="clear" w:color="auto" w:fill="auto"/>
                  <w:vAlign w:val="center"/>
                </w:tcPr>
                <w:p w14:paraId="39A52B80">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危废库</w:t>
                  </w:r>
                </w:p>
              </w:tc>
              <w:tc>
                <w:tcPr>
                  <w:tcW w:w="933" w:type="pct"/>
                  <w:shd w:val="clear" w:color="auto" w:fill="auto"/>
                  <w:vAlign w:val="center"/>
                </w:tcPr>
                <w:p w14:paraId="7AB3A95E">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Cs w:val="21"/>
                      <w:lang w:val="en-US" w:eastAsia="zh-CN"/>
                    </w:rPr>
                    <w:t>危险废物</w:t>
                  </w:r>
                </w:p>
              </w:tc>
              <w:tc>
                <w:tcPr>
                  <w:tcW w:w="1106" w:type="pct"/>
                  <w:shd w:val="clear" w:color="auto" w:fill="auto"/>
                  <w:vAlign w:val="center"/>
                </w:tcPr>
                <w:p w14:paraId="17244DBD">
                  <w:pPr>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废淬火油、废防锈油等</w:t>
                  </w:r>
                </w:p>
              </w:tc>
              <w:tc>
                <w:tcPr>
                  <w:tcW w:w="942" w:type="pct"/>
                  <w:shd w:val="clear" w:color="auto" w:fill="auto"/>
                  <w:vAlign w:val="center"/>
                </w:tcPr>
                <w:p w14:paraId="3E674608">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泄漏、火灾、爆炸</w:t>
                  </w:r>
                </w:p>
              </w:tc>
              <w:tc>
                <w:tcPr>
                  <w:tcW w:w="942" w:type="pct"/>
                  <w:shd w:val="clear" w:color="auto" w:fill="auto"/>
                  <w:vAlign w:val="center"/>
                </w:tcPr>
                <w:p w14:paraId="7C192455">
                  <w:pPr>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大气、地表水、地下水、土壤</w:t>
                  </w:r>
                </w:p>
              </w:tc>
            </w:tr>
          </w:tbl>
          <w:p w14:paraId="6DF37248">
            <w:pPr>
              <w:spacing w:line="360" w:lineRule="auto"/>
              <w:ind w:firstLine="482" w:firstLineChars="200"/>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4、风险事故影响途径分析</w:t>
            </w:r>
          </w:p>
          <w:p w14:paraId="3A2742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①火灾</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爆炸</w:t>
            </w:r>
            <w:r>
              <w:rPr>
                <w:rFonts w:hint="default" w:ascii="Times New Roman" w:hAnsi="Times New Roman" w:eastAsia="宋体" w:cs="Times New Roman"/>
                <w:color w:val="auto"/>
                <w:kern w:val="0"/>
                <w:sz w:val="24"/>
                <w:szCs w:val="24"/>
              </w:rPr>
              <w:t>影响</w:t>
            </w:r>
          </w:p>
          <w:p w14:paraId="4C6092D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lang w:val="en-US" w:eastAsia="zh-CN"/>
              </w:rPr>
              <w:t>本项目部分原辅材料是易燃易爆物质，发生火灾爆炸时产生的环境危害主要是震荡作用、冲击波、碎片冲击和造成火灾等影响，不仅会造成财产损失、停产等，而且有可能造成人员伤亡。爆炸起火后将通过热辐射方式影响周围环境，在近距离范围内将对建筑物和人员造成严重伤害。</w:t>
            </w:r>
          </w:p>
          <w:p w14:paraId="30ACDA7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②</w:t>
            </w:r>
            <w:r>
              <w:rPr>
                <w:rFonts w:hint="default" w:ascii="Times New Roman" w:hAnsi="Times New Roman" w:eastAsia="宋体" w:cs="Times New Roman"/>
                <w:color w:val="auto"/>
                <w:kern w:val="0"/>
                <w:sz w:val="24"/>
                <w:szCs w:val="24"/>
                <w:lang w:eastAsia="zh-CN"/>
              </w:rPr>
              <w:t>泄露影响</w:t>
            </w:r>
          </w:p>
          <w:p w14:paraId="09698AF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rPr>
              <w:t>本项目使用</w:t>
            </w:r>
            <w:r>
              <w:rPr>
                <w:rFonts w:hint="default" w:ascii="Times New Roman" w:hAnsi="Times New Roman" w:eastAsia="宋体" w:cs="Times New Roman"/>
                <w:color w:val="auto"/>
                <w:kern w:val="0"/>
                <w:sz w:val="24"/>
                <w:szCs w:val="24"/>
                <w:lang w:val="en-US" w:eastAsia="zh-CN"/>
              </w:rPr>
              <w:t>各类</w:t>
            </w:r>
            <w:r>
              <w:rPr>
                <w:rFonts w:hint="default" w:ascii="Times New Roman" w:hAnsi="Times New Roman" w:eastAsia="宋体" w:cs="Times New Roman"/>
                <w:color w:val="auto"/>
                <w:kern w:val="0"/>
                <w:sz w:val="24"/>
                <w:szCs w:val="24"/>
                <w:lang w:eastAsia="zh-CN"/>
              </w:rPr>
              <w:t>原料</w:t>
            </w:r>
            <w:r>
              <w:rPr>
                <w:rFonts w:hint="default" w:ascii="Times New Roman" w:hAnsi="Times New Roman" w:eastAsia="宋体" w:cs="Times New Roman"/>
                <w:color w:val="auto"/>
                <w:kern w:val="0"/>
                <w:sz w:val="24"/>
                <w:szCs w:val="24"/>
                <w:lang w:val="en-US" w:eastAsia="zh-CN"/>
              </w:rPr>
              <w:t>存放</w:t>
            </w:r>
            <w:r>
              <w:rPr>
                <w:rFonts w:hint="default" w:ascii="Times New Roman" w:hAnsi="Times New Roman" w:eastAsia="宋体" w:cs="Times New Roman"/>
                <w:color w:val="auto"/>
                <w:kern w:val="0"/>
                <w:sz w:val="24"/>
                <w:szCs w:val="24"/>
              </w:rPr>
              <w:t>于</w:t>
            </w:r>
            <w:r>
              <w:rPr>
                <w:rFonts w:hint="default" w:ascii="Times New Roman" w:hAnsi="Times New Roman" w:eastAsia="宋体" w:cs="Times New Roman"/>
                <w:color w:val="auto"/>
                <w:kern w:val="0"/>
                <w:sz w:val="24"/>
                <w:szCs w:val="24"/>
                <w:lang w:eastAsia="zh-CN"/>
              </w:rPr>
              <w:t>生产车间内的原料</w:t>
            </w:r>
            <w:r>
              <w:rPr>
                <w:rFonts w:hint="default" w:ascii="Times New Roman" w:hAnsi="Times New Roman" w:eastAsia="宋体" w:cs="Times New Roman"/>
                <w:color w:val="auto"/>
                <w:kern w:val="0"/>
                <w:sz w:val="24"/>
                <w:szCs w:val="24"/>
                <w:lang w:val="en-US" w:eastAsia="zh-CN"/>
              </w:rPr>
              <w:t>仓库</w:t>
            </w:r>
            <w:r>
              <w:rPr>
                <w:rFonts w:hint="default" w:ascii="Times New Roman" w:hAnsi="Times New Roman" w:eastAsia="宋体" w:cs="Times New Roman"/>
                <w:color w:val="auto"/>
                <w:kern w:val="0"/>
                <w:sz w:val="24"/>
                <w:szCs w:val="24"/>
                <w:lang w:eastAsia="zh-CN"/>
              </w:rPr>
              <w:t>，危废存放于危废仓库</w:t>
            </w:r>
            <w:r>
              <w:rPr>
                <w:rFonts w:hint="default" w:ascii="Times New Roman" w:hAnsi="Times New Roman" w:eastAsia="宋体" w:cs="Times New Roman"/>
                <w:color w:val="auto"/>
                <w:kern w:val="0"/>
                <w:sz w:val="24"/>
                <w:szCs w:val="24"/>
              </w:rPr>
              <w:t>，包装桶破损易导致各类液体原料或危废</w:t>
            </w:r>
            <w:r>
              <w:rPr>
                <w:rFonts w:hint="eastAsia" w:ascii="Times New Roman" w:hAnsi="Times New Roman" w:eastAsia="宋体" w:cs="Times New Roman"/>
                <w:color w:val="auto"/>
                <w:kern w:val="0"/>
                <w:sz w:val="24"/>
                <w:szCs w:val="24"/>
                <w:lang w:val="en-US" w:eastAsia="zh-CN"/>
              </w:rPr>
              <w:t>泄露</w:t>
            </w:r>
            <w:r>
              <w:rPr>
                <w:rFonts w:hint="default" w:ascii="Times New Roman" w:hAnsi="Times New Roman" w:eastAsia="宋体" w:cs="Times New Roman"/>
                <w:color w:val="auto"/>
                <w:kern w:val="0"/>
                <w:sz w:val="24"/>
                <w:szCs w:val="24"/>
              </w:rPr>
              <w:t>，通过地表径流，影响地表水、地下水以及土壤影响环境</w:t>
            </w:r>
            <w:r>
              <w:rPr>
                <w:rFonts w:hint="default" w:ascii="Times New Roman" w:hAnsi="Times New Roman" w:eastAsia="宋体" w:cs="Times New Roman"/>
                <w:color w:val="auto"/>
                <w:kern w:val="0"/>
                <w:sz w:val="24"/>
                <w:szCs w:val="24"/>
                <w:lang w:eastAsia="zh-CN"/>
              </w:rPr>
              <w:t>。</w:t>
            </w:r>
          </w:p>
          <w:p w14:paraId="27C408B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③火灾爆炸事故次生/伴生影响分析</w:t>
            </w:r>
          </w:p>
          <w:p w14:paraId="4246BBF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发生火灾、爆炸也必须具备如下三个条件：一是爆炸性气体、液体蒸汽和空气混合后达到爆炸极限范围；二是场所内有足以激发混合物爆炸的能量；三是要有足够的助燃物。</w:t>
            </w:r>
          </w:p>
          <w:p w14:paraId="0E3D675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火灾爆炸事故发生有如下几种类型：</w:t>
            </w:r>
          </w:p>
          <w:p w14:paraId="4960966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立即起火：如果泄漏点处存在引火源，易燃气体从容器中往外泄出时即被点燃，发生扩散燃烧，产生喷射性火焰或形成火球，它能迅速地危及泄漏现场，但很少会影响到厂区的外部。</w:t>
            </w:r>
          </w:p>
          <w:p w14:paraId="4B9F1BD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滞后起火：如果泄漏点处无引火源，易燃气体泄出后与空气混合形成可燃蒸气云团，并随风飘移，遇火源发生爆炸或爆轰，能引起较大范围的破坏。</w:t>
            </w:r>
          </w:p>
          <w:p w14:paraId="0F9767E6">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常温常压下液体泄漏后聚集在防护堤内或地势低洼处形成液池，液体由于池表面风的对流而缓慢蒸发，若遇引火源就会发生池火灾。</w:t>
            </w:r>
          </w:p>
          <w:p w14:paraId="58608D1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本项目中有可能存在的点火源为：</w:t>
            </w:r>
          </w:p>
          <w:p w14:paraId="7B788A8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a</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kern w:val="0"/>
                <w:sz w:val="24"/>
                <w:szCs w:val="24"/>
                <w:lang w:val="en-US" w:eastAsia="zh-CN"/>
              </w:rPr>
              <w:t>明火：如违章使用的明火、吸烟、打火机火种等；</w:t>
            </w:r>
          </w:p>
          <w:p w14:paraId="72522E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b.电气火花：非防爆型设备、仪表、照明、电气线路、开关、通风设备或其故障产生的火花；电气设备绝缘不良、安装不符合规程要求，发生短路、超负荷，接触电阻过大等产生的电气火花（甚至电气火灾）等；</w:t>
            </w:r>
          </w:p>
          <w:p w14:paraId="14518B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c.静电火花；</w:t>
            </w:r>
          </w:p>
          <w:p w14:paraId="1CF821B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d.车辆火花：由于机动车辆未安装防火罩产生的火花；</w:t>
            </w:r>
          </w:p>
          <w:p w14:paraId="6C40794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e.工具火花：工具为易产生火花型，由于敲击而产生的火花；</w:t>
            </w:r>
          </w:p>
          <w:p w14:paraId="4D0387C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f.雷击；</w:t>
            </w:r>
          </w:p>
          <w:p w14:paraId="65C94C8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g.外部散发进入的火种（如烟花爆竹、锅炉飞灰火星等）;</w:t>
            </w:r>
          </w:p>
          <w:p w14:paraId="6B1D88A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w:t>
            </w:r>
          </w:p>
          <w:p w14:paraId="5947E3B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本项目火灾事故主要为①电气设备操作不当引起的；②</w:t>
            </w:r>
            <w:r>
              <w:rPr>
                <w:rFonts w:hint="eastAsia" w:ascii="Times New Roman" w:hAnsi="Times New Roman" w:eastAsia="宋体" w:cs="Times New Roman"/>
                <w:color w:val="auto"/>
                <w:kern w:val="0"/>
                <w:sz w:val="24"/>
                <w:szCs w:val="24"/>
                <w:lang w:val="en-US" w:eastAsia="zh-CN"/>
              </w:rPr>
              <w:t>废气</w:t>
            </w:r>
            <w:r>
              <w:rPr>
                <w:rFonts w:hint="default" w:ascii="Times New Roman" w:hAnsi="Times New Roman" w:eastAsia="宋体" w:cs="Times New Roman"/>
                <w:color w:val="auto"/>
                <w:kern w:val="0"/>
                <w:sz w:val="24"/>
                <w:szCs w:val="24"/>
                <w:lang w:val="en-US" w:eastAsia="zh-CN"/>
              </w:rPr>
              <w:t>装置故障导致的；③原辅料存储不当引起的。</w:t>
            </w:r>
          </w:p>
          <w:p w14:paraId="59B39C2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val="en-US" w:eastAsia="zh-CN"/>
              </w:rPr>
              <w:t>本项目有潜在易燃易爆物料（如防锈油、纯氢、碳氢清洗剂等）泄漏的可能，如果点火源与物料泄漏同时存在，就势必会发生火灾爆炸事故的发生，因此，本项目必须采取各种管理、技术、安全防范措施，禁止一切火种产生，防止生产过程中易燃易爆物料的泄漏，以防止火灾爆炸发生必要条件的产生。</w:t>
            </w:r>
          </w:p>
          <w:p w14:paraId="6EFFD5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生产车间或</w:t>
            </w:r>
            <w:r>
              <w:rPr>
                <w:rFonts w:hint="default" w:ascii="Times New Roman" w:hAnsi="Times New Roman" w:eastAsia="宋体" w:cs="Times New Roman"/>
                <w:color w:val="auto"/>
                <w:kern w:val="0"/>
                <w:sz w:val="24"/>
                <w:szCs w:val="24"/>
                <w:lang w:val="en-US" w:eastAsia="zh-CN"/>
              </w:rPr>
              <w:t>仓库</w:t>
            </w:r>
            <w:r>
              <w:rPr>
                <w:rFonts w:hint="default" w:ascii="Times New Roman" w:hAnsi="Times New Roman" w:eastAsia="宋体" w:cs="Times New Roman"/>
                <w:color w:val="auto"/>
                <w:kern w:val="0"/>
                <w:sz w:val="24"/>
                <w:szCs w:val="24"/>
                <w:lang w:eastAsia="zh-CN"/>
              </w:rPr>
              <w:t>中的易燃物料若发生火灾事故，燃烧烟气中的一氧化碳</w:t>
            </w:r>
            <w:r>
              <w:rPr>
                <w:rFonts w:hint="default" w:ascii="Times New Roman" w:hAnsi="Times New Roman" w:eastAsia="宋体" w:cs="Times New Roman"/>
                <w:color w:val="auto"/>
                <w:kern w:val="0"/>
                <w:sz w:val="24"/>
                <w:szCs w:val="24"/>
                <w:lang w:val="en-US" w:eastAsia="zh-CN"/>
              </w:rPr>
              <w:t>等次生污染物</w:t>
            </w:r>
            <w:r>
              <w:rPr>
                <w:rFonts w:hint="default" w:ascii="Times New Roman" w:hAnsi="Times New Roman" w:eastAsia="宋体" w:cs="Times New Roman"/>
                <w:color w:val="auto"/>
                <w:kern w:val="0"/>
                <w:sz w:val="24"/>
                <w:szCs w:val="24"/>
                <w:lang w:eastAsia="zh-CN"/>
              </w:rPr>
              <w:t>有可能会对周围大气环境造成一定的污染。考虑到项目易燃物料的日常储存量较小，企业运营经验丰富，其火灾爆炸事故发生的几率较小，一是防雷击防火等防范可靠性强，二是即使发生雷击火灾，车间配置有完善的灭火系统，燃烧形成的烟气量较小，经扩散稀释后对周围大气环境的影响较小。</w:t>
            </w:r>
          </w:p>
          <w:p w14:paraId="2FA2D08E">
            <w:pPr>
              <w:pStyle w:val="14"/>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color w:val="auto"/>
                <w:sz w:val="24"/>
                <w:szCs w:val="24"/>
                <w:lang w:val="en-US" w:eastAsia="zh-CN"/>
              </w:rPr>
              <w:t>6</w:t>
            </w:r>
            <w:r>
              <w:rPr>
                <w:rFonts w:hint="default" w:ascii="Times New Roman" w:hAnsi="Times New Roman" w:eastAsia="宋体" w:cs="Times New Roman"/>
                <w:b/>
                <w:color w:val="auto"/>
                <w:sz w:val="24"/>
                <w:szCs w:val="24"/>
              </w:rPr>
              <w:t>、</w:t>
            </w:r>
            <w:r>
              <w:rPr>
                <w:rFonts w:hint="default" w:ascii="Times New Roman" w:hAnsi="Times New Roman" w:eastAsia="宋体" w:cs="Times New Roman"/>
                <w:b/>
                <w:bCs/>
                <w:color w:val="auto"/>
                <w:kern w:val="0"/>
                <w:sz w:val="24"/>
                <w:szCs w:val="24"/>
              </w:rPr>
              <w:t>环境风险防范措施及应急要求</w:t>
            </w:r>
          </w:p>
          <w:p w14:paraId="4971F006">
            <w:pPr>
              <w:pStyle w:val="14"/>
              <w:keepNext w:val="0"/>
              <w:keepLines w:val="0"/>
              <w:pageBreakBefore w:val="0"/>
              <w:kinsoku/>
              <w:wordWrap/>
              <w:overflowPunct/>
              <w:topLinePunct w:val="0"/>
              <w:bidi w:val="0"/>
              <w:adjustRightInd/>
              <w:snapToGrid/>
              <w:spacing w:after="0" w:line="360" w:lineRule="auto"/>
              <w:ind w:left="0" w:leftChars="0" w:right="0" w:rightChars="0" w:firstLine="482" w:firstLineChars="200"/>
              <w:jc w:val="left"/>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fldChar w:fldCharType="begin"/>
            </w:r>
            <w:r>
              <w:rPr>
                <w:rFonts w:hint="default" w:ascii="Times New Roman" w:hAnsi="Times New Roman" w:eastAsia="宋体" w:cs="Times New Roman"/>
                <w:b/>
                <w:bCs/>
                <w:color w:val="auto"/>
                <w:kern w:val="0"/>
                <w:sz w:val="24"/>
                <w:szCs w:val="24"/>
              </w:rPr>
              <w:instrText xml:space="preserve"> = 1 \* GB3 \* MERGEFORMAT </w:instrText>
            </w:r>
            <w:r>
              <w:rPr>
                <w:rFonts w:hint="default" w:ascii="Times New Roman" w:hAnsi="Times New Roman" w:eastAsia="宋体" w:cs="Times New Roman"/>
                <w:b/>
                <w:bCs/>
                <w:color w:val="auto"/>
                <w:kern w:val="0"/>
                <w:sz w:val="24"/>
                <w:szCs w:val="24"/>
              </w:rPr>
              <w:fldChar w:fldCharType="separate"/>
            </w:r>
            <w:r>
              <w:rPr>
                <w:rFonts w:hint="default" w:ascii="Times New Roman" w:hAnsi="Times New Roman" w:eastAsia="宋体" w:cs="Times New Roman"/>
                <w:b/>
                <w:bCs/>
                <w:color w:val="auto"/>
                <w:kern w:val="0"/>
                <w:sz w:val="24"/>
                <w:szCs w:val="24"/>
              </w:rPr>
              <w:t>①</w:t>
            </w:r>
            <w:r>
              <w:rPr>
                <w:rFonts w:hint="default" w:ascii="Times New Roman" w:hAnsi="Times New Roman" w:eastAsia="宋体" w:cs="Times New Roman"/>
                <w:b/>
                <w:bCs/>
                <w:color w:val="auto"/>
                <w:kern w:val="0"/>
                <w:sz w:val="24"/>
                <w:szCs w:val="24"/>
              </w:rPr>
              <w:fldChar w:fldCharType="end"/>
            </w:r>
            <w:r>
              <w:rPr>
                <w:rFonts w:hint="default" w:ascii="Times New Roman" w:hAnsi="Times New Roman" w:eastAsia="宋体" w:cs="Times New Roman"/>
                <w:b/>
                <w:bCs/>
                <w:color w:val="auto"/>
                <w:kern w:val="0"/>
                <w:sz w:val="24"/>
                <w:szCs w:val="24"/>
              </w:rPr>
              <w:t>环境风险防范措施</w:t>
            </w:r>
          </w:p>
          <w:p w14:paraId="3E080CA0">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rPr>
              <w:t>1）泄漏事故风险防范措施</w:t>
            </w:r>
          </w:p>
          <w:p w14:paraId="5E33DFC3">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w:t>
            </w:r>
            <w:r>
              <w:rPr>
                <w:rFonts w:hint="default" w:ascii="Times New Roman" w:hAnsi="Times New Roman" w:eastAsia="宋体" w:cs="Times New Roman"/>
                <w:color w:val="auto"/>
                <w:kern w:val="0"/>
                <w:sz w:val="24"/>
                <w:szCs w:val="24"/>
                <w:lang w:val="en-US" w:eastAsia="zh-CN"/>
              </w:rPr>
              <w:t>防锈油、纯氢、碳氢清洗剂等</w:t>
            </w:r>
            <w:r>
              <w:rPr>
                <w:rFonts w:hint="default" w:ascii="Times New Roman" w:hAnsi="Times New Roman" w:eastAsia="宋体" w:cs="Times New Roman"/>
                <w:color w:val="auto"/>
                <w:sz w:val="24"/>
                <w:lang w:val="en-US" w:eastAsia="zh-CN"/>
              </w:rPr>
              <w:t>原料</w:t>
            </w:r>
            <w:r>
              <w:rPr>
                <w:rFonts w:hint="default" w:ascii="Times New Roman" w:hAnsi="Times New Roman" w:eastAsia="宋体" w:cs="Times New Roman"/>
                <w:color w:val="auto"/>
                <w:kern w:val="0"/>
                <w:sz w:val="24"/>
                <w:szCs w:val="24"/>
              </w:rPr>
              <w:t>暂存于车间原料仓库</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纯氢</w:t>
            </w:r>
            <w:r>
              <w:rPr>
                <w:rFonts w:hint="eastAsia" w:ascii="Times New Roman" w:hAnsi="Times New Roman" w:eastAsia="宋体" w:cs="Times New Roman"/>
                <w:color w:val="auto"/>
                <w:kern w:val="0"/>
                <w:sz w:val="24"/>
                <w:szCs w:val="24"/>
                <w:lang w:val="en-US" w:eastAsia="zh-CN"/>
              </w:rPr>
              <w:t>等</w:t>
            </w:r>
            <w:r>
              <w:rPr>
                <w:rFonts w:hint="default" w:ascii="Times New Roman" w:hAnsi="Times New Roman" w:eastAsia="宋体" w:cs="Times New Roman"/>
                <w:color w:val="auto"/>
                <w:kern w:val="0"/>
                <w:sz w:val="24"/>
                <w:szCs w:val="24"/>
                <w:lang w:val="en-US" w:eastAsia="zh-CN"/>
              </w:rPr>
              <w:t>储罐保存</w:t>
            </w:r>
            <w:r>
              <w:rPr>
                <w:rFonts w:hint="default" w:ascii="Times New Roman" w:hAnsi="Times New Roman" w:eastAsia="宋体" w:cs="Times New Roman"/>
                <w:color w:val="auto"/>
                <w:kern w:val="0"/>
                <w:sz w:val="24"/>
                <w:szCs w:val="24"/>
              </w:rPr>
              <w:t>，桶底部设有托盘，桶底部设有托盘，且仓库地面作防渗处理，同时加强车间巡检，关注各包装桶破损泄漏情况，及时更换破损包装桶，减少泄漏事故的发生。</w:t>
            </w:r>
          </w:p>
          <w:p w14:paraId="599942F7">
            <w:pPr>
              <w:keepNext w:val="0"/>
              <w:keepLines w:val="0"/>
              <w:pageBreakBefore w:val="0"/>
              <w:widowControl/>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2）火灾爆炸事故风险防范措施</w:t>
            </w:r>
          </w:p>
          <w:p w14:paraId="0CABD5F6">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default" w:ascii="Times New Roman" w:hAnsi="Times New Roman" w:eastAsia="宋体" w:cs="Times New Roman"/>
                <w:color w:val="auto"/>
                <w:kern w:val="0"/>
                <w:sz w:val="24"/>
                <w:szCs w:val="24"/>
                <w:lang w:val="en-US" w:eastAsia="zh-CN"/>
              </w:rPr>
              <w:t>防锈油、纯氢、碳氢清洗剂等</w:t>
            </w:r>
            <w:r>
              <w:rPr>
                <w:rFonts w:hint="default" w:ascii="Times New Roman" w:hAnsi="Times New Roman" w:eastAsia="宋体" w:cs="Times New Roman"/>
                <w:color w:val="auto"/>
                <w:sz w:val="24"/>
                <w:szCs w:val="24"/>
              </w:rPr>
              <w:t>具备可燃性。因此建设单位应当做好防范措施。为减少事故的发生和影响建设单位应采取以下措施。</w:t>
            </w:r>
          </w:p>
          <w:p w14:paraId="5926480D">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建设单位需建立健全安全操作规程及值勤制度，设置通讯、报警装置，并确保其处于完好状态；厂区配置合格的消防器材，并确保其处于完好状态。</w:t>
            </w:r>
          </w:p>
          <w:p w14:paraId="796112F9">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加强火源的管理，严禁烟火带入，对设备需进行维修焊接，应经安全部门确认、准许，并有记录。机动车在厂内行驶，须安装阻火器，必要设备安装防火、防爆装置。</w:t>
            </w:r>
          </w:p>
          <w:p w14:paraId="49C8687E">
            <w:pPr>
              <w:pStyle w:val="2"/>
              <w:keepNext w:val="0"/>
              <w:keepLines w:val="0"/>
              <w:pageBreakBefore w:val="0"/>
              <w:widowControl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设备的安全管理：定期对设备进行安全检测，检测内容、时间、人员应有记录保存。安全检测应根据设备的安全性、危险性设定检测频次。</w:t>
            </w:r>
          </w:p>
          <w:p w14:paraId="7A8A518A">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rPr>
              <w:t>3）危废仓库风险防范措施</w:t>
            </w:r>
          </w:p>
          <w:p w14:paraId="52508A95">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危废暂存场地必须按《危险废物贮存污染控制标准》（GB18597-2023）的要求进行设置。危险废物分类存放到危废仓库，做好进出库管理，及时登记，账物相符，并做好贮存场所和危废包装的标识工作。危废堆场要采取必要的防风、防晒、防雨、防漏、防渗、防腐以及其他环境污染防治措施；地面与裙脚要用坚固、防渗的材料建造，建筑材料必须与危险废物相容。通道、出入口和通向消防设施的道路保持畅通，同时配置合格的消防器材，并确保其处于完好状态。</w:t>
            </w:r>
          </w:p>
          <w:p w14:paraId="475F3CFB">
            <w:pPr>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bCs/>
                <w:color w:val="auto"/>
                <w:kern w:val="0"/>
                <w:sz w:val="24"/>
                <w:szCs w:val="24"/>
              </w:rPr>
              <w:t>4）废气处理装置设备事故风险防范措施</w:t>
            </w:r>
          </w:p>
          <w:p w14:paraId="26F591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lang w:eastAsia="zh-CN"/>
              </w:rPr>
            </w:pPr>
            <w:r>
              <w:rPr>
                <w:rFonts w:hint="default" w:ascii="Times New Roman" w:hAnsi="Times New Roman" w:eastAsia="宋体" w:cs="Times New Roman"/>
                <w:color w:val="auto"/>
                <w:kern w:val="0"/>
                <w:sz w:val="24"/>
                <w:szCs w:val="24"/>
                <w:lang w:eastAsia="zh-CN"/>
              </w:rPr>
              <w:t>活性炭吸附装置设有事故自动报警装置，并符合安全生产、事故防范的相关规定。治理系统与主体生产装置之间的管道系统应安装阻火器（防火阀），阻火器性能应符合GB 13347的规定。风机、电机和置于现场的电气仪表等应不低于现场防爆等级。当吸附剂采用降压解吸方式再生且解吸后的高浓度有机气体采用液体吸收工艺进行回收时，风机、真空解吸泵和电气系统均应采用符合GB 3836.4要求的本安型防爆器件。在吸附操作周期内，吸附了有机气体后吸附床内的温度应低于83℃。当吸附装置内的温度超过83℃时，应能自动报警，并立即启动降温装置。采用热空气吹扫方式进行吸附剂再生时，当吸附装置内的温度超过120°时，应能自动报警并立即中止再生操作、启动降温措施。治理装置安装区域应按规定设置消防设施。治理设备应具备短路保护和接地保护，接地电阻应小于4Q。室外治理设备应安装符合GB 50057规定的避雷装置。</w:t>
            </w:r>
          </w:p>
          <w:p w14:paraId="03AA8B3A">
            <w:pPr>
              <w:pStyle w:val="9"/>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为减少事故的发生和影响建设单位应采取以下措施。</w:t>
            </w:r>
          </w:p>
          <w:p w14:paraId="48C80A08">
            <w:pPr>
              <w:pStyle w:val="9"/>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A、建立严格的操作规程，实行目标责任制，保证环境保护设施的正常运行。</w:t>
            </w:r>
          </w:p>
          <w:p w14:paraId="07701B1F">
            <w:pPr>
              <w:pStyle w:val="9"/>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B、对废气处理系统进行定期的监测和检修，如发生腐蚀、设备运行不稳定的情况，需对设备进行更换和修理，确保废气处理装置的正常运行。</w:t>
            </w:r>
          </w:p>
          <w:p w14:paraId="06FA3D43">
            <w:pPr>
              <w:pStyle w:val="9"/>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C、二级活性炭吸附装置对废气进行处理后，应定期对二级活性炭进行更换，以便于废气的有效处理。</w:t>
            </w:r>
          </w:p>
          <w:p w14:paraId="019C9436">
            <w:pPr>
              <w:pStyle w:val="9"/>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D、废气处理装置一旦出现故障，应立即关闭生产设备，避免废气未经处理进入大气环境。</w:t>
            </w:r>
          </w:p>
          <w:p w14:paraId="3AEA6C28">
            <w:pPr>
              <w:pStyle w:val="9"/>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rPr>
              <w:t>E、二级活性炭吸附装置产生的废活性炭应妥善保存，避免过滤介质、二级活性炭接触明火和高温设备而引发的火灾及其次伴生环境风险事故。</w:t>
            </w:r>
          </w:p>
          <w:p w14:paraId="0A5AFCBF">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color w:val="auto"/>
                <w:kern w:val="0"/>
                <w:sz w:val="24"/>
                <w:szCs w:val="24"/>
              </w:rPr>
              <w:t>F、</w:t>
            </w:r>
            <w:r>
              <w:rPr>
                <w:rFonts w:hint="default" w:ascii="Times New Roman" w:hAnsi="Times New Roman" w:eastAsia="宋体" w:cs="Times New Roman"/>
                <w:bCs/>
                <w:color w:val="auto"/>
                <w:kern w:val="0"/>
                <w:sz w:val="24"/>
                <w:szCs w:val="24"/>
              </w:rPr>
              <w:t>每年定期组织一次污染治理设施意外事故的应急措施落实情况和应急设备（备用设备）完好情况的检查。</w:t>
            </w:r>
          </w:p>
          <w:p w14:paraId="55612D37">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fldChar w:fldCharType="begin"/>
            </w:r>
            <w:r>
              <w:rPr>
                <w:rFonts w:hint="default" w:ascii="Times New Roman" w:hAnsi="Times New Roman" w:eastAsia="宋体" w:cs="Times New Roman"/>
                <w:b/>
                <w:bCs/>
                <w:color w:val="auto"/>
                <w:sz w:val="24"/>
                <w:szCs w:val="24"/>
              </w:rPr>
              <w:instrText xml:space="preserve"> = 2 \* GB3 \* MERGEFORMAT </w:instrText>
            </w:r>
            <w:r>
              <w:rPr>
                <w:rFonts w:hint="default" w:ascii="Times New Roman" w:hAnsi="Times New Roman" w:eastAsia="宋体" w:cs="Times New Roman"/>
                <w:b/>
                <w:bCs/>
                <w:color w:val="auto"/>
                <w:sz w:val="24"/>
                <w:szCs w:val="24"/>
              </w:rPr>
              <w:fldChar w:fldCharType="separate"/>
            </w:r>
            <w:r>
              <w:rPr>
                <w:rFonts w:hint="default" w:ascii="Times New Roman" w:hAnsi="Times New Roman" w:eastAsia="宋体" w:cs="Times New Roman"/>
                <w:b/>
                <w:bCs/>
                <w:color w:val="auto"/>
                <w:sz w:val="24"/>
                <w:szCs w:val="24"/>
              </w:rPr>
              <w:t>②</w:t>
            </w:r>
            <w:r>
              <w:rPr>
                <w:rFonts w:hint="default" w:ascii="Times New Roman" w:hAnsi="Times New Roman" w:eastAsia="宋体" w:cs="Times New Roman"/>
                <w:b/>
                <w:bCs/>
                <w:color w:val="auto"/>
                <w:sz w:val="24"/>
                <w:szCs w:val="24"/>
              </w:rPr>
              <w:fldChar w:fldCharType="end"/>
            </w:r>
            <w:r>
              <w:rPr>
                <w:rFonts w:hint="default" w:ascii="Times New Roman" w:hAnsi="Times New Roman" w:eastAsia="宋体" w:cs="Times New Roman"/>
                <w:b/>
                <w:bCs/>
                <w:color w:val="auto"/>
                <w:sz w:val="24"/>
                <w:szCs w:val="24"/>
              </w:rPr>
              <w:t>环境风险应急措施</w:t>
            </w:r>
          </w:p>
          <w:p w14:paraId="26A14EB2">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1）火灾和爆炸事故应急措施</w:t>
            </w:r>
          </w:p>
          <w:p w14:paraId="30C48FF3">
            <w:pPr>
              <w:pStyle w:val="2"/>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现场人员一旦发现火灾爆炸事故，应立即逐级报告，汇报时应明确发生的时间、地点、简要经过、人员伤亡情况等，并运用各种应急设施和器具急救，防止事故扩大。配电室或电器设备着火，应立即切断电源，采用二氧化碳或干粉灭火器进行灭火，不得使用水灭火。如火势较大影响自身安全时，应迅速组织人员疏散，发现火情人迅速向应急救援总指挥报告，请求支援。全警戒通讯组在引导人员紧急疏散时，要用湿毛巾或用其他棉织物捂住嘴、鼻逃离，要求人员低首俯身，贴近地面，以避开处于空气上方的毒烟，疏散到空旷的安全地带。</w:t>
            </w:r>
          </w:p>
          <w:p w14:paraId="0200D39C">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2）泄漏事故应急措施</w:t>
            </w:r>
          </w:p>
          <w:p w14:paraId="6753ED37">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w:t>
            </w:r>
            <w:r>
              <w:rPr>
                <w:rFonts w:hint="default" w:ascii="Times New Roman" w:hAnsi="Times New Roman" w:eastAsia="宋体" w:cs="Times New Roman"/>
                <w:color w:val="auto"/>
                <w:kern w:val="0"/>
                <w:sz w:val="24"/>
                <w:szCs w:val="24"/>
                <w:lang w:val="en-US" w:eastAsia="zh-CN"/>
              </w:rPr>
              <w:t>防锈油、纯氢、碳氢清洗剂等</w:t>
            </w:r>
            <w:r>
              <w:rPr>
                <w:rFonts w:hint="default" w:ascii="Times New Roman" w:hAnsi="Times New Roman" w:eastAsia="宋体" w:cs="Times New Roman"/>
                <w:color w:val="auto"/>
                <w:sz w:val="24"/>
                <w:lang w:val="en-US" w:eastAsia="zh-CN"/>
              </w:rPr>
              <w:t>原料</w:t>
            </w:r>
            <w:r>
              <w:rPr>
                <w:rFonts w:hint="default" w:ascii="Times New Roman" w:hAnsi="Times New Roman" w:eastAsia="宋体" w:cs="Times New Roman"/>
                <w:color w:val="auto"/>
                <w:kern w:val="0"/>
                <w:sz w:val="24"/>
                <w:szCs w:val="24"/>
              </w:rPr>
              <w:t>暂存于车间原料仓库</w:t>
            </w:r>
            <w:r>
              <w:rPr>
                <w:rFonts w:hint="default"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lang w:val="en-US" w:eastAsia="zh-CN"/>
              </w:rPr>
              <w:t>纯氢</w:t>
            </w:r>
            <w:r>
              <w:rPr>
                <w:rFonts w:hint="eastAsia" w:ascii="Times New Roman" w:hAnsi="Times New Roman" w:eastAsia="宋体" w:cs="Times New Roman"/>
                <w:color w:val="auto"/>
                <w:kern w:val="0"/>
                <w:sz w:val="24"/>
                <w:szCs w:val="24"/>
                <w:lang w:val="en-US" w:eastAsia="zh-CN"/>
              </w:rPr>
              <w:t>等</w:t>
            </w:r>
            <w:r>
              <w:rPr>
                <w:rFonts w:hint="default" w:ascii="Times New Roman" w:hAnsi="Times New Roman" w:eastAsia="宋体" w:cs="Times New Roman"/>
                <w:color w:val="auto"/>
                <w:kern w:val="0"/>
                <w:sz w:val="24"/>
                <w:szCs w:val="24"/>
                <w:lang w:val="en-US" w:eastAsia="zh-CN"/>
              </w:rPr>
              <w:t>储罐保存</w:t>
            </w:r>
            <w:r>
              <w:rPr>
                <w:rFonts w:hint="default" w:ascii="Times New Roman" w:hAnsi="Times New Roman" w:eastAsia="宋体" w:cs="Times New Roman"/>
                <w:color w:val="auto"/>
                <w:kern w:val="0"/>
                <w:sz w:val="24"/>
                <w:szCs w:val="24"/>
              </w:rPr>
              <w:t>，</w:t>
            </w:r>
            <w:r>
              <w:rPr>
                <w:rFonts w:hint="default" w:ascii="Times New Roman" w:hAnsi="Times New Roman" w:eastAsia="宋体" w:cs="Times New Roman"/>
                <w:color w:val="auto"/>
                <w:kern w:val="0"/>
                <w:sz w:val="24"/>
                <w:szCs w:val="24"/>
                <w:lang w:val="en-US" w:eastAsia="zh-CN"/>
              </w:rPr>
              <w:t>防锈油</w:t>
            </w:r>
            <w:r>
              <w:rPr>
                <w:rFonts w:hint="eastAsia" w:ascii="Times New Roman" w:hAnsi="Times New Roman" w:eastAsia="宋体" w:cs="Times New Roman"/>
                <w:color w:val="auto"/>
                <w:kern w:val="0"/>
                <w:sz w:val="24"/>
                <w:szCs w:val="24"/>
                <w:lang w:val="en-US" w:eastAsia="zh-CN"/>
              </w:rPr>
              <w:t>等</w:t>
            </w:r>
            <w:r>
              <w:rPr>
                <w:rFonts w:hint="default" w:ascii="Times New Roman" w:hAnsi="Times New Roman" w:eastAsia="宋体" w:cs="Times New Roman"/>
                <w:color w:val="auto"/>
                <w:kern w:val="0"/>
                <w:sz w:val="24"/>
                <w:szCs w:val="24"/>
              </w:rPr>
              <w:t>采用桶装，桶底部设有托盘，且仓库地面作防渗处理，即便发生泄漏，也可全部收集于托盘中，不会扩散至厂区或厂外环境。</w:t>
            </w:r>
          </w:p>
          <w:p w14:paraId="07BEECC2">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3）废气处理装置事故应急措施</w:t>
            </w:r>
          </w:p>
          <w:p w14:paraId="349C4244">
            <w:pPr>
              <w:pStyle w:val="2"/>
              <w:keepNext w:val="0"/>
              <w:keepLines w:val="0"/>
              <w:pageBreakBefore w:val="0"/>
              <w:kinsoku/>
              <w:wordWrap/>
              <w:overflowPunct/>
              <w:topLinePunct w:val="0"/>
              <w:bidi w:val="0"/>
              <w:adjustRightInd/>
              <w:snapToGrid/>
              <w:spacing w:after="0" w:line="360" w:lineRule="auto"/>
              <w:ind w:left="0" w:leftChars="0" w:right="0" w:rightChars="0" w:firstLine="480"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现场操作人员发现废气处理装置发生故障后，应立即停止生产，相关人员对废气处理装置进行故障排除，待故障解决、装置运行正常后再进行生产。</w:t>
            </w:r>
          </w:p>
          <w:p w14:paraId="4D0CEF93">
            <w:pPr>
              <w:pStyle w:val="2"/>
              <w:keepNext w:val="0"/>
              <w:keepLines w:val="0"/>
              <w:pageBreakBefore w:val="0"/>
              <w:kinsoku/>
              <w:wordWrap/>
              <w:overflowPunct/>
              <w:topLinePunct w:val="0"/>
              <w:bidi w:val="0"/>
              <w:adjustRightInd/>
              <w:snapToGrid/>
              <w:spacing w:after="0" w:line="360" w:lineRule="auto"/>
              <w:ind w:left="0" w:leftChars="0" w:right="0" w:rightChars="0" w:firstLine="482" w:firstLineChars="20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③突发事故对策和应急预案</w:t>
            </w:r>
          </w:p>
          <w:p w14:paraId="1B546180">
            <w:pPr>
              <w:pStyle w:val="34"/>
              <w:keepNext w:val="0"/>
              <w:keepLines w:val="0"/>
              <w:pageBreakBefore w:val="0"/>
              <w:kinsoku/>
              <w:wordWrap/>
              <w:overflowPunct/>
              <w:topLinePunct w:val="0"/>
              <w:bidi w:val="0"/>
              <w:adjustRightInd/>
              <w:snapToGrid/>
              <w:spacing w:line="360" w:lineRule="auto"/>
              <w:ind w:left="0" w:leftChars="0" w:right="0" w:rightChars="0" w:firstLine="480" w:firstLineChars="200"/>
              <w:jc w:val="both"/>
              <w:outlineLvl w:val="9"/>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val="0"/>
                <w:bCs/>
                <w:color w:val="auto"/>
                <w:kern w:val="0"/>
                <w:sz w:val="24"/>
                <w:szCs w:val="24"/>
              </w:rPr>
              <w:t>参照《国家突发环境事件应急预案》《突发环境事件信息报告办法》《江苏省突发环境事件应急预案》，根据企业可能发生的突发环境事件的性质、严重程度、可控性、影响范围等因素，公司应根据下表的详细要求制定突发事故对策和应急预案，一旦出现突发事故，必须按事先拟定的方案进行紧急处理。应急对策和预案的内容及要求如下表：</w:t>
            </w:r>
          </w:p>
          <w:p w14:paraId="05D90A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rPr>
              <w:t>表4-</w:t>
            </w:r>
            <w:r>
              <w:rPr>
                <w:rFonts w:hint="eastAsia" w:ascii="Times New Roman" w:hAnsi="Times New Roman" w:eastAsia="宋体" w:cs="Times New Roman"/>
                <w:b/>
                <w:color w:val="auto"/>
                <w:kern w:val="0"/>
                <w:sz w:val="24"/>
                <w:szCs w:val="24"/>
                <w:lang w:val="en-US" w:eastAsia="zh-CN"/>
              </w:rPr>
              <w:t>30</w:t>
            </w:r>
            <w:r>
              <w:rPr>
                <w:rFonts w:hint="default" w:ascii="Times New Roman" w:hAnsi="Times New Roman" w:eastAsia="宋体" w:cs="Times New Roman"/>
                <w:b/>
                <w:color w:val="auto"/>
                <w:kern w:val="0"/>
                <w:sz w:val="24"/>
                <w:szCs w:val="24"/>
              </w:rPr>
              <w:t xml:space="preserve">   应急预案内容</w:t>
            </w:r>
          </w:p>
          <w:tbl>
            <w:tblPr>
              <w:tblStyle w:val="27"/>
              <w:tblW w:w="4999"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783"/>
              <w:gridCol w:w="2934"/>
              <w:gridCol w:w="4629"/>
            </w:tblGrid>
            <w:tr w14:paraId="598DBD4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345257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序号</w:t>
                  </w:r>
                </w:p>
              </w:tc>
              <w:tc>
                <w:tcPr>
                  <w:tcW w:w="1757" w:type="pct"/>
                  <w:vAlign w:val="center"/>
                </w:tcPr>
                <w:p w14:paraId="2C614CE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项目</w:t>
                  </w:r>
                </w:p>
              </w:tc>
              <w:tc>
                <w:tcPr>
                  <w:tcW w:w="2772" w:type="pct"/>
                  <w:vAlign w:val="center"/>
                </w:tcPr>
                <w:p w14:paraId="2E85C0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b/>
                      <w:bCs/>
                      <w:color w:val="auto"/>
                      <w:kern w:val="0"/>
                      <w:sz w:val="21"/>
                      <w:szCs w:val="21"/>
                    </w:rPr>
                  </w:pPr>
                  <w:r>
                    <w:rPr>
                      <w:rFonts w:hint="default" w:ascii="Times New Roman" w:hAnsi="Times New Roman" w:eastAsia="宋体" w:cs="Times New Roman"/>
                      <w:b/>
                      <w:bCs/>
                      <w:color w:val="auto"/>
                      <w:kern w:val="0"/>
                      <w:sz w:val="21"/>
                      <w:szCs w:val="21"/>
                    </w:rPr>
                    <w:t>内容及要求</w:t>
                  </w:r>
                </w:p>
              </w:tc>
            </w:tr>
            <w:tr w14:paraId="3DC8413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14AD39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1</w:t>
                  </w:r>
                </w:p>
              </w:tc>
              <w:tc>
                <w:tcPr>
                  <w:tcW w:w="1757" w:type="pct"/>
                  <w:vAlign w:val="center"/>
                </w:tcPr>
                <w:p w14:paraId="38A38E3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应急计划区</w:t>
                  </w:r>
                </w:p>
              </w:tc>
              <w:tc>
                <w:tcPr>
                  <w:tcW w:w="2772" w:type="pct"/>
                  <w:vAlign w:val="center"/>
                </w:tcPr>
                <w:p w14:paraId="249A380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危险目标：危废仓库、环境保护目标等</w:t>
                  </w:r>
                </w:p>
              </w:tc>
            </w:tr>
            <w:tr w14:paraId="6D8AF4A1">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3ED9874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2</w:t>
                  </w:r>
                </w:p>
              </w:tc>
              <w:tc>
                <w:tcPr>
                  <w:tcW w:w="1757" w:type="pct"/>
                  <w:vAlign w:val="center"/>
                </w:tcPr>
                <w:p w14:paraId="35283D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应急组织机构、人员</w:t>
                  </w:r>
                </w:p>
              </w:tc>
              <w:tc>
                <w:tcPr>
                  <w:tcW w:w="2772" w:type="pct"/>
                  <w:vAlign w:val="center"/>
                </w:tcPr>
                <w:p w14:paraId="2F8D65A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工厂、地区应急组织机构、人员</w:t>
                  </w:r>
                </w:p>
              </w:tc>
            </w:tr>
            <w:tr w14:paraId="796DA134">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4BE974B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3</w:t>
                  </w:r>
                </w:p>
              </w:tc>
              <w:tc>
                <w:tcPr>
                  <w:tcW w:w="1757" w:type="pct"/>
                  <w:vAlign w:val="center"/>
                </w:tcPr>
                <w:p w14:paraId="16EC183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预案分级响应条件</w:t>
                  </w:r>
                </w:p>
              </w:tc>
              <w:tc>
                <w:tcPr>
                  <w:tcW w:w="2772" w:type="pct"/>
                  <w:vAlign w:val="center"/>
                </w:tcPr>
                <w:p w14:paraId="5C6AA5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规定预案的级别及分级响应程序</w:t>
                  </w:r>
                </w:p>
              </w:tc>
            </w:tr>
            <w:tr w14:paraId="0E184B4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088E3C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4</w:t>
                  </w:r>
                </w:p>
              </w:tc>
              <w:tc>
                <w:tcPr>
                  <w:tcW w:w="1757" w:type="pct"/>
                  <w:vAlign w:val="center"/>
                </w:tcPr>
                <w:p w14:paraId="13AC2B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应急救援保障</w:t>
                  </w:r>
                </w:p>
              </w:tc>
              <w:tc>
                <w:tcPr>
                  <w:tcW w:w="2772" w:type="pct"/>
                  <w:vAlign w:val="center"/>
                </w:tcPr>
                <w:p w14:paraId="02E12AD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应急设施，设备与器材等</w:t>
                  </w:r>
                </w:p>
              </w:tc>
            </w:tr>
            <w:tr w14:paraId="4F46136D">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6169CDA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5</w:t>
                  </w:r>
                </w:p>
              </w:tc>
              <w:tc>
                <w:tcPr>
                  <w:tcW w:w="1757" w:type="pct"/>
                  <w:vAlign w:val="center"/>
                </w:tcPr>
                <w:p w14:paraId="7F67C8A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报警、通讯联络方式</w:t>
                  </w:r>
                </w:p>
              </w:tc>
              <w:tc>
                <w:tcPr>
                  <w:tcW w:w="2772" w:type="pct"/>
                  <w:vAlign w:val="center"/>
                </w:tcPr>
                <w:p w14:paraId="67DCF38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规定应急状态下的报警通讯方式、通知方式和交通保障、管制</w:t>
                  </w:r>
                </w:p>
              </w:tc>
            </w:tr>
            <w:tr w14:paraId="22E4B13C">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62DB06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6</w:t>
                  </w:r>
                </w:p>
              </w:tc>
              <w:tc>
                <w:tcPr>
                  <w:tcW w:w="1757" w:type="pct"/>
                  <w:vAlign w:val="center"/>
                </w:tcPr>
                <w:p w14:paraId="3F973B0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应急检测、防护措施、器材</w:t>
                  </w:r>
                </w:p>
              </w:tc>
              <w:tc>
                <w:tcPr>
                  <w:tcW w:w="2772" w:type="pct"/>
                  <w:vAlign w:val="center"/>
                </w:tcPr>
                <w:p w14:paraId="35F5D055">
                  <w:pPr>
                    <w:pStyle w:val="70"/>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事故现场、邻近区域、控制防火区域，控制和清除污染措施及相应设备</w:t>
                  </w:r>
                </w:p>
              </w:tc>
            </w:tr>
            <w:tr w14:paraId="1F2E9AB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73F9E8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7</w:t>
                  </w:r>
                </w:p>
              </w:tc>
              <w:tc>
                <w:tcPr>
                  <w:tcW w:w="1757" w:type="pct"/>
                  <w:vAlign w:val="center"/>
                </w:tcPr>
                <w:p w14:paraId="405AA7B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人员紧急撤离、疏散，应急剂量控制、撤离组织计划</w:t>
                  </w:r>
                </w:p>
              </w:tc>
              <w:tc>
                <w:tcPr>
                  <w:tcW w:w="2772" w:type="pct"/>
                  <w:vAlign w:val="center"/>
                </w:tcPr>
                <w:p w14:paraId="313B778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事故现场、工厂邻近区、受事故影响的区域人员及公众对毒物应急剂量控制规定，撤离组织计划及救护，医疗救护与公众健康</w:t>
                  </w:r>
                </w:p>
              </w:tc>
            </w:tr>
            <w:tr w14:paraId="421E86E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51C54F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8</w:t>
                  </w:r>
                </w:p>
              </w:tc>
              <w:tc>
                <w:tcPr>
                  <w:tcW w:w="1757" w:type="pct"/>
                  <w:vAlign w:val="center"/>
                </w:tcPr>
                <w:p w14:paraId="21B6DE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事故应急救援关闭程序与恢复措施</w:t>
                  </w:r>
                </w:p>
              </w:tc>
              <w:tc>
                <w:tcPr>
                  <w:tcW w:w="2772" w:type="pct"/>
                  <w:vAlign w:val="center"/>
                </w:tcPr>
                <w:p w14:paraId="04C6F2A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规定应急状态终止程序</w:t>
                  </w:r>
                </w:p>
                <w:p w14:paraId="760614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事故现场善后处理，恢复措施</w:t>
                  </w:r>
                </w:p>
                <w:p w14:paraId="27048BC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邻近区域解除事故警戒及善后恢复措施</w:t>
                  </w:r>
                </w:p>
              </w:tc>
            </w:tr>
            <w:tr w14:paraId="537847C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jc w:val="center"/>
              </w:trPr>
              <w:tc>
                <w:tcPr>
                  <w:tcW w:w="469" w:type="pct"/>
                  <w:vAlign w:val="center"/>
                </w:tcPr>
                <w:p w14:paraId="33B9177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9</w:t>
                  </w:r>
                </w:p>
              </w:tc>
              <w:tc>
                <w:tcPr>
                  <w:tcW w:w="1757" w:type="pct"/>
                  <w:vAlign w:val="center"/>
                </w:tcPr>
                <w:p w14:paraId="1D5CF90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应急培训计划</w:t>
                  </w:r>
                </w:p>
              </w:tc>
              <w:tc>
                <w:tcPr>
                  <w:tcW w:w="2772" w:type="pct"/>
                  <w:vAlign w:val="center"/>
                </w:tcPr>
                <w:p w14:paraId="1A3F072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rPr>
                    <w:t>应急计划制定后，平时安排人员培训与演练</w:t>
                  </w:r>
                </w:p>
              </w:tc>
            </w:tr>
          </w:tbl>
          <w:p w14:paraId="0A524A37">
            <w:pPr>
              <w:keepNext w:val="0"/>
              <w:keepLines w:val="0"/>
              <w:pageBreakBefore w:val="0"/>
              <w:kinsoku/>
              <w:wordWrap/>
              <w:overflowPunct/>
              <w:topLinePunct w:val="0"/>
              <w:bidi w:val="0"/>
              <w:adjustRightInd/>
              <w:snapToGrid/>
              <w:spacing w:line="360" w:lineRule="auto"/>
              <w:ind w:left="0" w:leftChars="0" w:right="0" w:rightChars="0"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建议建设单位应采用严格的国际通用的安全防范体系，完善现有的管理规程、作业规章和应急计划，预警和应急裝置，在出现预警情况时能及时处理，消除事故隐患，发生事故时有相应的安全应急措施，企业内部制定严格的管理条例和岗位责任制，加强职工的安全生产教育，提高风险意识。通过上述风险控制对策，本项目可最大限度地降低环境风险，一旦意外事件发生，也能最大限度地减少环境污染危害和人民生命财产的损失。</w:t>
            </w:r>
          </w:p>
          <w:p w14:paraId="5A221284">
            <w:pPr>
              <w:pStyle w:val="71"/>
              <w:keepNext w:val="0"/>
              <w:keepLines w:val="0"/>
              <w:pageBreakBefore w:val="0"/>
              <w:kinsoku/>
              <w:wordWrap/>
              <w:overflowPunct/>
              <w:topLinePunct w:val="0"/>
              <w:bidi w:val="0"/>
              <w:adjustRightInd/>
              <w:snapToGrid/>
              <w:spacing w:line="360" w:lineRule="auto"/>
              <w:ind w:left="0" w:leftChars="0" w:right="0" w:rightChars="0" w:firstLine="482" w:firstLineChars="200"/>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rPr>
              <w:t>（3）环境风险结论</w:t>
            </w:r>
          </w:p>
          <w:p w14:paraId="3BFB9EE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综上所述，本厂区应设立风险防范措施，最大限度防止风险事故的发生并进行有效处置，结合企业在下一步设计、运营过程中不断制定和完善的风险防范和应急措施，将发生环境风险的可能性降至最低。在各环境风险防范措施落实到位的情况下，将可大大降低本项目的环境风险，最大程度减少对环境可能造成的危害。</w:t>
            </w:r>
          </w:p>
          <w:p w14:paraId="2766554D">
            <w:pPr>
              <w:keepNext w:val="0"/>
              <w:keepLines w:val="0"/>
              <w:pageBreakBefore w:val="0"/>
              <w:widowControl w:val="0"/>
              <w:kinsoku/>
              <w:wordWrap/>
              <w:overflowPunct/>
              <w:topLinePunct w:val="0"/>
              <w:autoSpaceDE/>
              <w:autoSpaceDN/>
              <w:bidi w:val="0"/>
              <w:adjustRightInd/>
              <w:snapToGrid/>
              <w:spacing w:before="120" w:line="360" w:lineRule="auto"/>
              <w:textAlignment w:val="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rPr>
              <w:t>七、电磁辐射</w:t>
            </w:r>
          </w:p>
          <w:p w14:paraId="5025192B">
            <w:pPr>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本项目不涉及电磁辐射。</w:t>
            </w:r>
          </w:p>
        </w:tc>
      </w:tr>
    </w:tbl>
    <w:p w14:paraId="2C010EDA">
      <w:pPr>
        <w:rPr>
          <w:rFonts w:hint="default" w:ascii="Times New Roman" w:hAnsi="Times New Roman" w:eastAsia="宋体" w:cs="Times New Roman"/>
          <w:color w:val="auto"/>
          <w:sz w:val="24"/>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3DD8A7F">
      <w:pPr>
        <w:pStyle w:val="4"/>
        <w:rPr>
          <w:rFonts w:hint="default" w:ascii="Times New Roman" w:hAnsi="Times New Roman" w:cs="Times New Roman"/>
          <w:color w:val="auto"/>
        </w:rPr>
      </w:pPr>
      <w:r>
        <w:rPr>
          <w:rFonts w:hint="default" w:ascii="Times New Roman" w:hAnsi="Times New Roman" w:cs="Times New Roman"/>
          <w:color w:val="auto"/>
        </w:rPr>
        <w:t>五、环境保护措施监督检查清单</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917"/>
        <w:gridCol w:w="1078"/>
        <w:gridCol w:w="1548"/>
        <w:gridCol w:w="1962"/>
        <w:gridCol w:w="1757"/>
      </w:tblGrid>
      <w:tr w14:paraId="75A72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8" w:space="0"/>
              <w:left w:val="single" w:color="auto" w:sz="4" w:space="0"/>
              <w:bottom w:val="single" w:color="auto" w:sz="4" w:space="0"/>
              <w:tl2br w:val="single" w:color="auto" w:sz="4" w:space="0"/>
            </w:tcBorders>
          </w:tcPr>
          <w:p w14:paraId="6E499CF0">
            <w:pPr>
              <w:adjustRightInd w:val="0"/>
              <w:snapToGrid w:val="0"/>
              <w:ind w:firstLine="84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内容</w:t>
            </w:r>
          </w:p>
          <w:p w14:paraId="610F2648">
            <w:pPr>
              <w:adjustRightInd w:val="0"/>
              <w:snapToGrid w:val="0"/>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要素</w:t>
            </w:r>
          </w:p>
        </w:tc>
        <w:tc>
          <w:tcPr>
            <w:tcW w:w="1995" w:type="dxa"/>
            <w:gridSpan w:val="2"/>
            <w:vAlign w:val="center"/>
          </w:tcPr>
          <w:p w14:paraId="6627DB24">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排放口</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编号、</w:t>
            </w:r>
          </w:p>
          <w:p w14:paraId="4E62B414">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名称</w:t>
            </w:r>
            <w:r>
              <w:rPr>
                <w:rFonts w:hint="default" w:ascii="Times New Roman" w:hAnsi="Times New Roman" w:eastAsia="宋体" w:cs="Times New Roman"/>
                <w:b/>
                <w:bCs/>
                <w:color w:val="auto"/>
                <w:sz w:val="24"/>
                <w:szCs w:val="24"/>
                <w:lang w:eastAsia="zh-CN"/>
              </w:rPr>
              <w:t>）</w:t>
            </w:r>
            <w:r>
              <w:rPr>
                <w:rFonts w:hint="default" w:ascii="Times New Roman" w:hAnsi="Times New Roman" w:eastAsia="宋体" w:cs="Times New Roman"/>
                <w:b/>
                <w:bCs/>
                <w:color w:val="auto"/>
                <w:sz w:val="24"/>
                <w:szCs w:val="24"/>
              </w:rPr>
              <w:t>/污染源</w:t>
            </w:r>
          </w:p>
        </w:tc>
        <w:tc>
          <w:tcPr>
            <w:tcW w:w="1548" w:type="dxa"/>
            <w:vAlign w:val="center"/>
          </w:tcPr>
          <w:p w14:paraId="37D748D6">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污染物项目</w:t>
            </w:r>
          </w:p>
        </w:tc>
        <w:tc>
          <w:tcPr>
            <w:tcW w:w="1962" w:type="dxa"/>
            <w:vAlign w:val="center"/>
          </w:tcPr>
          <w:p w14:paraId="71D0970C">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环境保护措施</w:t>
            </w:r>
          </w:p>
        </w:tc>
        <w:tc>
          <w:tcPr>
            <w:tcW w:w="1757" w:type="dxa"/>
            <w:vAlign w:val="center"/>
          </w:tcPr>
          <w:p w14:paraId="4DBFCA90">
            <w:pPr>
              <w:adjustRightInd w:val="0"/>
              <w:snapToGrid w:val="0"/>
              <w:jc w:val="center"/>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执行标准</w:t>
            </w:r>
          </w:p>
        </w:tc>
      </w:tr>
      <w:tr w14:paraId="400B7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tcBorders>
              <w:top w:val="single" w:color="auto" w:sz="4" w:space="0"/>
              <w:left w:val="single" w:color="auto" w:sz="4" w:space="0"/>
            </w:tcBorders>
            <w:vAlign w:val="center"/>
          </w:tcPr>
          <w:p w14:paraId="53233EC3">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大气环境</w:t>
            </w:r>
          </w:p>
        </w:tc>
        <w:tc>
          <w:tcPr>
            <w:tcW w:w="917" w:type="dxa"/>
            <w:vMerge w:val="restart"/>
            <w:tcBorders>
              <w:right w:val="single" w:color="auto" w:sz="4" w:space="0"/>
            </w:tcBorders>
            <w:vAlign w:val="center"/>
          </w:tcPr>
          <w:p w14:paraId="3256A242">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有组织</w:t>
            </w:r>
          </w:p>
        </w:tc>
        <w:tc>
          <w:tcPr>
            <w:tcW w:w="1078" w:type="dxa"/>
            <w:tcBorders>
              <w:left w:val="single" w:color="auto" w:sz="4" w:space="0"/>
            </w:tcBorders>
            <w:vAlign w:val="center"/>
          </w:tcPr>
          <w:p w14:paraId="0A1DB408">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DA00</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排气筒</w:t>
            </w:r>
          </w:p>
        </w:tc>
        <w:tc>
          <w:tcPr>
            <w:tcW w:w="1548" w:type="dxa"/>
            <w:vAlign w:val="center"/>
          </w:tcPr>
          <w:p w14:paraId="2DEF0EB1">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非甲烷总烃</w:t>
            </w:r>
          </w:p>
        </w:tc>
        <w:tc>
          <w:tcPr>
            <w:tcW w:w="1962" w:type="dxa"/>
            <w:vAlign w:val="center"/>
          </w:tcPr>
          <w:p w14:paraId="742D92D4">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集气罩</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二级活性炭吸附</w:t>
            </w:r>
            <w:r>
              <w:rPr>
                <w:rFonts w:hint="default" w:ascii="Times New Roman" w:hAnsi="Times New Roman" w:eastAsia="宋体" w:cs="Times New Roman"/>
                <w:color w:val="auto"/>
                <w:sz w:val="24"/>
                <w:szCs w:val="24"/>
              </w:rPr>
              <w:t>装置+</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m高排气筒</w:t>
            </w:r>
            <w:r>
              <w:rPr>
                <w:rFonts w:hint="default" w:ascii="Times New Roman" w:hAnsi="Times New Roman" w:eastAsia="宋体" w:cs="Times New Roman"/>
                <w:color w:val="auto"/>
                <w:sz w:val="24"/>
                <w:szCs w:val="24"/>
                <w:lang w:val="en-US" w:eastAsia="zh-CN"/>
              </w:rPr>
              <w:t>DA001</w:t>
            </w:r>
            <w:r>
              <w:rPr>
                <w:rFonts w:hint="default" w:ascii="Times New Roman" w:hAnsi="Times New Roman" w:eastAsia="宋体" w:cs="Times New Roman"/>
                <w:color w:val="auto"/>
                <w:sz w:val="24"/>
                <w:szCs w:val="24"/>
              </w:rPr>
              <w:t>排放</w:t>
            </w:r>
          </w:p>
        </w:tc>
        <w:tc>
          <w:tcPr>
            <w:tcW w:w="1757" w:type="dxa"/>
            <w:vMerge w:val="restart"/>
            <w:vAlign w:val="center"/>
          </w:tcPr>
          <w:p w14:paraId="01D59697">
            <w:pPr>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江苏省地标《大气污染物综合排放标准》（DB32/4041-2021）</w:t>
            </w:r>
            <w:r>
              <w:rPr>
                <w:rFonts w:hint="eastAsia" w:ascii="Times New Roman" w:hAnsi="Times New Roman" w:eastAsia="宋体" w:cs="Times New Roman"/>
                <w:color w:val="auto"/>
                <w:sz w:val="24"/>
                <w:szCs w:val="24"/>
                <w:lang w:val="en-US" w:eastAsia="zh-CN"/>
              </w:rPr>
              <w:t>、《恶臭污染物排放标准》（GB 14554-93）</w:t>
            </w:r>
          </w:p>
        </w:tc>
      </w:tr>
      <w:tr w14:paraId="454E83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left w:val="single" w:color="auto" w:sz="4" w:space="0"/>
            </w:tcBorders>
            <w:vAlign w:val="center"/>
          </w:tcPr>
          <w:p w14:paraId="44DA9712">
            <w:pPr>
              <w:adjustRightInd w:val="0"/>
              <w:snapToGrid w:val="0"/>
              <w:jc w:val="center"/>
              <w:rPr>
                <w:rFonts w:hint="default" w:ascii="Times New Roman" w:hAnsi="Times New Roman" w:eastAsia="宋体" w:cs="Times New Roman"/>
                <w:color w:val="auto"/>
                <w:sz w:val="24"/>
                <w:szCs w:val="24"/>
              </w:rPr>
            </w:pPr>
          </w:p>
        </w:tc>
        <w:tc>
          <w:tcPr>
            <w:tcW w:w="917" w:type="dxa"/>
            <w:vMerge w:val="continue"/>
            <w:tcBorders>
              <w:right w:val="single" w:color="auto" w:sz="4" w:space="0"/>
            </w:tcBorders>
            <w:vAlign w:val="center"/>
          </w:tcPr>
          <w:p w14:paraId="61EE6DA1">
            <w:pPr>
              <w:adjustRightInd w:val="0"/>
              <w:snapToGrid w:val="0"/>
              <w:jc w:val="center"/>
              <w:rPr>
                <w:rFonts w:hint="default" w:ascii="Times New Roman" w:hAnsi="Times New Roman" w:eastAsia="宋体" w:cs="Times New Roman"/>
                <w:color w:val="auto"/>
                <w:sz w:val="24"/>
                <w:szCs w:val="24"/>
              </w:rPr>
            </w:pPr>
          </w:p>
        </w:tc>
        <w:tc>
          <w:tcPr>
            <w:tcW w:w="1078" w:type="dxa"/>
            <w:tcBorders>
              <w:left w:val="single" w:color="auto" w:sz="4" w:space="0"/>
            </w:tcBorders>
            <w:vAlign w:val="center"/>
          </w:tcPr>
          <w:p w14:paraId="6AA2380E">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DA00</w:t>
            </w:r>
            <w:r>
              <w:rPr>
                <w:rFonts w:hint="default"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rPr>
              <w:t>排气筒</w:t>
            </w:r>
          </w:p>
        </w:tc>
        <w:tc>
          <w:tcPr>
            <w:tcW w:w="1548" w:type="dxa"/>
            <w:vAlign w:val="center"/>
          </w:tcPr>
          <w:p w14:paraId="47D8EAD6">
            <w:pPr>
              <w:adjustRightInd w:val="0"/>
              <w:snapToGrid w:val="0"/>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val="en-US" w:eastAsia="zh-CN"/>
              </w:rPr>
              <w:t>颗粒物</w:t>
            </w:r>
          </w:p>
        </w:tc>
        <w:tc>
          <w:tcPr>
            <w:tcW w:w="1962" w:type="dxa"/>
            <w:vAlign w:val="center"/>
          </w:tcPr>
          <w:p w14:paraId="7642C251">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集气罩+三级静电油雾净化装置+20</w:t>
            </w:r>
            <w:r>
              <w:rPr>
                <w:rFonts w:hint="default" w:ascii="Times New Roman" w:hAnsi="Times New Roman" w:eastAsia="宋体" w:cs="Times New Roman"/>
                <w:color w:val="auto"/>
                <w:sz w:val="24"/>
                <w:szCs w:val="24"/>
              </w:rPr>
              <w:t>m高排气筒</w:t>
            </w:r>
            <w:r>
              <w:rPr>
                <w:rFonts w:hint="default" w:ascii="Times New Roman" w:hAnsi="Times New Roman" w:eastAsia="宋体" w:cs="Times New Roman"/>
                <w:color w:val="auto"/>
                <w:sz w:val="24"/>
                <w:szCs w:val="24"/>
                <w:lang w:val="en-US" w:eastAsia="zh-CN"/>
              </w:rPr>
              <w:t>DA002</w:t>
            </w:r>
            <w:r>
              <w:rPr>
                <w:rFonts w:hint="default" w:ascii="Times New Roman" w:hAnsi="Times New Roman" w:eastAsia="宋体" w:cs="Times New Roman"/>
                <w:color w:val="auto"/>
                <w:sz w:val="24"/>
                <w:szCs w:val="24"/>
              </w:rPr>
              <w:t>排放</w:t>
            </w:r>
          </w:p>
        </w:tc>
        <w:tc>
          <w:tcPr>
            <w:tcW w:w="1757" w:type="dxa"/>
            <w:vMerge w:val="continue"/>
            <w:vAlign w:val="center"/>
          </w:tcPr>
          <w:p w14:paraId="755F0303">
            <w:pPr>
              <w:snapToGrid w:val="0"/>
              <w:jc w:val="center"/>
              <w:rPr>
                <w:rFonts w:hint="default" w:ascii="Times New Roman" w:hAnsi="Times New Roman" w:eastAsia="宋体" w:cs="Times New Roman"/>
                <w:color w:val="auto"/>
                <w:sz w:val="24"/>
                <w:szCs w:val="24"/>
              </w:rPr>
            </w:pPr>
          </w:p>
        </w:tc>
      </w:tr>
      <w:tr w14:paraId="578733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left w:val="single" w:color="auto" w:sz="4" w:space="0"/>
            </w:tcBorders>
            <w:vAlign w:val="center"/>
          </w:tcPr>
          <w:p w14:paraId="3EFEA4E7">
            <w:pPr>
              <w:adjustRightInd w:val="0"/>
              <w:snapToGrid w:val="0"/>
              <w:jc w:val="center"/>
              <w:rPr>
                <w:rFonts w:hint="default" w:ascii="Times New Roman" w:hAnsi="Times New Roman" w:eastAsia="宋体" w:cs="Times New Roman"/>
                <w:color w:val="auto"/>
                <w:sz w:val="24"/>
                <w:szCs w:val="24"/>
              </w:rPr>
            </w:pPr>
          </w:p>
        </w:tc>
        <w:tc>
          <w:tcPr>
            <w:tcW w:w="917" w:type="dxa"/>
            <w:vMerge w:val="continue"/>
            <w:tcBorders>
              <w:right w:val="single" w:color="auto" w:sz="4" w:space="0"/>
            </w:tcBorders>
            <w:vAlign w:val="center"/>
          </w:tcPr>
          <w:p w14:paraId="3E2FED13">
            <w:pPr>
              <w:adjustRightInd w:val="0"/>
              <w:snapToGrid w:val="0"/>
              <w:jc w:val="center"/>
              <w:rPr>
                <w:rFonts w:hint="default" w:ascii="Times New Roman" w:hAnsi="Times New Roman" w:eastAsia="宋体" w:cs="Times New Roman"/>
                <w:color w:val="auto"/>
                <w:sz w:val="24"/>
                <w:szCs w:val="24"/>
              </w:rPr>
            </w:pPr>
          </w:p>
        </w:tc>
        <w:tc>
          <w:tcPr>
            <w:tcW w:w="1078" w:type="dxa"/>
            <w:tcBorders>
              <w:left w:val="single" w:color="auto" w:sz="4" w:space="0"/>
            </w:tcBorders>
            <w:vAlign w:val="center"/>
          </w:tcPr>
          <w:p w14:paraId="1A60AA87">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DA00</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排气筒</w:t>
            </w:r>
          </w:p>
        </w:tc>
        <w:tc>
          <w:tcPr>
            <w:tcW w:w="1548" w:type="dxa"/>
            <w:vAlign w:val="center"/>
          </w:tcPr>
          <w:p w14:paraId="58189B20">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氨气</w:t>
            </w:r>
          </w:p>
        </w:tc>
        <w:tc>
          <w:tcPr>
            <w:tcW w:w="1962" w:type="dxa"/>
            <w:vAlign w:val="center"/>
          </w:tcPr>
          <w:p w14:paraId="11C125F3">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集气罩+</w:t>
            </w:r>
            <w:r>
              <w:rPr>
                <w:rFonts w:hint="eastAsia" w:ascii="Times New Roman" w:hAnsi="Times New Roman" w:eastAsia="宋体" w:cs="Times New Roman"/>
                <w:color w:val="auto"/>
                <w:sz w:val="24"/>
                <w:szCs w:val="24"/>
                <w:lang w:val="en-US" w:eastAsia="zh-CN"/>
              </w:rPr>
              <w:t>水喷淋塔</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m高排气筒</w:t>
            </w:r>
            <w:r>
              <w:rPr>
                <w:rFonts w:hint="default" w:ascii="Times New Roman" w:hAnsi="Times New Roman" w:eastAsia="宋体" w:cs="Times New Roman"/>
                <w:color w:val="auto"/>
                <w:sz w:val="24"/>
                <w:szCs w:val="24"/>
                <w:lang w:val="en-US" w:eastAsia="zh-CN"/>
              </w:rPr>
              <w:t>DA00</w:t>
            </w:r>
            <w:r>
              <w:rPr>
                <w:rFonts w:hint="eastAsia" w:ascii="Times New Roman" w:hAnsi="Times New Roman" w:eastAsia="宋体" w:cs="Times New Roman"/>
                <w:color w:val="auto"/>
                <w:sz w:val="24"/>
                <w:szCs w:val="24"/>
                <w:lang w:val="en-US" w:eastAsia="zh-CN"/>
              </w:rPr>
              <w:t>3</w:t>
            </w:r>
            <w:r>
              <w:rPr>
                <w:rFonts w:hint="default" w:ascii="Times New Roman" w:hAnsi="Times New Roman" w:eastAsia="宋体" w:cs="Times New Roman"/>
                <w:color w:val="auto"/>
                <w:sz w:val="24"/>
                <w:szCs w:val="24"/>
              </w:rPr>
              <w:t>排放</w:t>
            </w:r>
          </w:p>
        </w:tc>
        <w:tc>
          <w:tcPr>
            <w:tcW w:w="1757" w:type="dxa"/>
            <w:vMerge w:val="continue"/>
            <w:vAlign w:val="center"/>
          </w:tcPr>
          <w:p w14:paraId="436166E1">
            <w:pPr>
              <w:snapToGrid w:val="0"/>
              <w:jc w:val="center"/>
              <w:rPr>
                <w:rFonts w:hint="default" w:ascii="Times New Roman" w:hAnsi="Times New Roman" w:eastAsia="宋体" w:cs="Times New Roman"/>
                <w:color w:val="auto"/>
                <w:sz w:val="24"/>
                <w:szCs w:val="24"/>
              </w:rPr>
            </w:pPr>
          </w:p>
        </w:tc>
      </w:tr>
      <w:tr w14:paraId="48A9FB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left w:val="single" w:color="auto" w:sz="4" w:space="0"/>
            </w:tcBorders>
            <w:vAlign w:val="center"/>
          </w:tcPr>
          <w:p w14:paraId="171FB580">
            <w:pPr>
              <w:adjustRightInd w:val="0"/>
              <w:snapToGrid w:val="0"/>
              <w:jc w:val="center"/>
              <w:rPr>
                <w:rFonts w:hint="default" w:ascii="Times New Roman" w:hAnsi="Times New Roman" w:eastAsia="宋体" w:cs="Times New Roman"/>
                <w:color w:val="auto"/>
                <w:sz w:val="24"/>
                <w:szCs w:val="24"/>
              </w:rPr>
            </w:pPr>
          </w:p>
        </w:tc>
        <w:tc>
          <w:tcPr>
            <w:tcW w:w="917" w:type="dxa"/>
            <w:vMerge w:val="continue"/>
            <w:tcBorders>
              <w:right w:val="single" w:color="auto" w:sz="4" w:space="0"/>
            </w:tcBorders>
            <w:vAlign w:val="center"/>
          </w:tcPr>
          <w:p w14:paraId="789D85DD">
            <w:pPr>
              <w:adjustRightInd w:val="0"/>
              <w:snapToGrid w:val="0"/>
              <w:jc w:val="center"/>
              <w:rPr>
                <w:rFonts w:hint="default" w:ascii="Times New Roman" w:hAnsi="Times New Roman" w:eastAsia="宋体" w:cs="Times New Roman"/>
                <w:color w:val="auto"/>
                <w:sz w:val="24"/>
                <w:szCs w:val="24"/>
              </w:rPr>
            </w:pPr>
          </w:p>
        </w:tc>
        <w:tc>
          <w:tcPr>
            <w:tcW w:w="1078" w:type="dxa"/>
            <w:tcBorders>
              <w:left w:val="single" w:color="auto" w:sz="4" w:space="0"/>
            </w:tcBorders>
            <w:vAlign w:val="center"/>
          </w:tcPr>
          <w:p w14:paraId="18D6C655">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DA00</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排气筒</w:t>
            </w:r>
          </w:p>
        </w:tc>
        <w:tc>
          <w:tcPr>
            <w:tcW w:w="1548" w:type="dxa"/>
            <w:vAlign w:val="center"/>
          </w:tcPr>
          <w:p w14:paraId="51A06616">
            <w:pPr>
              <w:adjustRightInd w:val="0"/>
              <w:snapToGrid w:val="0"/>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颗粒物</w:t>
            </w:r>
          </w:p>
        </w:tc>
        <w:tc>
          <w:tcPr>
            <w:tcW w:w="1962" w:type="dxa"/>
            <w:vAlign w:val="center"/>
          </w:tcPr>
          <w:p w14:paraId="610EBE94">
            <w:pPr>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val="en-US" w:eastAsia="zh-CN"/>
              </w:rPr>
              <w:t>设备自带除尘设施（布袋除尘器）处理后通过</w:t>
            </w:r>
            <w:r>
              <w:rPr>
                <w:rFonts w:hint="default" w:ascii="Times New Roman" w:hAnsi="Times New Roman" w:eastAsia="宋体" w:cs="Times New Roman"/>
                <w:color w:val="auto"/>
                <w:sz w:val="24"/>
                <w:szCs w:val="24"/>
                <w:lang w:val="en-US" w:eastAsia="zh-CN"/>
              </w:rPr>
              <w:t>20</w:t>
            </w:r>
            <w:r>
              <w:rPr>
                <w:rFonts w:hint="default" w:ascii="Times New Roman" w:hAnsi="Times New Roman" w:eastAsia="宋体" w:cs="Times New Roman"/>
                <w:color w:val="auto"/>
                <w:sz w:val="24"/>
                <w:szCs w:val="24"/>
              </w:rPr>
              <w:t>m高排气筒</w:t>
            </w:r>
            <w:r>
              <w:rPr>
                <w:rFonts w:hint="default" w:ascii="Times New Roman" w:hAnsi="Times New Roman" w:eastAsia="宋体" w:cs="Times New Roman"/>
                <w:color w:val="auto"/>
                <w:sz w:val="24"/>
                <w:szCs w:val="24"/>
                <w:lang w:val="en-US" w:eastAsia="zh-CN"/>
              </w:rPr>
              <w:t>DA00</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排放</w:t>
            </w:r>
          </w:p>
        </w:tc>
        <w:tc>
          <w:tcPr>
            <w:tcW w:w="1757" w:type="dxa"/>
            <w:vMerge w:val="continue"/>
            <w:vAlign w:val="center"/>
          </w:tcPr>
          <w:p w14:paraId="1DE45923">
            <w:pPr>
              <w:snapToGrid w:val="0"/>
              <w:jc w:val="center"/>
              <w:rPr>
                <w:rFonts w:hint="default" w:ascii="Times New Roman" w:hAnsi="Times New Roman" w:eastAsia="宋体" w:cs="Times New Roman"/>
                <w:color w:val="auto"/>
                <w:sz w:val="24"/>
                <w:szCs w:val="24"/>
                <w:highlight w:val="none"/>
              </w:rPr>
            </w:pPr>
          </w:p>
        </w:tc>
      </w:tr>
      <w:tr w14:paraId="271CCCB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38" w:type="dxa"/>
            <w:vMerge w:val="continue"/>
            <w:tcBorders>
              <w:left w:val="single" w:color="auto" w:sz="4" w:space="0"/>
            </w:tcBorders>
            <w:vAlign w:val="center"/>
          </w:tcPr>
          <w:p w14:paraId="4E1FE99B">
            <w:pPr>
              <w:adjustRightInd w:val="0"/>
              <w:snapToGrid w:val="0"/>
              <w:jc w:val="center"/>
              <w:rPr>
                <w:rFonts w:hint="default" w:ascii="Times New Roman" w:hAnsi="Times New Roman" w:eastAsia="宋体" w:cs="Times New Roman"/>
                <w:color w:val="auto"/>
                <w:sz w:val="24"/>
                <w:szCs w:val="24"/>
              </w:rPr>
            </w:pPr>
          </w:p>
        </w:tc>
        <w:tc>
          <w:tcPr>
            <w:tcW w:w="917" w:type="dxa"/>
            <w:vMerge w:val="restart"/>
            <w:tcBorders>
              <w:right w:val="single" w:color="auto" w:sz="4" w:space="0"/>
            </w:tcBorders>
            <w:vAlign w:val="center"/>
          </w:tcPr>
          <w:p w14:paraId="79DDF0DF">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无组织</w:t>
            </w:r>
          </w:p>
        </w:tc>
        <w:tc>
          <w:tcPr>
            <w:tcW w:w="1078" w:type="dxa"/>
            <w:tcBorders>
              <w:left w:val="single" w:color="auto" w:sz="4" w:space="0"/>
            </w:tcBorders>
            <w:vAlign w:val="center"/>
          </w:tcPr>
          <w:p w14:paraId="53825642">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w:t>
            </w:r>
          </w:p>
        </w:tc>
        <w:tc>
          <w:tcPr>
            <w:tcW w:w="1548" w:type="dxa"/>
            <w:vAlign w:val="center"/>
          </w:tcPr>
          <w:p w14:paraId="532F7025">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非甲烷总烃</w:t>
            </w:r>
            <w:r>
              <w:rPr>
                <w:rFonts w:hint="default"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颗粒物、氨气、臭气浓度</w:t>
            </w:r>
          </w:p>
        </w:tc>
        <w:tc>
          <w:tcPr>
            <w:tcW w:w="1962" w:type="dxa"/>
            <w:vAlign w:val="center"/>
          </w:tcPr>
          <w:p w14:paraId="6EF778C8">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757" w:type="dxa"/>
            <w:vMerge w:val="continue"/>
            <w:vAlign w:val="center"/>
          </w:tcPr>
          <w:p w14:paraId="50586311">
            <w:pPr>
              <w:snapToGrid w:val="0"/>
              <w:jc w:val="center"/>
              <w:rPr>
                <w:rFonts w:hint="default" w:ascii="Times New Roman" w:hAnsi="Times New Roman" w:eastAsia="宋体" w:cs="Times New Roman"/>
                <w:color w:val="auto"/>
                <w:sz w:val="24"/>
                <w:szCs w:val="24"/>
                <w:highlight w:val="none"/>
              </w:rPr>
            </w:pPr>
          </w:p>
        </w:tc>
      </w:tr>
      <w:tr w14:paraId="19BC97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538" w:type="dxa"/>
            <w:vMerge w:val="continue"/>
            <w:tcBorders>
              <w:left w:val="single" w:color="auto" w:sz="4" w:space="0"/>
            </w:tcBorders>
            <w:vAlign w:val="center"/>
          </w:tcPr>
          <w:p w14:paraId="1EC6E941">
            <w:pPr>
              <w:adjustRightInd w:val="0"/>
              <w:snapToGrid w:val="0"/>
              <w:jc w:val="center"/>
              <w:rPr>
                <w:rFonts w:hint="default" w:ascii="Times New Roman" w:hAnsi="Times New Roman" w:eastAsia="宋体" w:cs="Times New Roman"/>
                <w:color w:val="auto"/>
                <w:sz w:val="24"/>
                <w:szCs w:val="24"/>
              </w:rPr>
            </w:pPr>
          </w:p>
        </w:tc>
        <w:tc>
          <w:tcPr>
            <w:tcW w:w="917" w:type="dxa"/>
            <w:vMerge w:val="continue"/>
            <w:tcBorders>
              <w:right w:val="single" w:color="auto" w:sz="4" w:space="0"/>
            </w:tcBorders>
            <w:vAlign w:val="center"/>
          </w:tcPr>
          <w:p w14:paraId="2B27FE0E">
            <w:pPr>
              <w:adjustRightInd w:val="0"/>
              <w:snapToGrid w:val="0"/>
              <w:jc w:val="center"/>
              <w:rPr>
                <w:rFonts w:hint="default" w:ascii="Times New Roman" w:hAnsi="Times New Roman" w:eastAsia="宋体" w:cs="Times New Roman"/>
                <w:color w:val="auto"/>
                <w:sz w:val="24"/>
                <w:szCs w:val="24"/>
              </w:rPr>
            </w:pPr>
          </w:p>
        </w:tc>
        <w:tc>
          <w:tcPr>
            <w:tcW w:w="1078" w:type="dxa"/>
            <w:tcBorders>
              <w:left w:val="single" w:color="auto" w:sz="4" w:space="0"/>
            </w:tcBorders>
            <w:vAlign w:val="center"/>
          </w:tcPr>
          <w:p w14:paraId="13430160">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厂区内</w:t>
            </w:r>
          </w:p>
        </w:tc>
        <w:tc>
          <w:tcPr>
            <w:tcW w:w="1548" w:type="dxa"/>
            <w:vAlign w:val="center"/>
          </w:tcPr>
          <w:p w14:paraId="0CF287A4">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非甲烷总烃</w:t>
            </w:r>
          </w:p>
        </w:tc>
        <w:tc>
          <w:tcPr>
            <w:tcW w:w="1962" w:type="dxa"/>
            <w:vAlign w:val="center"/>
          </w:tcPr>
          <w:p w14:paraId="5E5BEAEB">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757" w:type="dxa"/>
            <w:vMerge w:val="continue"/>
            <w:vAlign w:val="center"/>
          </w:tcPr>
          <w:p w14:paraId="544631FC">
            <w:pPr>
              <w:snapToGrid w:val="0"/>
              <w:jc w:val="center"/>
              <w:rPr>
                <w:rFonts w:hint="default" w:ascii="Times New Roman" w:hAnsi="Times New Roman" w:eastAsia="宋体" w:cs="Times New Roman"/>
                <w:color w:val="auto"/>
                <w:sz w:val="24"/>
                <w:szCs w:val="24"/>
                <w:highlight w:val="yellow"/>
              </w:rPr>
            </w:pPr>
          </w:p>
        </w:tc>
      </w:tr>
      <w:tr w14:paraId="407250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restart"/>
            <w:tcBorders>
              <w:top w:val="single" w:color="auto" w:sz="4" w:space="0"/>
              <w:left w:val="single" w:color="auto" w:sz="4" w:space="0"/>
            </w:tcBorders>
            <w:vAlign w:val="center"/>
          </w:tcPr>
          <w:p w14:paraId="7D8B7D48">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地表水环境</w:t>
            </w:r>
          </w:p>
        </w:tc>
        <w:tc>
          <w:tcPr>
            <w:tcW w:w="1995" w:type="dxa"/>
            <w:gridSpan w:val="2"/>
            <w:vAlign w:val="center"/>
          </w:tcPr>
          <w:p w14:paraId="5E2A1092">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生活污水</w:t>
            </w:r>
          </w:p>
        </w:tc>
        <w:tc>
          <w:tcPr>
            <w:tcW w:w="1548" w:type="dxa"/>
            <w:vAlign w:val="center"/>
          </w:tcPr>
          <w:p w14:paraId="647521EA">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pH、COD、SS、氨氮、总磷、总氮</w:t>
            </w:r>
          </w:p>
        </w:tc>
        <w:tc>
          <w:tcPr>
            <w:tcW w:w="1962" w:type="dxa"/>
            <w:vAlign w:val="center"/>
          </w:tcPr>
          <w:p w14:paraId="29657356">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经化粪池预处理后接管至</w:t>
            </w:r>
            <w:r>
              <w:rPr>
                <w:rFonts w:hint="default" w:ascii="Times New Roman" w:hAnsi="Times New Roman" w:eastAsia="宋体" w:cs="Times New Roman"/>
                <w:color w:val="auto"/>
                <w:sz w:val="24"/>
                <w:szCs w:val="24"/>
              </w:rPr>
              <w:t>常州市金坛区第二污水处理厂集中处理</w:t>
            </w:r>
          </w:p>
        </w:tc>
        <w:tc>
          <w:tcPr>
            <w:tcW w:w="1757" w:type="dxa"/>
            <w:vAlign w:val="center"/>
          </w:tcPr>
          <w:p w14:paraId="799003F1">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金坛区第二污水处理厂</w:t>
            </w:r>
            <w:r>
              <w:rPr>
                <w:rFonts w:hint="default" w:ascii="Times New Roman" w:hAnsi="Times New Roman" w:eastAsia="宋体" w:cs="Times New Roman"/>
                <w:color w:val="auto"/>
                <w:sz w:val="24"/>
                <w:szCs w:val="24"/>
                <w:lang w:val="en-US" w:eastAsia="zh-CN"/>
              </w:rPr>
              <w:t>接管标准</w:t>
            </w:r>
          </w:p>
        </w:tc>
      </w:tr>
      <w:tr w14:paraId="4F558F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vMerge w:val="continue"/>
            <w:tcBorders>
              <w:left w:val="single" w:color="auto" w:sz="4" w:space="0"/>
            </w:tcBorders>
            <w:vAlign w:val="center"/>
          </w:tcPr>
          <w:p w14:paraId="1AA0BD9C">
            <w:pPr>
              <w:adjustRightInd w:val="0"/>
              <w:snapToGrid w:val="0"/>
              <w:jc w:val="center"/>
              <w:rPr>
                <w:rFonts w:hint="default" w:ascii="Times New Roman" w:hAnsi="Times New Roman" w:eastAsia="宋体" w:cs="Times New Roman"/>
                <w:color w:val="auto"/>
                <w:sz w:val="24"/>
                <w:szCs w:val="24"/>
              </w:rPr>
            </w:pPr>
          </w:p>
        </w:tc>
        <w:tc>
          <w:tcPr>
            <w:tcW w:w="1995" w:type="dxa"/>
            <w:gridSpan w:val="2"/>
            <w:vAlign w:val="center"/>
          </w:tcPr>
          <w:p w14:paraId="0BA90070">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清洗</w:t>
            </w:r>
            <w:r>
              <w:rPr>
                <w:rFonts w:hint="default" w:ascii="Times New Roman" w:hAnsi="Times New Roman" w:eastAsia="宋体" w:cs="Times New Roman"/>
                <w:color w:val="auto"/>
                <w:sz w:val="24"/>
                <w:szCs w:val="24"/>
              </w:rPr>
              <w:t>废水</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水喷淋塔废水</w:t>
            </w:r>
          </w:p>
        </w:tc>
        <w:tc>
          <w:tcPr>
            <w:tcW w:w="1548" w:type="dxa"/>
            <w:vAlign w:val="center"/>
          </w:tcPr>
          <w:p w14:paraId="4E3D9938">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COD、SS、</w:t>
            </w:r>
            <w:r>
              <w:rPr>
                <w:rFonts w:hint="eastAsia" w:ascii="Times New Roman" w:hAnsi="Times New Roman" w:eastAsia="宋体" w:cs="Times New Roman"/>
                <w:color w:val="auto"/>
                <w:sz w:val="24"/>
                <w:szCs w:val="24"/>
                <w:lang w:val="en-US" w:eastAsia="zh-CN"/>
              </w:rPr>
              <w:t>溶解性总固体</w:t>
            </w:r>
          </w:p>
        </w:tc>
        <w:tc>
          <w:tcPr>
            <w:tcW w:w="1962" w:type="dxa"/>
            <w:vAlign w:val="center"/>
          </w:tcPr>
          <w:p w14:paraId="4A6DF798">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经污水处理站处理后回用到清洗工艺和水喷淋塔</w:t>
            </w:r>
          </w:p>
        </w:tc>
        <w:tc>
          <w:tcPr>
            <w:tcW w:w="1757" w:type="dxa"/>
            <w:vAlign w:val="center"/>
          </w:tcPr>
          <w:p w14:paraId="194C44DA">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《城市污水再生利用 工业用水水质》（GB/T 19923-2024代替GB/T 19923-2005）表1中直流冷却水、洗涤用水</w:t>
            </w:r>
          </w:p>
        </w:tc>
      </w:tr>
      <w:tr w14:paraId="25EC47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restart"/>
            <w:tcBorders>
              <w:top w:val="single" w:color="auto" w:sz="4" w:space="0"/>
              <w:left w:val="single" w:color="auto" w:sz="4" w:space="0"/>
            </w:tcBorders>
            <w:vAlign w:val="center"/>
          </w:tcPr>
          <w:p w14:paraId="064E6039">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固体废物</w:t>
            </w:r>
          </w:p>
        </w:tc>
        <w:tc>
          <w:tcPr>
            <w:tcW w:w="1995" w:type="dxa"/>
            <w:gridSpan w:val="2"/>
            <w:vAlign w:val="center"/>
          </w:tcPr>
          <w:p w14:paraId="4AD13AC5">
            <w:pPr>
              <w:jc w:val="center"/>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kern w:val="2"/>
                <w:sz w:val="24"/>
                <w:szCs w:val="24"/>
                <w:lang w:val="en-US" w:eastAsia="zh-CN" w:bidi="ar-SA"/>
              </w:rPr>
              <w:t>喷砂</w:t>
            </w:r>
          </w:p>
        </w:tc>
        <w:tc>
          <w:tcPr>
            <w:tcW w:w="1548" w:type="dxa"/>
            <w:tcBorders>
              <w:bottom w:val="single" w:color="auto" w:sz="4" w:space="0"/>
            </w:tcBorders>
            <w:vAlign w:val="center"/>
          </w:tcPr>
          <w:p w14:paraId="6398A94B">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b w:val="0"/>
                <w:bCs/>
                <w:color w:val="auto"/>
                <w:sz w:val="24"/>
                <w:szCs w:val="24"/>
              </w:rPr>
              <w:t>废</w:t>
            </w:r>
            <w:r>
              <w:rPr>
                <w:rFonts w:hint="eastAsia" w:ascii="Times New Roman" w:hAnsi="Times New Roman" w:eastAsia="宋体" w:cs="Times New Roman"/>
                <w:b w:val="0"/>
                <w:bCs/>
                <w:color w:val="auto"/>
                <w:sz w:val="24"/>
                <w:szCs w:val="24"/>
                <w:lang w:val="en-US" w:eastAsia="zh-CN"/>
              </w:rPr>
              <w:t>金刚砂</w:t>
            </w:r>
          </w:p>
        </w:tc>
        <w:tc>
          <w:tcPr>
            <w:tcW w:w="1962" w:type="dxa"/>
            <w:vMerge w:val="restart"/>
            <w:vAlign w:val="center"/>
          </w:tcPr>
          <w:p w14:paraId="0A30DB9A">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外售综合利用</w:t>
            </w:r>
          </w:p>
        </w:tc>
        <w:tc>
          <w:tcPr>
            <w:tcW w:w="1757" w:type="dxa"/>
            <w:vMerge w:val="restart"/>
            <w:vAlign w:val="center"/>
          </w:tcPr>
          <w:p w14:paraId="2B1DD00D">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有效处置</w:t>
            </w:r>
          </w:p>
        </w:tc>
      </w:tr>
      <w:tr w14:paraId="207430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5740ADE8">
            <w:pPr>
              <w:adjustRightInd w:val="0"/>
              <w:snapToGrid w:val="0"/>
              <w:jc w:val="center"/>
              <w:rPr>
                <w:rFonts w:hint="default" w:ascii="Times New Roman" w:hAnsi="Times New Roman" w:eastAsia="宋体" w:cs="Times New Roman"/>
                <w:color w:val="auto"/>
                <w:sz w:val="24"/>
                <w:szCs w:val="24"/>
              </w:rPr>
            </w:pPr>
          </w:p>
        </w:tc>
        <w:tc>
          <w:tcPr>
            <w:tcW w:w="1995" w:type="dxa"/>
            <w:gridSpan w:val="2"/>
            <w:vMerge w:val="restart"/>
            <w:vAlign w:val="center"/>
          </w:tcPr>
          <w:p w14:paraId="01F0587E">
            <w:pPr>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废气处理</w:t>
            </w:r>
          </w:p>
        </w:tc>
        <w:tc>
          <w:tcPr>
            <w:tcW w:w="1548" w:type="dxa"/>
            <w:tcBorders>
              <w:bottom w:val="single" w:color="auto" w:sz="4" w:space="0"/>
            </w:tcBorders>
            <w:vAlign w:val="center"/>
          </w:tcPr>
          <w:p w14:paraId="77F68031">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废布袋</w:t>
            </w:r>
          </w:p>
        </w:tc>
        <w:tc>
          <w:tcPr>
            <w:tcW w:w="1962" w:type="dxa"/>
            <w:vMerge w:val="continue"/>
            <w:vAlign w:val="center"/>
          </w:tcPr>
          <w:p w14:paraId="3055A1F5">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12938054">
            <w:pPr>
              <w:adjustRightInd w:val="0"/>
              <w:snapToGrid w:val="0"/>
              <w:jc w:val="center"/>
              <w:rPr>
                <w:rFonts w:hint="default" w:ascii="Times New Roman" w:hAnsi="Times New Roman" w:eastAsia="宋体" w:cs="Times New Roman"/>
                <w:color w:val="auto"/>
                <w:sz w:val="24"/>
                <w:szCs w:val="24"/>
              </w:rPr>
            </w:pPr>
          </w:p>
        </w:tc>
      </w:tr>
      <w:tr w14:paraId="066AB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77E9EFA6">
            <w:pPr>
              <w:adjustRightInd w:val="0"/>
              <w:snapToGrid w:val="0"/>
              <w:jc w:val="center"/>
              <w:rPr>
                <w:rFonts w:hint="default" w:ascii="Times New Roman" w:hAnsi="Times New Roman" w:eastAsia="宋体" w:cs="Times New Roman"/>
                <w:color w:val="auto"/>
                <w:sz w:val="24"/>
                <w:szCs w:val="24"/>
              </w:rPr>
            </w:pPr>
          </w:p>
        </w:tc>
        <w:tc>
          <w:tcPr>
            <w:tcW w:w="1995" w:type="dxa"/>
            <w:gridSpan w:val="2"/>
            <w:vMerge w:val="continue"/>
            <w:vAlign w:val="center"/>
          </w:tcPr>
          <w:p w14:paraId="144D1EC2">
            <w:pPr>
              <w:jc w:val="center"/>
              <w:rPr>
                <w:rFonts w:hint="eastAsia" w:ascii="Times New Roman" w:hAnsi="Times New Roman" w:eastAsia="宋体" w:cs="Times New Roman"/>
                <w:color w:val="auto"/>
                <w:sz w:val="24"/>
                <w:szCs w:val="24"/>
                <w:lang w:val="en-US" w:eastAsia="zh-CN"/>
              </w:rPr>
            </w:pPr>
          </w:p>
        </w:tc>
        <w:tc>
          <w:tcPr>
            <w:tcW w:w="1548" w:type="dxa"/>
            <w:tcBorders>
              <w:bottom w:val="single" w:color="auto" w:sz="4" w:space="0"/>
            </w:tcBorders>
            <w:vAlign w:val="center"/>
          </w:tcPr>
          <w:p w14:paraId="3C5C10C9">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布袋收尘</w:t>
            </w:r>
          </w:p>
        </w:tc>
        <w:tc>
          <w:tcPr>
            <w:tcW w:w="1962" w:type="dxa"/>
            <w:vMerge w:val="continue"/>
            <w:vAlign w:val="center"/>
          </w:tcPr>
          <w:p w14:paraId="62E479D5">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757FE236">
            <w:pPr>
              <w:adjustRightInd w:val="0"/>
              <w:snapToGrid w:val="0"/>
              <w:jc w:val="center"/>
              <w:rPr>
                <w:rFonts w:hint="default" w:ascii="Times New Roman" w:hAnsi="Times New Roman" w:eastAsia="宋体" w:cs="Times New Roman"/>
                <w:color w:val="auto"/>
                <w:sz w:val="24"/>
                <w:szCs w:val="24"/>
              </w:rPr>
            </w:pPr>
          </w:p>
        </w:tc>
      </w:tr>
      <w:tr w14:paraId="5697F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6CD0214E">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4833CE2A">
            <w:pPr>
              <w:jc w:val="center"/>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污水处理</w:t>
            </w:r>
          </w:p>
        </w:tc>
        <w:tc>
          <w:tcPr>
            <w:tcW w:w="1548" w:type="dxa"/>
            <w:tcBorders>
              <w:bottom w:val="single" w:color="auto" w:sz="4" w:space="0"/>
            </w:tcBorders>
            <w:shd w:val="clear" w:color="auto" w:fill="auto"/>
            <w:vAlign w:val="center"/>
          </w:tcPr>
          <w:p w14:paraId="346F6860">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污水处理站污泥和浓液</w:t>
            </w:r>
          </w:p>
        </w:tc>
        <w:tc>
          <w:tcPr>
            <w:tcW w:w="1962" w:type="dxa"/>
            <w:vMerge w:val="restart"/>
            <w:vAlign w:val="center"/>
          </w:tcPr>
          <w:p w14:paraId="47432716">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委托有资质单位处置</w:t>
            </w:r>
          </w:p>
        </w:tc>
        <w:tc>
          <w:tcPr>
            <w:tcW w:w="1757" w:type="dxa"/>
            <w:vMerge w:val="continue"/>
            <w:vAlign w:val="center"/>
          </w:tcPr>
          <w:p w14:paraId="1B80B9EA">
            <w:pPr>
              <w:adjustRightInd w:val="0"/>
              <w:snapToGrid w:val="0"/>
              <w:jc w:val="center"/>
              <w:rPr>
                <w:rFonts w:hint="default" w:ascii="Times New Roman" w:hAnsi="Times New Roman" w:eastAsia="宋体" w:cs="Times New Roman"/>
                <w:color w:val="auto"/>
                <w:sz w:val="24"/>
                <w:szCs w:val="24"/>
              </w:rPr>
            </w:pPr>
          </w:p>
        </w:tc>
      </w:tr>
      <w:tr w14:paraId="41856D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22DCA4D0">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0D873216">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auto"/>
                <w:kern w:val="0"/>
                <w:sz w:val="24"/>
                <w:szCs w:val="24"/>
                <w:u w:val="none"/>
                <w:lang w:val="en-US" w:eastAsia="zh-CN" w:bidi="ar"/>
              </w:rPr>
              <w:t>清洗</w:t>
            </w:r>
          </w:p>
        </w:tc>
        <w:tc>
          <w:tcPr>
            <w:tcW w:w="1548" w:type="dxa"/>
            <w:tcBorders>
              <w:bottom w:val="single" w:color="auto" w:sz="4" w:space="0"/>
            </w:tcBorders>
            <w:shd w:val="clear" w:color="auto" w:fill="auto"/>
            <w:vAlign w:val="center"/>
          </w:tcPr>
          <w:p w14:paraId="64A19CAB">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废清洗剂桶</w:t>
            </w:r>
          </w:p>
        </w:tc>
        <w:tc>
          <w:tcPr>
            <w:tcW w:w="1962" w:type="dxa"/>
            <w:vMerge w:val="continue"/>
            <w:vAlign w:val="center"/>
          </w:tcPr>
          <w:p w14:paraId="017048F7">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40989224">
            <w:pPr>
              <w:adjustRightInd w:val="0"/>
              <w:snapToGrid w:val="0"/>
              <w:jc w:val="center"/>
              <w:rPr>
                <w:rFonts w:hint="default" w:ascii="Times New Roman" w:hAnsi="Times New Roman" w:eastAsia="宋体" w:cs="Times New Roman"/>
                <w:color w:val="auto"/>
                <w:sz w:val="24"/>
                <w:szCs w:val="24"/>
              </w:rPr>
            </w:pPr>
          </w:p>
        </w:tc>
      </w:tr>
      <w:tr w14:paraId="202401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2A181170">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2C342D4F">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auto"/>
                <w:kern w:val="0"/>
                <w:sz w:val="24"/>
                <w:szCs w:val="24"/>
                <w:u w:val="none"/>
                <w:lang w:val="en-US" w:eastAsia="zh-CN" w:bidi="ar"/>
              </w:rPr>
              <w:t>淬火</w:t>
            </w:r>
          </w:p>
        </w:tc>
        <w:tc>
          <w:tcPr>
            <w:tcW w:w="1548" w:type="dxa"/>
            <w:tcBorders>
              <w:bottom w:val="single" w:color="auto" w:sz="4" w:space="0"/>
            </w:tcBorders>
            <w:shd w:val="clear" w:color="auto" w:fill="auto"/>
            <w:vAlign w:val="center"/>
          </w:tcPr>
          <w:p w14:paraId="10A732E8">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废</w:t>
            </w:r>
            <w:r>
              <w:rPr>
                <w:rFonts w:hint="eastAsia" w:ascii="Times New Roman" w:hAnsi="Times New Roman" w:eastAsia="宋体" w:cs="Times New Roman"/>
                <w:color w:val="auto"/>
                <w:sz w:val="24"/>
                <w:szCs w:val="24"/>
                <w:lang w:val="en-US" w:eastAsia="zh-CN"/>
              </w:rPr>
              <w:t>淬火油</w:t>
            </w:r>
            <w:r>
              <w:rPr>
                <w:rFonts w:hint="default" w:ascii="Times New Roman" w:hAnsi="Times New Roman" w:eastAsia="宋体" w:cs="Times New Roman"/>
                <w:color w:val="auto"/>
                <w:sz w:val="24"/>
                <w:szCs w:val="24"/>
              </w:rPr>
              <w:t>桶</w:t>
            </w:r>
          </w:p>
        </w:tc>
        <w:tc>
          <w:tcPr>
            <w:tcW w:w="1962" w:type="dxa"/>
            <w:vMerge w:val="continue"/>
            <w:vAlign w:val="center"/>
          </w:tcPr>
          <w:p w14:paraId="785E42D8">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6F600EE6">
            <w:pPr>
              <w:adjustRightInd w:val="0"/>
              <w:snapToGrid w:val="0"/>
              <w:jc w:val="center"/>
              <w:rPr>
                <w:rFonts w:hint="default" w:ascii="Times New Roman" w:hAnsi="Times New Roman" w:eastAsia="宋体" w:cs="Times New Roman"/>
                <w:color w:val="auto"/>
                <w:sz w:val="24"/>
                <w:szCs w:val="24"/>
              </w:rPr>
            </w:pPr>
          </w:p>
        </w:tc>
      </w:tr>
      <w:tr w14:paraId="267456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5E3119E1">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00E95672">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auto"/>
                <w:kern w:val="0"/>
                <w:sz w:val="24"/>
                <w:szCs w:val="24"/>
                <w:u w:val="none"/>
                <w:lang w:val="en-US" w:eastAsia="zh-CN" w:bidi="ar"/>
              </w:rPr>
              <w:t>淬火</w:t>
            </w:r>
          </w:p>
        </w:tc>
        <w:tc>
          <w:tcPr>
            <w:tcW w:w="1548" w:type="dxa"/>
            <w:tcBorders>
              <w:bottom w:val="single" w:color="auto" w:sz="4" w:space="0"/>
            </w:tcBorders>
            <w:shd w:val="clear" w:color="auto" w:fill="auto"/>
            <w:vAlign w:val="center"/>
          </w:tcPr>
          <w:p w14:paraId="0D8800AC">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rPr>
              <w:t>废</w:t>
            </w:r>
            <w:r>
              <w:rPr>
                <w:rFonts w:hint="eastAsia" w:ascii="Times New Roman" w:hAnsi="Times New Roman" w:eastAsia="宋体" w:cs="Times New Roman"/>
                <w:color w:val="auto"/>
                <w:sz w:val="24"/>
                <w:szCs w:val="24"/>
                <w:lang w:val="en-US" w:eastAsia="zh-CN"/>
              </w:rPr>
              <w:t>淬火油</w:t>
            </w:r>
          </w:p>
        </w:tc>
        <w:tc>
          <w:tcPr>
            <w:tcW w:w="1962" w:type="dxa"/>
            <w:vMerge w:val="continue"/>
            <w:vAlign w:val="center"/>
          </w:tcPr>
          <w:p w14:paraId="64174B42">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2E265AF9">
            <w:pPr>
              <w:adjustRightInd w:val="0"/>
              <w:snapToGrid w:val="0"/>
              <w:jc w:val="center"/>
              <w:rPr>
                <w:rFonts w:hint="default" w:ascii="Times New Roman" w:hAnsi="Times New Roman" w:eastAsia="宋体" w:cs="Times New Roman"/>
                <w:color w:val="auto"/>
                <w:sz w:val="24"/>
                <w:szCs w:val="24"/>
              </w:rPr>
            </w:pPr>
          </w:p>
        </w:tc>
      </w:tr>
      <w:tr w14:paraId="02931A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0EFB1F03">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1DA25409">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auto"/>
                <w:kern w:val="0"/>
                <w:sz w:val="24"/>
                <w:szCs w:val="24"/>
                <w:u w:val="none"/>
                <w:lang w:val="en-US" w:eastAsia="zh-CN" w:bidi="ar"/>
              </w:rPr>
              <w:t>上油</w:t>
            </w:r>
          </w:p>
        </w:tc>
        <w:tc>
          <w:tcPr>
            <w:tcW w:w="1548" w:type="dxa"/>
            <w:tcBorders>
              <w:bottom w:val="single" w:color="auto" w:sz="4" w:space="0"/>
            </w:tcBorders>
            <w:shd w:val="clear" w:color="auto" w:fill="auto"/>
            <w:vAlign w:val="center"/>
          </w:tcPr>
          <w:p w14:paraId="738A22E3">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废防锈油桶</w:t>
            </w:r>
          </w:p>
        </w:tc>
        <w:tc>
          <w:tcPr>
            <w:tcW w:w="1962" w:type="dxa"/>
            <w:vMerge w:val="continue"/>
            <w:vAlign w:val="center"/>
          </w:tcPr>
          <w:p w14:paraId="56A3F1D5">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27D2526E">
            <w:pPr>
              <w:adjustRightInd w:val="0"/>
              <w:snapToGrid w:val="0"/>
              <w:jc w:val="center"/>
              <w:rPr>
                <w:rFonts w:hint="default" w:ascii="Times New Roman" w:hAnsi="Times New Roman" w:eastAsia="宋体" w:cs="Times New Roman"/>
                <w:color w:val="auto"/>
                <w:sz w:val="24"/>
                <w:szCs w:val="24"/>
              </w:rPr>
            </w:pPr>
          </w:p>
        </w:tc>
      </w:tr>
      <w:tr w14:paraId="6F1F92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6497A5A7">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5D596DC9">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auto"/>
                <w:kern w:val="0"/>
                <w:sz w:val="24"/>
                <w:szCs w:val="24"/>
                <w:u w:val="none"/>
                <w:lang w:val="en-US" w:eastAsia="zh-CN" w:bidi="ar"/>
              </w:rPr>
              <w:t>上油</w:t>
            </w:r>
          </w:p>
        </w:tc>
        <w:tc>
          <w:tcPr>
            <w:tcW w:w="1548" w:type="dxa"/>
            <w:tcBorders>
              <w:bottom w:val="single" w:color="auto" w:sz="4" w:space="0"/>
            </w:tcBorders>
            <w:shd w:val="clear" w:color="auto" w:fill="auto"/>
            <w:vAlign w:val="center"/>
          </w:tcPr>
          <w:p w14:paraId="4391F179">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废防锈油</w:t>
            </w:r>
          </w:p>
        </w:tc>
        <w:tc>
          <w:tcPr>
            <w:tcW w:w="1962" w:type="dxa"/>
            <w:vMerge w:val="continue"/>
            <w:vAlign w:val="center"/>
          </w:tcPr>
          <w:p w14:paraId="467324E2">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442BE048">
            <w:pPr>
              <w:adjustRightInd w:val="0"/>
              <w:snapToGrid w:val="0"/>
              <w:jc w:val="center"/>
              <w:rPr>
                <w:rFonts w:hint="default" w:ascii="Times New Roman" w:hAnsi="Times New Roman" w:eastAsia="宋体" w:cs="Times New Roman"/>
                <w:color w:val="auto"/>
                <w:sz w:val="24"/>
                <w:szCs w:val="24"/>
              </w:rPr>
            </w:pPr>
          </w:p>
        </w:tc>
      </w:tr>
      <w:tr w14:paraId="209F94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46CEEE65">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724C7061">
            <w:pPr>
              <w:keepNext w:val="0"/>
              <w:keepLines w:val="0"/>
              <w:widowControl/>
              <w:suppressLineNumbers w:val="0"/>
              <w:jc w:val="center"/>
              <w:textAlignment w:val="center"/>
              <w:rPr>
                <w:rFonts w:hint="default" w:ascii="Times New Roman" w:hAnsi="Times New Roman" w:eastAsia="宋体" w:cs="Times New Roman"/>
                <w:color w:val="auto"/>
                <w:kern w:val="2"/>
                <w:sz w:val="24"/>
                <w:szCs w:val="24"/>
                <w:lang w:val="en-US" w:eastAsia="zh-CN" w:bidi="ar-SA"/>
              </w:rPr>
            </w:pPr>
            <w:r>
              <w:rPr>
                <w:rFonts w:hint="eastAsia" w:ascii="宋体" w:hAnsi="宋体" w:eastAsia="宋体" w:cs="宋体"/>
                <w:i w:val="0"/>
                <w:iCs w:val="0"/>
                <w:color w:val="auto"/>
                <w:kern w:val="0"/>
                <w:sz w:val="24"/>
                <w:szCs w:val="24"/>
                <w:u w:val="none"/>
                <w:lang w:val="en-US" w:eastAsia="zh-CN" w:bidi="ar"/>
              </w:rPr>
              <w:t>废气处理</w:t>
            </w:r>
          </w:p>
        </w:tc>
        <w:tc>
          <w:tcPr>
            <w:tcW w:w="1548" w:type="dxa"/>
            <w:tcBorders>
              <w:bottom w:val="single" w:color="auto" w:sz="4" w:space="0"/>
            </w:tcBorders>
            <w:shd w:val="clear" w:color="auto" w:fill="auto"/>
            <w:vAlign w:val="center"/>
          </w:tcPr>
          <w:p w14:paraId="7556447E">
            <w:pPr>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废活性炭</w:t>
            </w:r>
          </w:p>
        </w:tc>
        <w:tc>
          <w:tcPr>
            <w:tcW w:w="1962" w:type="dxa"/>
            <w:vMerge w:val="continue"/>
            <w:vAlign w:val="center"/>
          </w:tcPr>
          <w:p w14:paraId="00C81BAE">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70E478DA">
            <w:pPr>
              <w:adjustRightInd w:val="0"/>
              <w:snapToGrid w:val="0"/>
              <w:jc w:val="center"/>
              <w:rPr>
                <w:rFonts w:hint="default" w:ascii="Times New Roman" w:hAnsi="Times New Roman" w:eastAsia="宋体" w:cs="Times New Roman"/>
                <w:color w:val="auto"/>
                <w:sz w:val="24"/>
                <w:szCs w:val="24"/>
              </w:rPr>
            </w:pPr>
          </w:p>
        </w:tc>
      </w:tr>
      <w:tr w14:paraId="6D4401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00DD6C51">
            <w:pPr>
              <w:adjustRightInd w:val="0"/>
              <w:snapToGrid w:val="0"/>
              <w:jc w:val="center"/>
              <w:rPr>
                <w:rFonts w:hint="default" w:ascii="Times New Roman" w:hAnsi="Times New Roman" w:eastAsia="宋体" w:cs="Times New Roman"/>
                <w:color w:val="auto"/>
                <w:sz w:val="24"/>
                <w:szCs w:val="24"/>
              </w:rPr>
            </w:pPr>
          </w:p>
        </w:tc>
        <w:tc>
          <w:tcPr>
            <w:tcW w:w="1995" w:type="dxa"/>
            <w:gridSpan w:val="2"/>
            <w:shd w:val="clear" w:color="auto" w:fill="auto"/>
            <w:vAlign w:val="center"/>
          </w:tcPr>
          <w:p w14:paraId="2F8FE082">
            <w:pPr>
              <w:keepNext w:val="0"/>
              <w:keepLines w:val="0"/>
              <w:widowControl/>
              <w:suppressLineNumbers w:val="0"/>
              <w:jc w:val="center"/>
              <w:textAlignment w:val="center"/>
              <w:rPr>
                <w:rFonts w:hint="default" w:ascii="Times New Roman" w:hAnsi="Times New Roman" w:eastAsia="宋体" w:cs="Times New Roman"/>
                <w:color w:val="auto"/>
                <w:sz w:val="24"/>
                <w:szCs w:val="24"/>
                <w:lang w:val="en-US" w:eastAsia="zh-CN"/>
              </w:rPr>
            </w:pPr>
            <w:r>
              <w:rPr>
                <w:rFonts w:hint="eastAsia" w:ascii="宋体" w:hAnsi="宋体" w:eastAsia="宋体" w:cs="宋体"/>
                <w:i w:val="0"/>
                <w:iCs w:val="0"/>
                <w:color w:val="auto"/>
                <w:kern w:val="0"/>
                <w:sz w:val="24"/>
                <w:szCs w:val="24"/>
                <w:u w:val="none"/>
                <w:lang w:val="en-US" w:eastAsia="zh-CN" w:bidi="ar"/>
              </w:rPr>
              <w:t>设备维护等</w:t>
            </w:r>
          </w:p>
        </w:tc>
        <w:tc>
          <w:tcPr>
            <w:tcW w:w="1548" w:type="dxa"/>
            <w:tcBorders>
              <w:bottom w:val="single" w:color="auto" w:sz="4" w:space="0"/>
            </w:tcBorders>
            <w:shd w:val="clear" w:color="auto" w:fill="auto"/>
            <w:vAlign w:val="center"/>
          </w:tcPr>
          <w:p w14:paraId="20440008">
            <w:pPr>
              <w:jc w:val="center"/>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sz w:val="24"/>
                <w:szCs w:val="24"/>
                <w:lang w:val="en-US" w:eastAsia="zh-CN"/>
              </w:rPr>
              <w:t>含油抹布</w:t>
            </w:r>
          </w:p>
        </w:tc>
        <w:tc>
          <w:tcPr>
            <w:tcW w:w="1962" w:type="dxa"/>
            <w:vMerge w:val="continue"/>
            <w:vAlign w:val="center"/>
          </w:tcPr>
          <w:p w14:paraId="306BC618">
            <w:pPr>
              <w:adjustRightInd w:val="0"/>
              <w:snapToGrid w:val="0"/>
              <w:jc w:val="center"/>
              <w:rPr>
                <w:rFonts w:hint="default" w:ascii="Times New Roman" w:hAnsi="Times New Roman" w:eastAsia="宋体" w:cs="Times New Roman"/>
                <w:color w:val="auto"/>
                <w:sz w:val="24"/>
                <w:szCs w:val="24"/>
              </w:rPr>
            </w:pPr>
          </w:p>
        </w:tc>
        <w:tc>
          <w:tcPr>
            <w:tcW w:w="1757" w:type="dxa"/>
            <w:vMerge w:val="continue"/>
            <w:vAlign w:val="center"/>
          </w:tcPr>
          <w:p w14:paraId="20FBE960">
            <w:pPr>
              <w:adjustRightInd w:val="0"/>
              <w:snapToGrid w:val="0"/>
              <w:jc w:val="center"/>
              <w:rPr>
                <w:rFonts w:hint="default" w:ascii="Times New Roman" w:hAnsi="Times New Roman" w:eastAsia="宋体" w:cs="Times New Roman"/>
                <w:color w:val="auto"/>
                <w:sz w:val="24"/>
                <w:szCs w:val="24"/>
              </w:rPr>
            </w:pPr>
          </w:p>
        </w:tc>
      </w:tr>
      <w:tr w14:paraId="42CFEC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1538" w:type="dxa"/>
            <w:vMerge w:val="continue"/>
            <w:tcBorders>
              <w:left w:val="single" w:color="auto" w:sz="4" w:space="0"/>
            </w:tcBorders>
            <w:vAlign w:val="center"/>
          </w:tcPr>
          <w:p w14:paraId="185A34EC">
            <w:pPr>
              <w:adjustRightInd w:val="0"/>
              <w:snapToGrid w:val="0"/>
              <w:jc w:val="center"/>
              <w:rPr>
                <w:rFonts w:hint="default" w:ascii="Times New Roman" w:hAnsi="Times New Roman" w:eastAsia="宋体" w:cs="Times New Roman"/>
                <w:color w:val="auto"/>
                <w:sz w:val="24"/>
                <w:szCs w:val="24"/>
              </w:rPr>
            </w:pPr>
          </w:p>
        </w:tc>
        <w:tc>
          <w:tcPr>
            <w:tcW w:w="1995" w:type="dxa"/>
            <w:gridSpan w:val="2"/>
            <w:vAlign w:val="center"/>
          </w:tcPr>
          <w:p w14:paraId="4AC07AE1">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办公、生活</w:t>
            </w:r>
          </w:p>
        </w:tc>
        <w:tc>
          <w:tcPr>
            <w:tcW w:w="1548" w:type="dxa"/>
            <w:tcBorders>
              <w:bottom w:val="single" w:color="auto" w:sz="4" w:space="0"/>
            </w:tcBorders>
            <w:vAlign w:val="center"/>
          </w:tcPr>
          <w:p w14:paraId="66EAED2B">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生活垃圾</w:t>
            </w:r>
          </w:p>
        </w:tc>
        <w:tc>
          <w:tcPr>
            <w:tcW w:w="1962" w:type="dxa"/>
            <w:vAlign w:val="center"/>
          </w:tcPr>
          <w:p w14:paraId="471438D9">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环卫清运</w:t>
            </w:r>
          </w:p>
        </w:tc>
        <w:tc>
          <w:tcPr>
            <w:tcW w:w="1757" w:type="dxa"/>
            <w:vMerge w:val="continue"/>
            <w:vAlign w:val="center"/>
          </w:tcPr>
          <w:p w14:paraId="0F7E670C">
            <w:pPr>
              <w:adjustRightInd w:val="0"/>
              <w:snapToGrid w:val="0"/>
              <w:jc w:val="center"/>
              <w:rPr>
                <w:rFonts w:hint="default" w:ascii="Times New Roman" w:hAnsi="Times New Roman" w:eastAsia="宋体" w:cs="Times New Roman"/>
                <w:color w:val="auto"/>
                <w:sz w:val="24"/>
                <w:szCs w:val="24"/>
              </w:rPr>
            </w:pPr>
          </w:p>
        </w:tc>
      </w:tr>
      <w:tr w14:paraId="7DBAD6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4" w:space="0"/>
              <w:left w:val="single" w:color="auto" w:sz="4" w:space="0"/>
              <w:bottom w:val="single" w:color="auto" w:sz="4" w:space="0"/>
            </w:tcBorders>
            <w:vAlign w:val="center"/>
          </w:tcPr>
          <w:p w14:paraId="62959BD1">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声环境</w:t>
            </w:r>
          </w:p>
        </w:tc>
        <w:tc>
          <w:tcPr>
            <w:tcW w:w="1995" w:type="dxa"/>
            <w:gridSpan w:val="2"/>
            <w:vAlign w:val="center"/>
          </w:tcPr>
          <w:p w14:paraId="0AC0FCBA">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生产及公辅设备</w:t>
            </w:r>
          </w:p>
        </w:tc>
        <w:tc>
          <w:tcPr>
            <w:tcW w:w="1548" w:type="dxa"/>
            <w:vAlign w:val="center"/>
          </w:tcPr>
          <w:p w14:paraId="3F9F45A0">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厂界噪声</w:t>
            </w:r>
          </w:p>
        </w:tc>
        <w:tc>
          <w:tcPr>
            <w:tcW w:w="1962" w:type="dxa"/>
            <w:vAlign w:val="center"/>
          </w:tcPr>
          <w:p w14:paraId="096DEB23">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厂房隔声、减振措施</w:t>
            </w:r>
          </w:p>
        </w:tc>
        <w:tc>
          <w:tcPr>
            <w:tcW w:w="1757" w:type="dxa"/>
            <w:vAlign w:val="center"/>
          </w:tcPr>
          <w:p w14:paraId="68CB6E13">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《工业企业厂界环境噪声排放标准》（GB12348-2008）表1中3类</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4类</w:t>
            </w:r>
            <w:r>
              <w:rPr>
                <w:rFonts w:hint="default" w:ascii="Times New Roman" w:hAnsi="Times New Roman" w:eastAsia="宋体" w:cs="Times New Roman"/>
                <w:color w:val="auto"/>
                <w:sz w:val="24"/>
                <w:szCs w:val="24"/>
              </w:rPr>
              <w:t>标准限值</w:t>
            </w:r>
          </w:p>
        </w:tc>
      </w:tr>
      <w:tr w14:paraId="231FE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38" w:type="dxa"/>
            <w:tcBorders>
              <w:top w:val="single" w:color="auto" w:sz="4" w:space="0"/>
              <w:left w:val="single" w:color="auto" w:sz="4" w:space="0"/>
              <w:bottom w:val="single" w:color="auto" w:sz="4" w:space="0"/>
            </w:tcBorders>
            <w:vAlign w:val="center"/>
          </w:tcPr>
          <w:p w14:paraId="5944540A">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电磁辐射</w:t>
            </w:r>
          </w:p>
        </w:tc>
        <w:tc>
          <w:tcPr>
            <w:tcW w:w="1995" w:type="dxa"/>
            <w:gridSpan w:val="2"/>
            <w:vAlign w:val="center"/>
          </w:tcPr>
          <w:p w14:paraId="523DE29D">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548" w:type="dxa"/>
            <w:vAlign w:val="center"/>
          </w:tcPr>
          <w:p w14:paraId="3014AF87">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962" w:type="dxa"/>
            <w:vAlign w:val="center"/>
          </w:tcPr>
          <w:p w14:paraId="025B2A95">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c>
          <w:tcPr>
            <w:tcW w:w="1757" w:type="dxa"/>
            <w:vAlign w:val="center"/>
          </w:tcPr>
          <w:p w14:paraId="7C450AFE">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p>
        </w:tc>
      </w:tr>
      <w:tr w14:paraId="0F6178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538" w:type="dxa"/>
            <w:tcBorders>
              <w:top w:val="single" w:color="auto" w:sz="4" w:space="0"/>
              <w:left w:val="single" w:color="auto" w:sz="4" w:space="0"/>
              <w:bottom w:val="single" w:color="auto" w:sz="4" w:space="0"/>
            </w:tcBorders>
            <w:vAlign w:val="center"/>
          </w:tcPr>
          <w:p w14:paraId="4A31C3C8">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土壤及地下水污染防治措施</w:t>
            </w:r>
          </w:p>
        </w:tc>
        <w:tc>
          <w:tcPr>
            <w:tcW w:w="7262" w:type="dxa"/>
            <w:gridSpan w:val="5"/>
            <w:vAlign w:val="center"/>
          </w:tcPr>
          <w:p w14:paraId="6854520E">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（1）从设计、管理各种工艺设备和物料运输线路上，防止和减少污染物的跑冒滴漏，合理布局，减少污染物泄漏途径；</w:t>
            </w:r>
          </w:p>
          <w:p w14:paraId="0E9E9BBF">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（2）根据需要做好车间、仓库的防渗工作；</w:t>
            </w:r>
          </w:p>
          <w:p w14:paraId="79C7CC52">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（3）在厂区占地范围内采取绿化措施，以种植具有较强吸附能力的植物为主。</w:t>
            </w:r>
          </w:p>
          <w:p w14:paraId="6FF93EBF">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项目采取以上措施后，可有效防止废气沉降或经雨水淋溶渗漏至土壤，避免对其产生污染。</w:t>
            </w:r>
          </w:p>
        </w:tc>
      </w:tr>
      <w:tr w14:paraId="024596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1538" w:type="dxa"/>
            <w:tcBorders>
              <w:top w:val="single" w:color="auto" w:sz="4" w:space="0"/>
              <w:left w:val="single" w:color="auto" w:sz="4" w:space="0"/>
              <w:bottom w:val="single" w:color="auto" w:sz="4" w:space="0"/>
            </w:tcBorders>
            <w:vAlign w:val="center"/>
          </w:tcPr>
          <w:p w14:paraId="4D5C5119">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生态保护措施</w:t>
            </w:r>
          </w:p>
        </w:tc>
        <w:tc>
          <w:tcPr>
            <w:tcW w:w="7262" w:type="dxa"/>
            <w:gridSpan w:val="5"/>
            <w:vAlign w:val="center"/>
          </w:tcPr>
          <w:p w14:paraId="6CF2FADA">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无</w:t>
            </w:r>
          </w:p>
        </w:tc>
      </w:tr>
      <w:tr w14:paraId="1ABA4E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538" w:type="dxa"/>
            <w:tcBorders>
              <w:top w:val="single" w:color="auto" w:sz="4" w:space="0"/>
              <w:left w:val="single" w:color="auto" w:sz="4" w:space="0"/>
              <w:bottom w:val="single" w:color="auto" w:sz="4" w:space="0"/>
            </w:tcBorders>
            <w:vAlign w:val="center"/>
          </w:tcPr>
          <w:p w14:paraId="7D2E4A72">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环境风险</w:t>
            </w:r>
          </w:p>
          <w:p w14:paraId="64AD1989">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防范措施</w:t>
            </w:r>
          </w:p>
        </w:tc>
        <w:tc>
          <w:tcPr>
            <w:tcW w:w="7262" w:type="dxa"/>
            <w:gridSpan w:val="5"/>
            <w:vAlign w:val="center"/>
          </w:tcPr>
          <w:p w14:paraId="016D3E43">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做好厂区环境风险管理、风险应急物质配备，定期进行应急演练。</w:t>
            </w:r>
          </w:p>
        </w:tc>
      </w:tr>
      <w:tr w14:paraId="1FF4EE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38" w:type="dxa"/>
            <w:tcBorders>
              <w:top w:val="single" w:color="auto" w:sz="4" w:space="0"/>
              <w:left w:val="single" w:color="auto" w:sz="4" w:space="0"/>
              <w:bottom w:val="single" w:color="auto" w:sz="8" w:space="0"/>
            </w:tcBorders>
            <w:vAlign w:val="center"/>
          </w:tcPr>
          <w:p w14:paraId="21AC5F15">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其他环境</w:t>
            </w:r>
          </w:p>
          <w:p w14:paraId="5146CD69">
            <w:pPr>
              <w:adjustRightInd w:val="0"/>
              <w:snapToGrid w:val="0"/>
              <w:jc w:val="center"/>
              <w:rPr>
                <w:rFonts w:hint="default" w:ascii="Times New Roman" w:hAnsi="Times New Roman" w:eastAsia="宋体" w:cs="Times New Roman"/>
                <w:color w:val="auto"/>
                <w:spacing w:val="-8"/>
                <w:sz w:val="24"/>
                <w:szCs w:val="24"/>
              </w:rPr>
            </w:pPr>
            <w:r>
              <w:rPr>
                <w:rFonts w:hint="default" w:ascii="Times New Roman" w:hAnsi="Times New Roman" w:eastAsia="宋体" w:cs="Times New Roman"/>
                <w:color w:val="auto"/>
                <w:spacing w:val="-8"/>
                <w:sz w:val="24"/>
                <w:szCs w:val="24"/>
              </w:rPr>
              <w:t>管理要求</w:t>
            </w:r>
          </w:p>
        </w:tc>
        <w:tc>
          <w:tcPr>
            <w:tcW w:w="7262" w:type="dxa"/>
            <w:gridSpan w:val="5"/>
            <w:vAlign w:val="center"/>
          </w:tcPr>
          <w:p w14:paraId="52B6672D">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1、厂区卫生防护距离是以</w:t>
            </w:r>
            <w:r>
              <w:rPr>
                <w:rFonts w:hint="default" w:ascii="Times New Roman" w:hAnsi="Times New Roman" w:eastAsia="宋体" w:cs="Times New Roman"/>
                <w:color w:val="auto"/>
                <w:sz w:val="24"/>
                <w:szCs w:val="24"/>
                <w:lang w:val="en-US" w:eastAsia="zh-CN"/>
              </w:rPr>
              <w:t>生产</w:t>
            </w:r>
            <w:r>
              <w:rPr>
                <w:rFonts w:hint="default" w:ascii="Times New Roman" w:hAnsi="Times New Roman" w:eastAsia="宋体" w:cs="Times New Roman"/>
                <w:color w:val="auto"/>
                <w:sz w:val="24"/>
                <w:szCs w:val="24"/>
              </w:rPr>
              <w:t>车间边界外扩</w:t>
            </w:r>
            <w:r>
              <w:rPr>
                <w:rFonts w:hint="default" w:ascii="Times New Roman" w:hAnsi="Times New Roman" w:eastAsia="宋体" w:cs="Times New Roman"/>
                <w:color w:val="auto"/>
                <w:sz w:val="24"/>
                <w:szCs w:val="24"/>
                <w:lang w:val="en-US" w:eastAsia="zh-CN"/>
              </w:rPr>
              <w:t>10</w:t>
            </w:r>
            <w:r>
              <w:rPr>
                <w:rFonts w:hint="default" w:ascii="Times New Roman" w:hAnsi="Times New Roman" w:eastAsia="宋体" w:cs="Times New Roman"/>
                <w:color w:val="auto"/>
                <w:sz w:val="24"/>
                <w:szCs w:val="24"/>
              </w:rPr>
              <w:t>0m范围。该范围内无居民、学校等环境敏感保护目标，可满足卫生防护距离设置要求，将来在该卫生防护距离范围也不得新建居民、学校、医院等属于环境保护目标的项目。</w:t>
            </w:r>
          </w:p>
          <w:p w14:paraId="26234A46">
            <w:pPr>
              <w:adjustRightInd w:val="0"/>
              <w:snapToGrid w:val="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2、企业对污染治理设施和管理必须与生产经营活动一起纳入企业的日常管理中，要建立岗位责任制，制定操作规程，建立管理</w:t>
            </w:r>
            <w:r>
              <w:rPr>
                <w:rFonts w:hint="eastAsia" w:ascii="Times New Roman" w:hAnsi="Times New Roman" w:eastAsia="宋体" w:cs="Times New Roman"/>
                <w:color w:val="auto"/>
                <w:sz w:val="24"/>
                <w:szCs w:val="24"/>
                <w:lang w:val="en-US" w:eastAsia="zh-CN"/>
              </w:rPr>
              <w:t>台账</w:t>
            </w:r>
            <w:r>
              <w:rPr>
                <w:rFonts w:hint="default" w:ascii="Times New Roman" w:hAnsi="Times New Roman" w:eastAsia="宋体" w:cs="Times New Roman"/>
                <w:color w:val="auto"/>
                <w:sz w:val="24"/>
                <w:szCs w:val="24"/>
              </w:rPr>
              <w:t>，并对排污口进行规范化设置。</w:t>
            </w:r>
          </w:p>
        </w:tc>
      </w:tr>
    </w:tbl>
    <w:p w14:paraId="5F12BF87">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2C3639B4">
      <w:pPr>
        <w:pStyle w:val="4"/>
        <w:rPr>
          <w:rFonts w:hint="default" w:ascii="Times New Roman" w:hAnsi="Times New Roman" w:cs="Times New Roman"/>
          <w:color w:val="auto"/>
        </w:rPr>
      </w:pPr>
      <w:r>
        <w:rPr>
          <w:rFonts w:hint="default" w:ascii="Times New Roman" w:hAnsi="Times New Roman" w:cs="Times New Roman"/>
          <w:color w:val="auto"/>
        </w:rPr>
        <w:t>六、结论</w:t>
      </w:r>
    </w:p>
    <w:tbl>
      <w:tblPr>
        <w:tblStyle w:val="2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14186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257" w:hRule="atLeast"/>
          <w:jc w:val="center"/>
        </w:trPr>
        <w:tc>
          <w:tcPr>
            <w:tcW w:w="5000" w:type="pct"/>
          </w:tcPr>
          <w:p w14:paraId="006E9FA6">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本项目符合当前国家产业政策；项目符合区域规划和相关环保规划要求，选址恰当，布局合理；项目符合</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三线一单</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要求，满足国家相关政策、法规的要求；项目采取的污染防治措施可行，可实现污染物达标排放；项目建成后对环境的影响较小，区域环境质量维持现状，符合相应环境功能区要求；项目污染物排放总量能够在区域内实现平衡；在落实分区防渗措施后，正常工况下，不存在污染土壤和地下水的途径；事故风险水平可被接受。</w:t>
            </w:r>
          </w:p>
          <w:p w14:paraId="1104C4DD">
            <w:pPr>
              <w:widowControl/>
              <w:spacing w:line="360" w:lineRule="auto"/>
              <w:ind w:firstLine="480" w:firstLineChars="200"/>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因此，在企业严格落实环保</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三同时</w:t>
            </w:r>
            <w:r>
              <w:rPr>
                <w:rFonts w:hint="eastAsia" w:ascii="Times New Roman" w:hAnsi="Times New Roman" w:eastAsia="宋体" w:cs="Times New Roman"/>
                <w:color w:val="auto"/>
                <w:kern w:val="0"/>
                <w:sz w:val="24"/>
                <w:szCs w:val="24"/>
                <w:lang w:eastAsia="zh-CN"/>
              </w:rPr>
              <w:t>”</w:t>
            </w:r>
            <w:r>
              <w:rPr>
                <w:rFonts w:hint="default" w:ascii="Times New Roman" w:hAnsi="Times New Roman" w:eastAsia="宋体" w:cs="Times New Roman"/>
                <w:color w:val="auto"/>
                <w:kern w:val="0"/>
                <w:sz w:val="24"/>
                <w:szCs w:val="24"/>
              </w:rPr>
              <w:t>措施后，本项目的建设，从环保的角度看是可行的。</w:t>
            </w:r>
          </w:p>
        </w:tc>
      </w:tr>
    </w:tbl>
    <w:p w14:paraId="7991F18D">
      <w:pPr>
        <w:rPr>
          <w:rFonts w:hint="default" w:ascii="Times New Roman" w:hAnsi="Times New Roman" w:cs="Times New Roman"/>
          <w:color w:val="auto"/>
        </w:rPr>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pPr>
    </w:p>
    <w:p w14:paraId="4F077F86">
      <w:pPr>
        <w:pStyle w:val="4"/>
        <w:jc w:val="left"/>
        <w:rPr>
          <w:rFonts w:hint="default" w:ascii="Times New Roman" w:hAnsi="Times New Roman" w:cs="Times New Roman"/>
          <w:color w:val="auto"/>
        </w:rPr>
      </w:pPr>
      <w:r>
        <w:rPr>
          <w:rFonts w:hint="default" w:ascii="Times New Roman" w:hAnsi="Times New Roman" w:cs="Times New Roman"/>
          <w:color w:val="auto"/>
        </w:rPr>
        <w:t>附表</w:t>
      </w:r>
    </w:p>
    <w:p w14:paraId="391F1B00">
      <w:pPr>
        <w:jc w:val="center"/>
        <w:rPr>
          <w:rFonts w:hint="default" w:ascii="Times New Roman" w:hAnsi="Times New Roman" w:eastAsia="宋体" w:cs="Times New Roman"/>
          <w:b/>
          <w:snapToGrid w:val="0"/>
          <w:color w:val="auto"/>
          <w:sz w:val="32"/>
          <w:szCs w:val="32"/>
        </w:rPr>
      </w:pPr>
      <w:r>
        <w:rPr>
          <w:rFonts w:hint="default" w:ascii="Times New Roman" w:hAnsi="Times New Roman" w:eastAsia="宋体" w:cs="Times New Roman"/>
          <w:b/>
          <w:snapToGrid w:val="0"/>
          <w:color w:val="auto"/>
          <w:sz w:val="32"/>
          <w:szCs w:val="32"/>
        </w:rPr>
        <w:t>建设项目污染物排放量汇总表  单位：t/a</w:t>
      </w:r>
    </w:p>
    <w:tbl>
      <w:tblPr>
        <w:tblStyle w:val="27"/>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701"/>
        <w:gridCol w:w="1701"/>
        <w:gridCol w:w="1276"/>
        <w:gridCol w:w="1701"/>
        <w:gridCol w:w="1559"/>
        <w:gridCol w:w="1761"/>
        <w:gridCol w:w="1959"/>
        <w:gridCol w:w="826"/>
      </w:tblGrid>
      <w:tr w14:paraId="778C90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304" w:type="dxa"/>
            <w:tcBorders>
              <w:tl2br w:val="single" w:color="auto" w:sz="4" w:space="0"/>
            </w:tcBorders>
            <w:tcMar>
              <w:left w:w="28" w:type="dxa"/>
              <w:right w:w="28" w:type="dxa"/>
            </w:tcMar>
            <w:vAlign w:val="center"/>
          </w:tcPr>
          <w:p w14:paraId="739C6F29">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lang w:val="en-US" w:eastAsia="zh-CN"/>
              </w:rPr>
              <w:t xml:space="preserve">       </w:t>
            </w:r>
            <w:r>
              <w:rPr>
                <w:rFonts w:hint="default" w:ascii="Times New Roman" w:hAnsi="Times New Roman" w:eastAsia="宋体" w:cs="Times New Roman"/>
                <w:b/>
                <w:bCs/>
                <w:snapToGrid w:val="0"/>
                <w:color w:val="auto"/>
                <w:spacing w:val="-6"/>
                <w:kern w:val="21"/>
                <w:sz w:val="21"/>
                <w:szCs w:val="21"/>
              </w:rPr>
              <w:t>项目</w:t>
            </w:r>
          </w:p>
          <w:p w14:paraId="5C510B88">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both"/>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分类</w:t>
            </w:r>
          </w:p>
        </w:tc>
        <w:tc>
          <w:tcPr>
            <w:tcW w:w="1701" w:type="dxa"/>
            <w:tcMar>
              <w:left w:w="28" w:type="dxa"/>
              <w:right w:w="28" w:type="dxa"/>
            </w:tcMar>
            <w:vAlign w:val="center"/>
          </w:tcPr>
          <w:p w14:paraId="5657C03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污染物名称</w:t>
            </w:r>
          </w:p>
        </w:tc>
        <w:tc>
          <w:tcPr>
            <w:tcW w:w="1701" w:type="dxa"/>
            <w:tcMar>
              <w:left w:w="28" w:type="dxa"/>
              <w:right w:w="28" w:type="dxa"/>
            </w:tcMar>
            <w:vAlign w:val="center"/>
          </w:tcPr>
          <w:p w14:paraId="714B2C04">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1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①</w:t>
            </w:r>
            <w:r>
              <w:rPr>
                <w:rFonts w:hint="default" w:ascii="Times New Roman" w:hAnsi="Times New Roman" w:eastAsia="宋体" w:cs="Times New Roman"/>
                <w:b/>
                <w:bCs/>
                <w:snapToGrid w:val="0"/>
                <w:color w:val="auto"/>
                <w:spacing w:val="-6"/>
                <w:kern w:val="21"/>
                <w:sz w:val="21"/>
                <w:szCs w:val="21"/>
              </w:rPr>
              <w:fldChar w:fldCharType="end"/>
            </w:r>
          </w:p>
        </w:tc>
        <w:tc>
          <w:tcPr>
            <w:tcW w:w="1276" w:type="dxa"/>
            <w:tcMar>
              <w:left w:w="28" w:type="dxa"/>
              <w:right w:w="28" w:type="dxa"/>
            </w:tcMar>
            <w:vAlign w:val="center"/>
          </w:tcPr>
          <w:p w14:paraId="35B31C6B">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现有工程许可排放量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2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snapToGrid w:val="0"/>
                <w:color w:val="auto"/>
                <w:spacing w:val="-6"/>
                <w:kern w:val="21"/>
                <w:sz w:val="21"/>
                <w:szCs w:val="21"/>
              </w:rPr>
              <w:t>②</w:t>
            </w:r>
            <w:r>
              <w:rPr>
                <w:rFonts w:hint="default" w:ascii="Times New Roman" w:hAnsi="Times New Roman" w:eastAsia="宋体" w:cs="Times New Roman"/>
                <w:b/>
                <w:bCs/>
                <w:snapToGrid w:val="0"/>
                <w:color w:val="auto"/>
                <w:spacing w:val="-6"/>
                <w:kern w:val="21"/>
                <w:sz w:val="21"/>
                <w:szCs w:val="21"/>
              </w:rPr>
              <w:fldChar w:fldCharType="end"/>
            </w:r>
          </w:p>
        </w:tc>
        <w:tc>
          <w:tcPr>
            <w:tcW w:w="1701" w:type="dxa"/>
            <w:tcMar>
              <w:left w:w="28" w:type="dxa"/>
              <w:right w:w="28" w:type="dxa"/>
            </w:tcMar>
            <w:vAlign w:val="center"/>
          </w:tcPr>
          <w:p w14:paraId="3B4E2AF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在建工程排放量（固体废物产生量）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3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③</w:t>
            </w:r>
            <w:r>
              <w:rPr>
                <w:rFonts w:hint="default" w:ascii="Times New Roman" w:hAnsi="Times New Roman" w:eastAsia="宋体" w:cs="Times New Roman"/>
                <w:b/>
                <w:bCs/>
                <w:snapToGrid w:val="0"/>
                <w:color w:val="auto"/>
                <w:spacing w:val="-6"/>
                <w:kern w:val="21"/>
                <w:sz w:val="21"/>
                <w:szCs w:val="21"/>
              </w:rPr>
              <w:fldChar w:fldCharType="end"/>
            </w:r>
          </w:p>
        </w:tc>
        <w:tc>
          <w:tcPr>
            <w:tcW w:w="1559" w:type="dxa"/>
            <w:tcMar>
              <w:left w:w="28" w:type="dxa"/>
              <w:right w:w="28" w:type="dxa"/>
            </w:tcMar>
            <w:vAlign w:val="center"/>
          </w:tcPr>
          <w:p w14:paraId="2D4FD2F0">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本项目排放量（固体废物产生量）</w:t>
            </w: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4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④</w:t>
            </w:r>
            <w:r>
              <w:rPr>
                <w:rFonts w:hint="default" w:ascii="Times New Roman" w:hAnsi="Times New Roman" w:eastAsia="宋体" w:cs="Times New Roman"/>
                <w:b/>
                <w:bCs/>
                <w:snapToGrid w:val="0"/>
                <w:color w:val="auto"/>
                <w:spacing w:val="-6"/>
                <w:kern w:val="21"/>
                <w:sz w:val="21"/>
                <w:szCs w:val="21"/>
              </w:rPr>
              <w:fldChar w:fldCharType="end"/>
            </w:r>
          </w:p>
        </w:tc>
        <w:tc>
          <w:tcPr>
            <w:tcW w:w="1761" w:type="dxa"/>
            <w:tcMar>
              <w:left w:w="28" w:type="dxa"/>
              <w:right w:w="28" w:type="dxa"/>
            </w:tcMar>
            <w:vAlign w:val="center"/>
          </w:tcPr>
          <w:p w14:paraId="5319574E">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以新带老削减量（新建项目不填）</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5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sz w:val="21"/>
                <w:szCs w:val="21"/>
              </w:rPr>
              <w:t>⑤</w:t>
            </w:r>
            <w:r>
              <w:rPr>
                <w:rFonts w:hint="default" w:ascii="Times New Roman" w:hAnsi="Times New Roman" w:eastAsia="宋体" w:cs="Times New Roman"/>
                <w:b/>
                <w:bCs/>
                <w:snapToGrid w:val="0"/>
                <w:color w:val="auto"/>
                <w:spacing w:val="-16"/>
                <w:kern w:val="21"/>
                <w:sz w:val="21"/>
                <w:szCs w:val="21"/>
              </w:rPr>
              <w:fldChar w:fldCharType="end"/>
            </w:r>
          </w:p>
        </w:tc>
        <w:tc>
          <w:tcPr>
            <w:tcW w:w="1959" w:type="dxa"/>
            <w:tcMar>
              <w:left w:w="28" w:type="dxa"/>
              <w:right w:w="28" w:type="dxa"/>
            </w:tcMar>
            <w:vAlign w:val="center"/>
          </w:tcPr>
          <w:p w14:paraId="59953024">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16"/>
                <w:kern w:val="21"/>
                <w:sz w:val="21"/>
                <w:szCs w:val="21"/>
              </w:rPr>
            </w:pPr>
            <w:r>
              <w:rPr>
                <w:rFonts w:hint="default" w:ascii="Times New Roman" w:hAnsi="Times New Roman" w:eastAsia="宋体" w:cs="Times New Roman"/>
                <w:b/>
                <w:bCs/>
                <w:snapToGrid w:val="0"/>
                <w:color w:val="auto"/>
                <w:spacing w:val="-16"/>
                <w:kern w:val="21"/>
                <w:sz w:val="21"/>
                <w:szCs w:val="21"/>
              </w:rPr>
              <w:t>本项目建成后全厂排放量（固体废物产生量）</w:t>
            </w:r>
            <w:r>
              <w:rPr>
                <w:rFonts w:hint="default" w:ascii="Times New Roman" w:hAnsi="Times New Roman" w:eastAsia="宋体" w:cs="Times New Roman"/>
                <w:b/>
                <w:bCs/>
                <w:snapToGrid w:val="0"/>
                <w:color w:val="auto"/>
                <w:spacing w:val="-16"/>
                <w:kern w:val="21"/>
                <w:sz w:val="21"/>
                <w:szCs w:val="21"/>
              </w:rPr>
              <w:fldChar w:fldCharType="begin"/>
            </w:r>
            <w:r>
              <w:rPr>
                <w:rFonts w:hint="default" w:ascii="Times New Roman" w:hAnsi="Times New Roman" w:eastAsia="宋体" w:cs="Times New Roman"/>
                <w:b/>
                <w:bCs/>
                <w:snapToGrid w:val="0"/>
                <w:color w:val="auto"/>
                <w:spacing w:val="-16"/>
                <w:kern w:val="21"/>
                <w:sz w:val="21"/>
                <w:szCs w:val="21"/>
              </w:rPr>
              <w:instrText xml:space="preserve"> = 6 \* GB3 \* MERGEFORMAT </w:instrText>
            </w:r>
            <w:r>
              <w:rPr>
                <w:rFonts w:hint="default" w:ascii="Times New Roman" w:hAnsi="Times New Roman" w:eastAsia="宋体" w:cs="Times New Roman"/>
                <w:b/>
                <w:bCs/>
                <w:snapToGrid w:val="0"/>
                <w:color w:val="auto"/>
                <w:spacing w:val="-16"/>
                <w:kern w:val="21"/>
                <w:sz w:val="21"/>
                <w:szCs w:val="21"/>
              </w:rPr>
              <w:fldChar w:fldCharType="separate"/>
            </w:r>
            <w:r>
              <w:rPr>
                <w:rFonts w:hint="default" w:ascii="Times New Roman" w:hAnsi="Times New Roman" w:eastAsia="宋体" w:cs="Times New Roman"/>
                <w:b/>
                <w:bCs/>
                <w:color w:val="auto"/>
                <w:sz w:val="21"/>
                <w:szCs w:val="21"/>
              </w:rPr>
              <w:t>⑥</w:t>
            </w:r>
            <w:r>
              <w:rPr>
                <w:rFonts w:hint="default" w:ascii="Times New Roman" w:hAnsi="Times New Roman" w:eastAsia="宋体" w:cs="Times New Roman"/>
                <w:b/>
                <w:bCs/>
                <w:snapToGrid w:val="0"/>
                <w:color w:val="auto"/>
                <w:spacing w:val="-16"/>
                <w:kern w:val="21"/>
                <w:sz w:val="21"/>
                <w:szCs w:val="21"/>
              </w:rPr>
              <w:fldChar w:fldCharType="end"/>
            </w:r>
          </w:p>
        </w:tc>
        <w:tc>
          <w:tcPr>
            <w:tcW w:w="826" w:type="dxa"/>
            <w:tcMar>
              <w:left w:w="28" w:type="dxa"/>
              <w:right w:w="28" w:type="dxa"/>
            </w:tcMar>
            <w:vAlign w:val="center"/>
          </w:tcPr>
          <w:p w14:paraId="7787094E">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t>变化量</w:t>
            </w:r>
          </w:p>
          <w:p w14:paraId="1DC2E002">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b/>
                <w:bCs/>
                <w:snapToGrid w:val="0"/>
                <w:color w:val="auto"/>
                <w:spacing w:val="-6"/>
                <w:kern w:val="21"/>
                <w:sz w:val="21"/>
                <w:szCs w:val="21"/>
              </w:rPr>
            </w:pPr>
            <w:r>
              <w:rPr>
                <w:rFonts w:hint="default" w:ascii="Times New Roman" w:hAnsi="Times New Roman" w:eastAsia="宋体" w:cs="Times New Roman"/>
                <w:b/>
                <w:bCs/>
                <w:snapToGrid w:val="0"/>
                <w:color w:val="auto"/>
                <w:spacing w:val="-6"/>
                <w:kern w:val="21"/>
                <w:sz w:val="21"/>
                <w:szCs w:val="21"/>
              </w:rPr>
              <w:fldChar w:fldCharType="begin"/>
            </w:r>
            <w:r>
              <w:rPr>
                <w:rFonts w:hint="default" w:ascii="Times New Roman" w:hAnsi="Times New Roman" w:eastAsia="宋体" w:cs="Times New Roman"/>
                <w:b/>
                <w:bCs/>
                <w:snapToGrid w:val="0"/>
                <w:color w:val="auto"/>
                <w:spacing w:val="-6"/>
                <w:kern w:val="21"/>
                <w:sz w:val="21"/>
                <w:szCs w:val="21"/>
              </w:rPr>
              <w:instrText xml:space="preserve"> = 7 \* GB3 \* MERGEFORMAT </w:instrText>
            </w:r>
            <w:r>
              <w:rPr>
                <w:rFonts w:hint="default" w:ascii="Times New Roman" w:hAnsi="Times New Roman" w:eastAsia="宋体" w:cs="Times New Roman"/>
                <w:b/>
                <w:bCs/>
                <w:snapToGrid w:val="0"/>
                <w:color w:val="auto"/>
                <w:spacing w:val="-6"/>
                <w:kern w:val="21"/>
                <w:sz w:val="21"/>
                <w:szCs w:val="21"/>
              </w:rPr>
              <w:fldChar w:fldCharType="separate"/>
            </w:r>
            <w:r>
              <w:rPr>
                <w:rFonts w:hint="default" w:ascii="Times New Roman" w:hAnsi="Times New Roman" w:eastAsia="宋体" w:cs="Times New Roman"/>
                <w:b/>
                <w:bCs/>
                <w:color w:val="auto"/>
                <w:sz w:val="21"/>
                <w:szCs w:val="21"/>
              </w:rPr>
              <w:t>⑦</w:t>
            </w:r>
            <w:r>
              <w:rPr>
                <w:rFonts w:hint="default" w:ascii="Times New Roman" w:hAnsi="Times New Roman" w:eastAsia="宋体" w:cs="Times New Roman"/>
                <w:b/>
                <w:bCs/>
                <w:snapToGrid w:val="0"/>
                <w:color w:val="auto"/>
                <w:spacing w:val="-6"/>
                <w:kern w:val="21"/>
                <w:sz w:val="21"/>
                <w:szCs w:val="21"/>
              </w:rPr>
              <w:fldChar w:fldCharType="end"/>
            </w:r>
          </w:p>
        </w:tc>
      </w:tr>
      <w:tr w14:paraId="2FD4EB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0B142A4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lang w:eastAsia="zh-CN"/>
              </w:rPr>
            </w:pPr>
            <w:r>
              <w:rPr>
                <w:rFonts w:hint="default" w:ascii="Times New Roman" w:hAnsi="Times New Roman" w:eastAsia="宋体" w:cs="Times New Roman"/>
                <w:snapToGrid w:val="0"/>
                <w:color w:val="auto"/>
                <w:kern w:val="21"/>
                <w:sz w:val="21"/>
                <w:szCs w:val="21"/>
              </w:rPr>
              <w:t>废气</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lang w:val="en-US" w:eastAsia="zh-CN"/>
              </w:rPr>
              <w:t>有组织</w:t>
            </w:r>
            <w:r>
              <w:rPr>
                <w:rFonts w:hint="default" w:ascii="Times New Roman" w:hAnsi="Times New Roman" w:eastAsia="宋体" w:cs="Times New Roman"/>
                <w:snapToGrid w:val="0"/>
                <w:color w:val="auto"/>
                <w:kern w:val="21"/>
                <w:sz w:val="21"/>
                <w:szCs w:val="21"/>
                <w:lang w:eastAsia="zh-CN"/>
              </w:rPr>
              <w:t>）</w:t>
            </w:r>
          </w:p>
        </w:tc>
        <w:tc>
          <w:tcPr>
            <w:tcW w:w="1701" w:type="dxa"/>
            <w:vAlign w:val="center"/>
          </w:tcPr>
          <w:p w14:paraId="6F852D17">
            <w:pPr>
              <w:contextualSpacing/>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颗粒物</w:t>
            </w:r>
          </w:p>
        </w:tc>
        <w:tc>
          <w:tcPr>
            <w:tcW w:w="1701" w:type="dxa"/>
            <w:vAlign w:val="center"/>
          </w:tcPr>
          <w:p w14:paraId="303124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05D87C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6E6840EB">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14:paraId="506835E6">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0.095</w:t>
            </w:r>
          </w:p>
        </w:tc>
        <w:tc>
          <w:tcPr>
            <w:tcW w:w="1761" w:type="dxa"/>
            <w:vAlign w:val="center"/>
          </w:tcPr>
          <w:p w14:paraId="5AD12B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3F98E22F">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0.095</w:t>
            </w:r>
          </w:p>
        </w:tc>
        <w:tc>
          <w:tcPr>
            <w:tcW w:w="826" w:type="dxa"/>
            <w:shd w:val="clear" w:color="auto" w:fill="auto"/>
            <w:vAlign w:val="center"/>
          </w:tcPr>
          <w:p w14:paraId="0B3DEB77">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+0.095</w:t>
            </w:r>
          </w:p>
        </w:tc>
      </w:tr>
      <w:tr w14:paraId="1487E2B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318B80A">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vAlign w:val="center"/>
          </w:tcPr>
          <w:p w14:paraId="346DBA37">
            <w:pPr>
              <w:contextualSpacing/>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非甲烷总烃</w:t>
            </w:r>
          </w:p>
        </w:tc>
        <w:tc>
          <w:tcPr>
            <w:tcW w:w="1701" w:type="dxa"/>
            <w:vAlign w:val="center"/>
          </w:tcPr>
          <w:p w14:paraId="63226E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276" w:type="dxa"/>
            <w:vAlign w:val="center"/>
          </w:tcPr>
          <w:p w14:paraId="1DAB3E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701" w:type="dxa"/>
            <w:vAlign w:val="center"/>
          </w:tcPr>
          <w:p w14:paraId="68E13CC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559" w:type="dxa"/>
            <w:vAlign w:val="center"/>
          </w:tcPr>
          <w:p w14:paraId="77B53FD3">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0.027</w:t>
            </w:r>
          </w:p>
        </w:tc>
        <w:tc>
          <w:tcPr>
            <w:tcW w:w="1761" w:type="dxa"/>
            <w:vAlign w:val="center"/>
          </w:tcPr>
          <w:p w14:paraId="7A3AC6A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57C2F3DB">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0.027</w:t>
            </w:r>
          </w:p>
        </w:tc>
        <w:tc>
          <w:tcPr>
            <w:tcW w:w="826" w:type="dxa"/>
            <w:shd w:val="clear" w:color="auto" w:fill="auto"/>
            <w:vAlign w:val="center"/>
          </w:tcPr>
          <w:p w14:paraId="67BF76BA">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+0.027</w:t>
            </w:r>
          </w:p>
        </w:tc>
      </w:tr>
      <w:tr w14:paraId="7B7C07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2EDC5BA2">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vAlign w:val="center"/>
          </w:tcPr>
          <w:p w14:paraId="0720978C">
            <w:pPr>
              <w:contextualSpacing/>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氨气</w:t>
            </w:r>
          </w:p>
        </w:tc>
        <w:tc>
          <w:tcPr>
            <w:tcW w:w="1701" w:type="dxa"/>
            <w:shd w:val="clear" w:color="auto" w:fill="auto"/>
            <w:vAlign w:val="center"/>
          </w:tcPr>
          <w:p w14:paraId="13BF7E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 w:val="21"/>
                <w:szCs w:val="21"/>
              </w:rPr>
              <w:t>0</w:t>
            </w:r>
          </w:p>
        </w:tc>
        <w:tc>
          <w:tcPr>
            <w:tcW w:w="1276" w:type="dxa"/>
            <w:shd w:val="clear" w:color="auto" w:fill="auto"/>
            <w:vAlign w:val="center"/>
          </w:tcPr>
          <w:p w14:paraId="67BA71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 w:val="21"/>
                <w:szCs w:val="21"/>
              </w:rPr>
              <w:t>0</w:t>
            </w:r>
          </w:p>
        </w:tc>
        <w:tc>
          <w:tcPr>
            <w:tcW w:w="1701" w:type="dxa"/>
            <w:shd w:val="clear" w:color="auto" w:fill="auto"/>
            <w:vAlign w:val="center"/>
          </w:tcPr>
          <w:p w14:paraId="682B192E">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color w:val="auto"/>
                <w:sz w:val="21"/>
                <w:szCs w:val="21"/>
              </w:rPr>
              <w:t>0</w:t>
            </w:r>
          </w:p>
        </w:tc>
        <w:tc>
          <w:tcPr>
            <w:tcW w:w="1559" w:type="dxa"/>
            <w:vAlign w:val="center"/>
          </w:tcPr>
          <w:p w14:paraId="1ABEEA5F">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0.013</w:t>
            </w:r>
          </w:p>
        </w:tc>
        <w:tc>
          <w:tcPr>
            <w:tcW w:w="1761" w:type="dxa"/>
            <w:vAlign w:val="center"/>
          </w:tcPr>
          <w:p w14:paraId="53730E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p>
        </w:tc>
        <w:tc>
          <w:tcPr>
            <w:tcW w:w="1959" w:type="dxa"/>
            <w:shd w:val="clear" w:color="auto" w:fill="auto"/>
            <w:vAlign w:val="center"/>
          </w:tcPr>
          <w:p w14:paraId="0ABF3549">
            <w:pPr>
              <w:contextualSpacing/>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0.013</w:t>
            </w:r>
          </w:p>
        </w:tc>
        <w:tc>
          <w:tcPr>
            <w:tcW w:w="826" w:type="dxa"/>
            <w:shd w:val="clear" w:color="auto" w:fill="auto"/>
            <w:vAlign w:val="center"/>
          </w:tcPr>
          <w:p w14:paraId="256DF4F7">
            <w:pPr>
              <w:contextualSpacing/>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+0.013</w:t>
            </w:r>
          </w:p>
        </w:tc>
      </w:tr>
      <w:tr w14:paraId="5B0521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31CB2538">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r>
              <w:rPr>
                <w:rFonts w:hint="default" w:ascii="Times New Roman" w:hAnsi="Times New Roman" w:eastAsia="宋体" w:cs="Times New Roman"/>
                <w:snapToGrid w:val="0"/>
                <w:color w:val="auto"/>
                <w:kern w:val="21"/>
                <w:sz w:val="21"/>
                <w:szCs w:val="21"/>
                <w:lang w:eastAsia="zh-CN"/>
              </w:rPr>
              <w:t>（</w:t>
            </w:r>
            <w:r>
              <w:rPr>
                <w:rFonts w:hint="default" w:ascii="Times New Roman" w:hAnsi="Times New Roman" w:eastAsia="宋体" w:cs="Times New Roman"/>
                <w:snapToGrid w:val="0"/>
                <w:color w:val="auto"/>
                <w:kern w:val="21"/>
                <w:sz w:val="21"/>
                <w:szCs w:val="21"/>
                <w:lang w:val="en-US" w:eastAsia="zh-CN"/>
              </w:rPr>
              <w:t>无组织</w:t>
            </w:r>
            <w:r>
              <w:rPr>
                <w:rFonts w:hint="default" w:ascii="Times New Roman" w:hAnsi="Times New Roman" w:eastAsia="宋体" w:cs="Times New Roman"/>
                <w:snapToGrid w:val="0"/>
                <w:color w:val="auto"/>
                <w:kern w:val="21"/>
                <w:sz w:val="21"/>
                <w:szCs w:val="21"/>
                <w:lang w:eastAsia="zh-CN"/>
              </w:rPr>
              <w:t>）</w:t>
            </w:r>
          </w:p>
        </w:tc>
        <w:tc>
          <w:tcPr>
            <w:tcW w:w="1701" w:type="dxa"/>
            <w:shd w:val="clear" w:color="auto" w:fill="auto"/>
            <w:vAlign w:val="center"/>
          </w:tcPr>
          <w:p w14:paraId="5F72E595">
            <w:pPr>
              <w:contextualSpacing/>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颗粒物</w:t>
            </w:r>
          </w:p>
        </w:tc>
        <w:tc>
          <w:tcPr>
            <w:tcW w:w="1701" w:type="dxa"/>
            <w:vAlign w:val="center"/>
          </w:tcPr>
          <w:p w14:paraId="4CCBD7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090095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461859C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14:paraId="0EA3B68E">
            <w:pPr>
              <w:spacing w:line="276"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0.105</w:t>
            </w:r>
          </w:p>
        </w:tc>
        <w:tc>
          <w:tcPr>
            <w:tcW w:w="1761" w:type="dxa"/>
            <w:vAlign w:val="center"/>
          </w:tcPr>
          <w:p w14:paraId="2F9136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3E6A296D">
            <w:pPr>
              <w:spacing w:line="276"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0.105</w:t>
            </w:r>
          </w:p>
        </w:tc>
        <w:tc>
          <w:tcPr>
            <w:tcW w:w="826" w:type="dxa"/>
            <w:shd w:val="clear" w:color="auto" w:fill="auto"/>
            <w:vAlign w:val="center"/>
          </w:tcPr>
          <w:p w14:paraId="0C76AB74">
            <w:pPr>
              <w:spacing w:line="276"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r>
              <w:rPr>
                <w:rFonts w:hint="eastAsia" w:ascii="Times New Roman" w:hAnsi="Times New Roman" w:eastAsia="宋体" w:cs="Times New Roman"/>
                <w:bCs/>
                <w:color w:val="auto"/>
                <w:sz w:val="21"/>
                <w:szCs w:val="21"/>
                <w:lang w:val="en-US" w:eastAsia="zh-CN"/>
              </w:rPr>
              <w:t>0.105</w:t>
            </w:r>
          </w:p>
        </w:tc>
      </w:tr>
      <w:tr w14:paraId="4AEFFF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71649836">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72384208">
            <w:pPr>
              <w:contextualSpacing/>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非甲烷总烃</w:t>
            </w:r>
          </w:p>
        </w:tc>
        <w:tc>
          <w:tcPr>
            <w:tcW w:w="1701" w:type="dxa"/>
            <w:vAlign w:val="center"/>
          </w:tcPr>
          <w:p w14:paraId="0A4661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44B3D1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1E16E7B2">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14:paraId="22998222">
            <w:pPr>
              <w:spacing w:line="276"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0.03</w:t>
            </w:r>
          </w:p>
        </w:tc>
        <w:tc>
          <w:tcPr>
            <w:tcW w:w="1761" w:type="dxa"/>
            <w:vAlign w:val="center"/>
          </w:tcPr>
          <w:p w14:paraId="6BCED9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490CE33A">
            <w:pPr>
              <w:spacing w:line="276"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0.03</w:t>
            </w:r>
          </w:p>
        </w:tc>
        <w:tc>
          <w:tcPr>
            <w:tcW w:w="826" w:type="dxa"/>
            <w:shd w:val="clear" w:color="auto" w:fill="auto"/>
            <w:vAlign w:val="center"/>
          </w:tcPr>
          <w:p w14:paraId="6BD92D7A">
            <w:pPr>
              <w:spacing w:line="276" w:lineRule="auto"/>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+0.03</w:t>
            </w:r>
          </w:p>
        </w:tc>
      </w:tr>
      <w:tr w14:paraId="1B2255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1304" w:type="dxa"/>
            <w:vMerge w:val="continue"/>
            <w:vAlign w:val="center"/>
          </w:tcPr>
          <w:p w14:paraId="63514E2C">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shd w:val="clear" w:color="auto" w:fill="auto"/>
            <w:vAlign w:val="center"/>
          </w:tcPr>
          <w:p w14:paraId="034C1A6E">
            <w:pPr>
              <w:contextualSpacing/>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氨气</w:t>
            </w:r>
          </w:p>
        </w:tc>
        <w:tc>
          <w:tcPr>
            <w:tcW w:w="1701" w:type="dxa"/>
            <w:vAlign w:val="center"/>
          </w:tcPr>
          <w:p w14:paraId="700307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276" w:type="dxa"/>
            <w:vAlign w:val="center"/>
          </w:tcPr>
          <w:p w14:paraId="6C9C3F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701" w:type="dxa"/>
            <w:vAlign w:val="center"/>
          </w:tcPr>
          <w:p w14:paraId="6B76D488">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559" w:type="dxa"/>
            <w:vAlign w:val="center"/>
          </w:tcPr>
          <w:p w14:paraId="34E3FC52">
            <w:pPr>
              <w:spacing w:line="276"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0.02</w:t>
            </w:r>
          </w:p>
        </w:tc>
        <w:tc>
          <w:tcPr>
            <w:tcW w:w="1761" w:type="dxa"/>
            <w:vAlign w:val="center"/>
          </w:tcPr>
          <w:p w14:paraId="687C1B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6FBC7388">
            <w:pPr>
              <w:spacing w:line="276" w:lineRule="auto"/>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0.02</w:t>
            </w:r>
          </w:p>
        </w:tc>
        <w:tc>
          <w:tcPr>
            <w:tcW w:w="826" w:type="dxa"/>
            <w:shd w:val="clear" w:color="auto" w:fill="auto"/>
            <w:vAlign w:val="center"/>
          </w:tcPr>
          <w:p w14:paraId="41C05899">
            <w:pPr>
              <w:spacing w:line="276" w:lineRule="auto"/>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sz w:val="21"/>
                <w:szCs w:val="21"/>
                <w:lang w:val="en-US" w:eastAsia="zh-CN"/>
              </w:rPr>
              <w:t>+0.02</w:t>
            </w:r>
          </w:p>
        </w:tc>
      </w:tr>
      <w:tr w14:paraId="701859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14D6D347">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1701" w:type="dxa"/>
            <w:vAlign w:val="center"/>
          </w:tcPr>
          <w:p w14:paraId="3DF26179">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COD</w:t>
            </w:r>
          </w:p>
        </w:tc>
        <w:tc>
          <w:tcPr>
            <w:tcW w:w="1701" w:type="dxa"/>
            <w:vAlign w:val="center"/>
          </w:tcPr>
          <w:p w14:paraId="0F442778">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27F5CEAB">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452ABED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14:paraId="5DAC54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0.154</w:t>
            </w:r>
          </w:p>
        </w:tc>
        <w:tc>
          <w:tcPr>
            <w:tcW w:w="1761" w:type="dxa"/>
            <w:vAlign w:val="center"/>
          </w:tcPr>
          <w:p w14:paraId="4DCEB2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959" w:type="dxa"/>
            <w:vAlign w:val="center"/>
          </w:tcPr>
          <w:p w14:paraId="25E582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0.154</w:t>
            </w:r>
          </w:p>
        </w:tc>
        <w:tc>
          <w:tcPr>
            <w:tcW w:w="826" w:type="dxa"/>
            <w:vAlign w:val="center"/>
          </w:tcPr>
          <w:p w14:paraId="0549D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w:t>
            </w:r>
            <w:r>
              <w:rPr>
                <w:rFonts w:hint="default" w:ascii="Times New Roman" w:hAnsi="Times New Roman" w:eastAsia="宋体" w:cs="Times New Roman"/>
                <w:color w:val="auto"/>
                <w:sz w:val="21"/>
                <w:szCs w:val="21"/>
                <w:lang w:val="en-US" w:eastAsia="zh-CN"/>
              </w:rPr>
              <w:t>0.154</w:t>
            </w:r>
          </w:p>
        </w:tc>
      </w:tr>
      <w:tr w14:paraId="018B28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54971ABB">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vAlign w:val="center"/>
          </w:tcPr>
          <w:p w14:paraId="594CC15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氨氮</w:t>
            </w:r>
          </w:p>
        </w:tc>
        <w:tc>
          <w:tcPr>
            <w:tcW w:w="1701" w:type="dxa"/>
            <w:vAlign w:val="center"/>
          </w:tcPr>
          <w:p w14:paraId="4021D36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051B97F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73CEBCBC">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14:paraId="3A080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0.012</w:t>
            </w:r>
          </w:p>
        </w:tc>
        <w:tc>
          <w:tcPr>
            <w:tcW w:w="1761" w:type="dxa"/>
            <w:vAlign w:val="center"/>
          </w:tcPr>
          <w:p w14:paraId="155B19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959" w:type="dxa"/>
            <w:vAlign w:val="center"/>
          </w:tcPr>
          <w:p w14:paraId="49DFE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0.012</w:t>
            </w:r>
          </w:p>
        </w:tc>
        <w:tc>
          <w:tcPr>
            <w:tcW w:w="826" w:type="dxa"/>
            <w:vAlign w:val="center"/>
          </w:tcPr>
          <w:p w14:paraId="7C3F0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w:t>
            </w:r>
            <w:r>
              <w:rPr>
                <w:rFonts w:hint="default" w:ascii="Times New Roman" w:hAnsi="Times New Roman" w:eastAsia="宋体" w:cs="Times New Roman"/>
                <w:color w:val="auto"/>
                <w:sz w:val="21"/>
                <w:szCs w:val="21"/>
                <w:lang w:val="en-US" w:eastAsia="zh-CN"/>
              </w:rPr>
              <w:t>0.012</w:t>
            </w:r>
          </w:p>
        </w:tc>
      </w:tr>
      <w:tr w14:paraId="1A71E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6F31A46C">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vAlign w:val="center"/>
          </w:tcPr>
          <w:p w14:paraId="0B5EE935">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总氮</w:t>
            </w:r>
          </w:p>
        </w:tc>
        <w:tc>
          <w:tcPr>
            <w:tcW w:w="1701" w:type="dxa"/>
            <w:vAlign w:val="center"/>
          </w:tcPr>
          <w:p w14:paraId="251A643A">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63036C36">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6B596819">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14:paraId="412E450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0.015</w:t>
            </w:r>
          </w:p>
        </w:tc>
        <w:tc>
          <w:tcPr>
            <w:tcW w:w="1761" w:type="dxa"/>
            <w:vAlign w:val="center"/>
          </w:tcPr>
          <w:p w14:paraId="698B8A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959" w:type="dxa"/>
            <w:vAlign w:val="center"/>
          </w:tcPr>
          <w:p w14:paraId="131606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0.015</w:t>
            </w:r>
          </w:p>
        </w:tc>
        <w:tc>
          <w:tcPr>
            <w:tcW w:w="826" w:type="dxa"/>
            <w:vAlign w:val="center"/>
          </w:tcPr>
          <w:p w14:paraId="5E217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w:t>
            </w:r>
            <w:r>
              <w:rPr>
                <w:rFonts w:hint="default" w:ascii="Times New Roman" w:hAnsi="Times New Roman" w:eastAsia="宋体" w:cs="Times New Roman"/>
                <w:color w:val="auto"/>
                <w:sz w:val="21"/>
                <w:szCs w:val="21"/>
                <w:lang w:val="en-US" w:eastAsia="zh-CN"/>
              </w:rPr>
              <w:t>0.015</w:t>
            </w:r>
          </w:p>
        </w:tc>
      </w:tr>
      <w:tr w14:paraId="2ABDB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000B9EC1">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vAlign w:val="center"/>
          </w:tcPr>
          <w:p w14:paraId="4E85B22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总磷</w:t>
            </w:r>
          </w:p>
        </w:tc>
        <w:tc>
          <w:tcPr>
            <w:tcW w:w="1701" w:type="dxa"/>
            <w:vAlign w:val="center"/>
          </w:tcPr>
          <w:p w14:paraId="7B752D8F">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0E4E56CE">
            <w:pPr>
              <w:keepNext w:val="0"/>
              <w:keepLines w:val="0"/>
              <w:pageBreakBefore w:val="0"/>
              <w:widowControl w:val="0"/>
              <w:kinsoku/>
              <w:wordWrap/>
              <w:overflowPunct/>
              <w:topLinePunct w:val="0"/>
              <w:autoSpaceDE/>
              <w:autoSpaceDN/>
              <w:bidi w:val="0"/>
              <w:adjustRightInd/>
              <w:snapToGrid/>
              <w:spacing w:after="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5F85274C">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14:paraId="2D3980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0.0008</w:t>
            </w:r>
          </w:p>
        </w:tc>
        <w:tc>
          <w:tcPr>
            <w:tcW w:w="1761" w:type="dxa"/>
            <w:vAlign w:val="center"/>
          </w:tcPr>
          <w:p w14:paraId="584F22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959" w:type="dxa"/>
            <w:vAlign w:val="center"/>
          </w:tcPr>
          <w:p w14:paraId="30F3FE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0.0008</w:t>
            </w:r>
          </w:p>
        </w:tc>
        <w:tc>
          <w:tcPr>
            <w:tcW w:w="826" w:type="dxa"/>
            <w:vAlign w:val="center"/>
          </w:tcPr>
          <w:p w14:paraId="3ADFBF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w:t>
            </w:r>
            <w:r>
              <w:rPr>
                <w:rFonts w:hint="default" w:ascii="Times New Roman" w:hAnsi="Times New Roman" w:eastAsia="宋体" w:cs="Times New Roman"/>
                <w:color w:val="auto"/>
                <w:sz w:val="21"/>
                <w:szCs w:val="21"/>
                <w:lang w:val="en-US" w:eastAsia="zh-CN"/>
              </w:rPr>
              <w:t>0.0008</w:t>
            </w:r>
          </w:p>
        </w:tc>
      </w:tr>
      <w:tr w14:paraId="31EBAF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Align w:val="center"/>
          </w:tcPr>
          <w:p w14:paraId="734CE0E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生活垃圾</w:t>
            </w:r>
          </w:p>
        </w:tc>
        <w:tc>
          <w:tcPr>
            <w:tcW w:w="1701" w:type="dxa"/>
            <w:tcBorders>
              <w:bottom w:val="single" w:color="auto" w:sz="4" w:space="0"/>
            </w:tcBorders>
            <w:vAlign w:val="center"/>
          </w:tcPr>
          <w:p w14:paraId="09EE6291">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生活垃圾</w:t>
            </w:r>
          </w:p>
        </w:tc>
        <w:tc>
          <w:tcPr>
            <w:tcW w:w="1701" w:type="dxa"/>
            <w:vAlign w:val="center"/>
          </w:tcPr>
          <w:p w14:paraId="29392D0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06D03B7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297ED26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vAlign w:val="center"/>
          </w:tcPr>
          <w:p w14:paraId="295381DE">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lang w:val="en-US" w:eastAsia="zh-CN"/>
              </w:rPr>
              <w:t>3.0</w:t>
            </w:r>
          </w:p>
        </w:tc>
        <w:tc>
          <w:tcPr>
            <w:tcW w:w="1761" w:type="dxa"/>
            <w:vAlign w:val="center"/>
          </w:tcPr>
          <w:p w14:paraId="6E81E66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3E1D1221">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default" w:ascii="Times New Roman" w:hAnsi="Times New Roman" w:eastAsia="宋体" w:cs="Times New Roman"/>
                <w:color w:val="auto"/>
                <w:sz w:val="21"/>
                <w:szCs w:val="21"/>
                <w:lang w:val="en-US" w:eastAsia="zh-CN"/>
              </w:rPr>
              <w:t>3.0</w:t>
            </w:r>
          </w:p>
        </w:tc>
        <w:tc>
          <w:tcPr>
            <w:tcW w:w="826" w:type="dxa"/>
            <w:shd w:val="clear" w:color="auto" w:fill="auto"/>
            <w:vAlign w:val="center"/>
          </w:tcPr>
          <w:p w14:paraId="746FDE13">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spacing w:val="-10"/>
                <w:kern w:val="21"/>
                <w:sz w:val="21"/>
                <w:szCs w:val="21"/>
                <w:lang w:val="en-US" w:eastAsia="zh-CN" w:bidi="ar-SA"/>
              </w:rPr>
            </w:pPr>
            <w:r>
              <w:rPr>
                <w:rFonts w:hint="eastAsia" w:asci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3.0</w:t>
            </w:r>
          </w:p>
        </w:tc>
      </w:tr>
      <w:tr w14:paraId="38F256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vAlign w:val="center"/>
          </w:tcPr>
          <w:p w14:paraId="3B52161D">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w:t>
            </w:r>
          </w:p>
          <w:p w14:paraId="50DB05BB">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固体废物</w:t>
            </w:r>
          </w:p>
        </w:tc>
        <w:tc>
          <w:tcPr>
            <w:tcW w:w="1701" w:type="dxa"/>
            <w:tcBorders>
              <w:bottom w:val="single" w:color="auto" w:sz="4" w:space="0"/>
            </w:tcBorders>
            <w:vAlign w:val="center"/>
          </w:tcPr>
          <w:p w14:paraId="0F53479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b w:val="0"/>
                <w:bCs/>
                <w:color w:val="auto"/>
                <w:sz w:val="21"/>
                <w:szCs w:val="21"/>
              </w:rPr>
              <w:t>废</w:t>
            </w:r>
            <w:r>
              <w:rPr>
                <w:rFonts w:hint="eastAsia" w:ascii="Times New Roman" w:hAnsi="Times New Roman" w:eastAsia="宋体" w:cs="Times New Roman"/>
                <w:b w:val="0"/>
                <w:bCs/>
                <w:color w:val="auto"/>
                <w:sz w:val="21"/>
                <w:szCs w:val="21"/>
                <w:lang w:val="en-US" w:eastAsia="zh-CN"/>
              </w:rPr>
              <w:t>金刚砂</w:t>
            </w:r>
          </w:p>
        </w:tc>
        <w:tc>
          <w:tcPr>
            <w:tcW w:w="1701" w:type="dxa"/>
            <w:vAlign w:val="center"/>
          </w:tcPr>
          <w:p w14:paraId="3D2E8D6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63482E1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158779C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shd w:val="clear" w:color="auto" w:fill="auto"/>
            <w:vAlign w:val="center"/>
          </w:tcPr>
          <w:p w14:paraId="30916DA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c>
          <w:tcPr>
            <w:tcW w:w="1761" w:type="dxa"/>
            <w:vAlign w:val="center"/>
          </w:tcPr>
          <w:p w14:paraId="262D992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043FA70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c>
          <w:tcPr>
            <w:tcW w:w="826" w:type="dxa"/>
            <w:shd w:val="clear" w:color="auto" w:fill="auto"/>
            <w:vAlign w:val="center"/>
          </w:tcPr>
          <w:p w14:paraId="734DA24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w:t>
            </w:r>
          </w:p>
        </w:tc>
      </w:tr>
      <w:tr w14:paraId="5969DB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64595A32">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tcBorders>
              <w:bottom w:val="single" w:color="auto" w:sz="4" w:space="0"/>
            </w:tcBorders>
            <w:vAlign w:val="center"/>
          </w:tcPr>
          <w:p w14:paraId="5DDF64A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废布袋</w:t>
            </w:r>
          </w:p>
        </w:tc>
        <w:tc>
          <w:tcPr>
            <w:tcW w:w="1701" w:type="dxa"/>
            <w:vAlign w:val="center"/>
          </w:tcPr>
          <w:p w14:paraId="23818B5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492F57B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3C76C85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shd w:val="clear" w:color="auto" w:fill="auto"/>
            <w:vAlign w:val="center"/>
          </w:tcPr>
          <w:p w14:paraId="03319EC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1761" w:type="dxa"/>
            <w:vAlign w:val="center"/>
          </w:tcPr>
          <w:p w14:paraId="196F7558">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959" w:type="dxa"/>
            <w:shd w:val="clear" w:color="auto" w:fill="auto"/>
            <w:vAlign w:val="center"/>
          </w:tcPr>
          <w:p w14:paraId="2F1A830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826" w:type="dxa"/>
            <w:shd w:val="clear" w:color="auto" w:fill="auto"/>
            <w:vAlign w:val="center"/>
          </w:tcPr>
          <w:p w14:paraId="36572052">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r>
      <w:tr w14:paraId="1C4CEF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534BCB0E">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tcBorders>
              <w:bottom w:val="single" w:color="auto" w:sz="4" w:space="0"/>
            </w:tcBorders>
            <w:vAlign w:val="center"/>
          </w:tcPr>
          <w:p w14:paraId="2888C68D">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布袋收尘</w:t>
            </w:r>
          </w:p>
        </w:tc>
        <w:tc>
          <w:tcPr>
            <w:tcW w:w="1701" w:type="dxa"/>
            <w:vAlign w:val="center"/>
          </w:tcPr>
          <w:p w14:paraId="4743386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239E51D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29B7BA7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shd w:val="clear" w:color="auto" w:fill="auto"/>
            <w:vAlign w:val="center"/>
          </w:tcPr>
          <w:p w14:paraId="6D697521">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p>
        </w:tc>
        <w:tc>
          <w:tcPr>
            <w:tcW w:w="1761" w:type="dxa"/>
            <w:vAlign w:val="center"/>
          </w:tcPr>
          <w:p w14:paraId="3773E68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959" w:type="dxa"/>
            <w:shd w:val="clear" w:color="auto" w:fill="auto"/>
            <w:vAlign w:val="center"/>
          </w:tcPr>
          <w:p w14:paraId="3B5330AB">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p>
        </w:tc>
        <w:tc>
          <w:tcPr>
            <w:tcW w:w="826" w:type="dxa"/>
            <w:shd w:val="clear" w:color="auto" w:fill="auto"/>
            <w:vAlign w:val="center"/>
          </w:tcPr>
          <w:p w14:paraId="7CAABFB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w:t>
            </w:r>
          </w:p>
        </w:tc>
      </w:tr>
      <w:tr w14:paraId="496E33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restart"/>
            <w:tcBorders>
              <w:top w:val="single" w:color="auto" w:sz="4" w:space="0"/>
            </w:tcBorders>
            <w:vAlign w:val="center"/>
          </w:tcPr>
          <w:p w14:paraId="1431A3CA">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危险废物</w:t>
            </w:r>
          </w:p>
        </w:tc>
        <w:tc>
          <w:tcPr>
            <w:tcW w:w="1701" w:type="dxa"/>
            <w:tcBorders>
              <w:top w:val="single" w:color="auto" w:sz="4" w:space="0"/>
              <w:bottom w:val="single" w:color="auto" w:sz="4" w:space="0"/>
            </w:tcBorders>
            <w:shd w:val="clear" w:color="auto" w:fill="auto"/>
            <w:vAlign w:val="center"/>
          </w:tcPr>
          <w:p w14:paraId="7EA4DCA3">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废清洗剂桶</w:t>
            </w:r>
          </w:p>
        </w:tc>
        <w:tc>
          <w:tcPr>
            <w:tcW w:w="1701" w:type="dxa"/>
            <w:vAlign w:val="center"/>
          </w:tcPr>
          <w:p w14:paraId="1A63964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53ABBD6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0226ADE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shd w:val="clear" w:color="auto" w:fill="auto"/>
            <w:vAlign w:val="center"/>
          </w:tcPr>
          <w:p w14:paraId="78FD677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1761" w:type="dxa"/>
            <w:vAlign w:val="center"/>
          </w:tcPr>
          <w:p w14:paraId="10800A43">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057C4728">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c>
          <w:tcPr>
            <w:tcW w:w="826" w:type="dxa"/>
            <w:shd w:val="clear" w:color="auto" w:fill="auto"/>
            <w:vAlign w:val="center"/>
          </w:tcPr>
          <w:p w14:paraId="782A285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+0.05</w:t>
            </w:r>
          </w:p>
        </w:tc>
      </w:tr>
      <w:tr w14:paraId="69A96A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8502622">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tcBorders>
              <w:top w:val="single" w:color="auto" w:sz="4" w:space="0"/>
              <w:bottom w:val="single" w:color="auto" w:sz="4" w:space="0"/>
            </w:tcBorders>
            <w:shd w:val="clear" w:color="auto" w:fill="auto"/>
            <w:vAlign w:val="center"/>
          </w:tcPr>
          <w:p w14:paraId="10CF0B51">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淬火油</w:t>
            </w:r>
            <w:r>
              <w:rPr>
                <w:rFonts w:hint="default" w:ascii="Times New Roman" w:hAnsi="Times New Roman" w:eastAsia="宋体" w:cs="Times New Roman"/>
                <w:color w:val="auto"/>
                <w:sz w:val="21"/>
                <w:szCs w:val="21"/>
              </w:rPr>
              <w:t>桶</w:t>
            </w:r>
          </w:p>
        </w:tc>
        <w:tc>
          <w:tcPr>
            <w:tcW w:w="1701" w:type="dxa"/>
            <w:vAlign w:val="center"/>
          </w:tcPr>
          <w:p w14:paraId="5A4169E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24BACDE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05DA794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shd w:val="clear" w:color="auto" w:fill="auto"/>
            <w:vAlign w:val="center"/>
          </w:tcPr>
          <w:p w14:paraId="72D4455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w:t>
            </w:r>
          </w:p>
        </w:tc>
        <w:tc>
          <w:tcPr>
            <w:tcW w:w="1761" w:type="dxa"/>
            <w:vAlign w:val="center"/>
          </w:tcPr>
          <w:p w14:paraId="36436527">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1B6912E7">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w:t>
            </w:r>
          </w:p>
        </w:tc>
        <w:tc>
          <w:tcPr>
            <w:tcW w:w="826" w:type="dxa"/>
            <w:shd w:val="clear" w:color="auto" w:fill="auto"/>
            <w:vAlign w:val="center"/>
          </w:tcPr>
          <w:p w14:paraId="7E53B65B">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+0.02</w:t>
            </w:r>
          </w:p>
        </w:tc>
      </w:tr>
      <w:tr w14:paraId="4376EA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2FA5F190">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tcBorders>
              <w:top w:val="single" w:color="auto" w:sz="4" w:space="0"/>
              <w:bottom w:val="single" w:color="auto" w:sz="4" w:space="0"/>
            </w:tcBorders>
            <w:shd w:val="clear" w:color="auto" w:fill="auto"/>
            <w:vAlign w:val="center"/>
          </w:tcPr>
          <w:p w14:paraId="7EAEDD5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废</w:t>
            </w:r>
            <w:r>
              <w:rPr>
                <w:rFonts w:hint="eastAsia" w:ascii="Times New Roman" w:hAnsi="Times New Roman" w:eastAsia="宋体" w:cs="Times New Roman"/>
                <w:color w:val="auto"/>
                <w:sz w:val="21"/>
                <w:szCs w:val="21"/>
                <w:lang w:val="en-US" w:eastAsia="zh-CN"/>
              </w:rPr>
              <w:t>淬火油</w:t>
            </w:r>
          </w:p>
        </w:tc>
        <w:tc>
          <w:tcPr>
            <w:tcW w:w="1701" w:type="dxa"/>
            <w:vAlign w:val="center"/>
          </w:tcPr>
          <w:p w14:paraId="46DD7E5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276" w:type="dxa"/>
            <w:vAlign w:val="center"/>
          </w:tcPr>
          <w:p w14:paraId="7C150B5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701" w:type="dxa"/>
            <w:vAlign w:val="center"/>
          </w:tcPr>
          <w:p w14:paraId="22E1275B">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559" w:type="dxa"/>
            <w:shd w:val="clear" w:color="auto" w:fill="auto"/>
            <w:vAlign w:val="center"/>
          </w:tcPr>
          <w:p w14:paraId="15B8DF6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w:t>
            </w:r>
          </w:p>
        </w:tc>
        <w:tc>
          <w:tcPr>
            <w:tcW w:w="1761" w:type="dxa"/>
            <w:vAlign w:val="center"/>
          </w:tcPr>
          <w:p w14:paraId="4C11901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2EA9611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w:t>
            </w:r>
          </w:p>
        </w:tc>
        <w:tc>
          <w:tcPr>
            <w:tcW w:w="826" w:type="dxa"/>
            <w:shd w:val="clear" w:color="auto" w:fill="auto"/>
            <w:vAlign w:val="center"/>
          </w:tcPr>
          <w:p w14:paraId="2F59EC0E">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+0.2</w:t>
            </w:r>
          </w:p>
        </w:tc>
      </w:tr>
      <w:tr w14:paraId="179D42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4DF47D44">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tcBorders>
              <w:top w:val="single" w:color="auto" w:sz="4" w:space="0"/>
              <w:bottom w:val="single" w:color="auto" w:sz="4" w:space="0"/>
            </w:tcBorders>
            <w:shd w:val="clear" w:color="auto" w:fill="auto"/>
            <w:vAlign w:val="center"/>
          </w:tcPr>
          <w:p w14:paraId="5CB27CDC">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废防锈油桶</w:t>
            </w:r>
          </w:p>
        </w:tc>
        <w:tc>
          <w:tcPr>
            <w:tcW w:w="1701" w:type="dxa"/>
            <w:vAlign w:val="center"/>
          </w:tcPr>
          <w:p w14:paraId="294C62D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1F25B5E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553EF38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shd w:val="clear" w:color="auto" w:fill="auto"/>
            <w:vAlign w:val="center"/>
          </w:tcPr>
          <w:p w14:paraId="1B71E26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w:t>
            </w:r>
          </w:p>
        </w:tc>
        <w:tc>
          <w:tcPr>
            <w:tcW w:w="1761" w:type="dxa"/>
            <w:vAlign w:val="center"/>
          </w:tcPr>
          <w:p w14:paraId="24257440">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301D5F4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w:t>
            </w:r>
          </w:p>
        </w:tc>
        <w:tc>
          <w:tcPr>
            <w:tcW w:w="826" w:type="dxa"/>
            <w:shd w:val="clear" w:color="auto" w:fill="auto"/>
            <w:vAlign w:val="center"/>
          </w:tcPr>
          <w:p w14:paraId="4DD2C50D">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+0.05</w:t>
            </w:r>
          </w:p>
        </w:tc>
      </w:tr>
      <w:tr w14:paraId="41C2D4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50D9909F">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tcBorders>
              <w:top w:val="single" w:color="auto" w:sz="4" w:space="0"/>
              <w:bottom w:val="single" w:color="auto" w:sz="4" w:space="0"/>
            </w:tcBorders>
            <w:shd w:val="clear" w:color="auto" w:fill="auto"/>
            <w:vAlign w:val="center"/>
          </w:tcPr>
          <w:p w14:paraId="00EDAA04">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废防锈油</w:t>
            </w:r>
          </w:p>
        </w:tc>
        <w:tc>
          <w:tcPr>
            <w:tcW w:w="1701" w:type="dxa"/>
            <w:vAlign w:val="center"/>
          </w:tcPr>
          <w:p w14:paraId="7CAC9684">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276" w:type="dxa"/>
            <w:vAlign w:val="center"/>
          </w:tcPr>
          <w:p w14:paraId="5B186DA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701" w:type="dxa"/>
            <w:vAlign w:val="center"/>
          </w:tcPr>
          <w:p w14:paraId="794DF40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color w:val="auto"/>
                <w:sz w:val="21"/>
                <w:szCs w:val="21"/>
              </w:rPr>
              <w:t>0</w:t>
            </w:r>
          </w:p>
        </w:tc>
        <w:tc>
          <w:tcPr>
            <w:tcW w:w="1559" w:type="dxa"/>
            <w:shd w:val="clear" w:color="auto" w:fill="auto"/>
            <w:vAlign w:val="center"/>
          </w:tcPr>
          <w:p w14:paraId="7A7AC17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w:t>
            </w:r>
          </w:p>
        </w:tc>
        <w:tc>
          <w:tcPr>
            <w:tcW w:w="1761" w:type="dxa"/>
            <w:vAlign w:val="center"/>
          </w:tcPr>
          <w:p w14:paraId="01806EA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35ECBBA9">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w:t>
            </w:r>
          </w:p>
        </w:tc>
        <w:tc>
          <w:tcPr>
            <w:tcW w:w="826" w:type="dxa"/>
            <w:shd w:val="clear" w:color="auto" w:fill="auto"/>
            <w:vAlign w:val="center"/>
          </w:tcPr>
          <w:p w14:paraId="6427732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+0.2</w:t>
            </w:r>
          </w:p>
        </w:tc>
      </w:tr>
      <w:tr w14:paraId="22AFD0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040931A7">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tcBorders>
              <w:top w:val="single" w:color="auto" w:sz="4" w:space="0"/>
              <w:bottom w:val="single" w:color="auto" w:sz="4" w:space="0"/>
            </w:tcBorders>
            <w:shd w:val="clear" w:color="auto" w:fill="auto"/>
            <w:vAlign w:val="center"/>
          </w:tcPr>
          <w:p w14:paraId="6259CC46">
            <w:pPr>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废活性炭</w:t>
            </w:r>
          </w:p>
        </w:tc>
        <w:tc>
          <w:tcPr>
            <w:tcW w:w="1701" w:type="dxa"/>
            <w:shd w:val="clear" w:color="auto" w:fill="auto"/>
            <w:vAlign w:val="center"/>
          </w:tcPr>
          <w:p w14:paraId="4AEE0A61">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 w:val="21"/>
                <w:szCs w:val="21"/>
              </w:rPr>
              <w:t>0</w:t>
            </w:r>
          </w:p>
        </w:tc>
        <w:tc>
          <w:tcPr>
            <w:tcW w:w="1276" w:type="dxa"/>
            <w:shd w:val="clear" w:color="auto" w:fill="auto"/>
            <w:vAlign w:val="center"/>
          </w:tcPr>
          <w:p w14:paraId="4FF69E06">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 w:val="21"/>
                <w:szCs w:val="21"/>
              </w:rPr>
              <w:t>0</w:t>
            </w:r>
          </w:p>
        </w:tc>
        <w:tc>
          <w:tcPr>
            <w:tcW w:w="1701" w:type="dxa"/>
            <w:shd w:val="clear" w:color="auto" w:fill="auto"/>
            <w:vAlign w:val="center"/>
          </w:tcPr>
          <w:p w14:paraId="60B0E48D">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 w:val="21"/>
                <w:szCs w:val="21"/>
              </w:rPr>
              <w:t>0</w:t>
            </w:r>
          </w:p>
        </w:tc>
        <w:tc>
          <w:tcPr>
            <w:tcW w:w="1559" w:type="dxa"/>
            <w:shd w:val="clear" w:color="auto" w:fill="auto"/>
            <w:vAlign w:val="center"/>
          </w:tcPr>
          <w:p w14:paraId="5EE41B2F">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3.445</w:t>
            </w:r>
          </w:p>
        </w:tc>
        <w:tc>
          <w:tcPr>
            <w:tcW w:w="1761" w:type="dxa"/>
            <w:shd w:val="clear" w:color="auto" w:fill="auto"/>
            <w:vAlign w:val="center"/>
          </w:tcPr>
          <w:p w14:paraId="571ED89A">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401C4E54">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3.445</w:t>
            </w:r>
          </w:p>
        </w:tc>
        <w:tc>
          <w:tcPr>
            <w:tcW w:w="826" w:type="dxa"/>
            <w:shd w:val="clear" w:color="auto" w:fill="auto"/>
            <w:vAlign w:val="center"/>
          </w:tcPr>
          <w:p w14:paraId="3B7F44E9">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+3.445</w:t>
            </w:r>
          </w:p>
        </w:tc>
      </w:tr>
      <w:tr w14:paraId="22E528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30A4D3C1">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tcBorders>
              <w:top w:val="single" w:color="auto" w:sz="4" w:space="0"/>
              <w:bottom w:val="single" w:color="auto" w:sz="4" w:space="0"/>
            </w:tcBorders>
            <w:shd w:val="clear" w:color="auto" w:fill="auto"/>
            <w:vAlign w:val="center"/>
          </w:tcPr>
          <w:p w14:paraId="4210EED0">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含油抹布</w:t>
            </w:r>
          </w:p>
        </w:tc>
        <w:tc>
          <w:tcPr>
            <w:tcW w:w="1701" w:type="dxa"/>
            <w:vAlign w:val="center"/>
          </w:tcPr>
          <w:p w14:paraId="5E38F81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276" w:type="dxa"/>
            <w:vAlign w:val="center"/>
          </w:tcPr>
          <w:p w14:paraId="3297D2A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701" w:type="dxa"/>
            <w:vAlign w:val="center"/>
          </w:tcPr>
          <w:p w14:paraId="590AAE0E">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0</w:t>
            </w:r>
          </w:p>
        </w:tc>
        <w:tc>
          <w:tcPr>
            <w:tcW w:w="1559" w:type="dxa"/>
            <w:shd w:val="clear" w:color="auto" w:fill="auto"/>
            <w:vAlign w:val="center"/>
          </w:tcPr>
          <w:p w14:paraId="1D0111A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0.156</w:t>
            </w:r>
          </w:p>
        </w:tc>
        <w:tc>
          <w:tcPr>
            <w:tcW w:w="1761" w:type="dxa"/>
            <w:vAlign w:val="center"/>
          </w:tcPr>
          <w:p w14:paraId="413F4912">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p>
        </w:tc>
        <w:tc>
          <w:tcPr>
            <w:tcW w:w="1959" w:type="dxa"/>
            <w:shd w:val="clear" w:color="auto" w:fill="auto"/>
            <w:vAlign w:val="center"/>
          </w:tcPr>
          <w:p w14:paraId="3DB05F02">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0.156</w:t>
            </w:r>
          </w:p>
        </w:tc>
        <w:tc>
          <w:tcPr>
            <w:tcW w:w="826" w:type="dxa"/>
            <w:shd w:val="clear" w:color="auto" w:fill="auto"/>
            <w:vAlign w:val="center"/>
          </w:tcPr>
          <w:p w14:paraId="0309C916">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+0.156</w:t>
            </w:r>
          </w:p>
        </w:tc>
      </w:tr>
      <w:tr w14:paraId="6F16B0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304" w:type="dxa"/>
            <w:vMerge w:val="continue"/>
            <w:vAlign w:val="center"/>
          </w:tcPr>
          <w:p w14:paraId="0FF12251">
            <w:pPr>
              <w:pStyle w:val="48"/>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rPr>
                <w:rFonts w:hint="default" w:ascii="Times New Roman" w:hAnsi="Times New Roman" w:eastAsia="宋体" w:cs="Times New Roman"/>
                <w:snapToGrid w:val="0"/>
                <w:color w:val="auto"/>
                <w:kern w:val="21"/>
                <w:sz w:val="21"/>
                <w:szCs w:val="21"/>
              </w:rPr>
            </w:pPr>
          </w:p>
        </w:tc>
        <w:tc>
          <w:tcPr>
            <w:tcW w:w="1701" w:type="dxa"/>
            <w:tcBorders>
              <w:top w:val="single" w:color="auto" w:sz="4" w:space="0"/>
            </w:tcBorders>
            <w:shd w:val="clear" w:color="auto" w:fill="auto"/>
            <w:vAlign w:val="center"/>
          </w:tcPr>
          <w:p w14:paraId="0CCFDA0E">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污水处理站污泥</w:t>
            </w:r>
          </w:p>
        </w:tc>
        <w:tc>
          <w:tcPr>
            <w:tcW w:w="1701" w:type="dxa"/>
            <w:shd w:val="clear" w:color="auto" w:fill="auto"/>
            <w:vAlign w:val="center"/>
          </w:tcPr>
          <w:p w14:paraId="4EA84129">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rPr>
              <w:t>0</w:t>
            </w:r>
          </w:p>
        </w:tc>
        <w:tc>
          <w:tcPr>
            <w:tcW w:w="1276" w:type="dxa"/>
            <w:shd w:val="clear" w:color="auto" w:fill="auto"/>
            <w:vAlign w:val="center"/>
          </w:tcPr>
          <w:p w14:paraId="75038505">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rPr>
              <w:t>0</w:t>
            </w:r>
          </w:p>
        </w:tc>
        <w:tc>
          <w:tcPr>
            <w:tcW w:w="1701" w:type="dxa"/>
            <w:shd w:val="clear" w:color="auto" w:fill="auto"/>
            <w:vAlign w:val="center"/>
          </w:tcPr>
          <w:p w14:paraId="243C266C">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default"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snapToGrid w:val="0"/>
                <w:color w:val="auto"/>
                <w:kern w:val="21"/>
                <w:sz w:val="21"/>
                <w:szCs w:val="21"/>
              </w:rPr>
              <w:t>0</w:t>
            </w:r>
          </w:p>
        </w:tc>
        <w:tc>
          <w:tcPr>
            <w:tcW w:w="1559" w:type="dxa"/>
            <w:shd w:val="clear" w:color="auto" w:fill="auto"/>
            <w:vAlign w:val="center"/>
          </w:tcPr>
          <w:p w14:paraId="03BC82E0">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10.99</w:t>
            </w:r>
          </w:p>
        </w:tc>
        <w:tc>
          <w:tcPr>
            <w:tcW w:w="1761" w:type="dxa"/>
            <w:shd w:val="clear" w:color="auto" w:fill="auto"/>
            <w:vAlign w:val="center"/>
          </w:tcPr>
          <w:p w14:paraId="5C14A77F">
            <w:pPr>
              <w:keepNext w:val="0"/>
              <w:keepLines w:val="0"/>
              <w:pageBreakBefore w:val="0"/>
              <w:widowControl w:val="0"/>
              <w:kinsoku/>
              <w:wordWrap/>
              <w:overflowPunct/>
              <w:topLinePunct w:val="0"/>
              <w:autoSpaceDE/>
              <w:autoSpaceDN/>
              <w:bidi w:val="0"/>
              <w:adjustRightInd/>
              <w:snapToGrid/>
              <w:spacing w:beforeLines="0" w:afterLines="0" w:line="240" w:lineRule="auto"/>
              <w:ind w:firstLine="0" w:firstLineChars="0"/>
              <w:jc w:val="center"/>
              <w:rPr>
                <w:rFonts w:hint="eastAsia" w:ascii="Times New Roman" w:hAnsi="Times New Roman" w:eastAsia="宋体" w:cs="Times New Roman"/>
                <w:snapToGrid w:val="0"/>
                <w:color w:val="auto"/>
                <w:kern w:val="21"/>
                <w:sz w:val="21"/>
                <w:szCs w:val="21"/>
                <w:lang w:val="en-US" w:eastAsia="zh-CN" w:bidi="ar-SA"/>
              </w:rPr>
            </w:pPr>
            <w:r>
              <w:rPr>
                <w:rFonts w:hint="default" w:ascii="Times New Roman" w:hAnsi="Times New Roman" w:eastAsia="宋体" w:cs="Times New Roman"/>
                <w:color w:val="auto"/>
                <w:sz w:val="21"/>
                <w:szCs w:val="21"/>
              </w:rPr>
              <w:t>0</w:t>
            </w:r>
          </w:p>
        </w:tc>
        <w:tc>
          <w:tcPr>
            <w:tcW w:w="1959" w:type="dxa"/>
            <w:shd w:val="clear" w:color="auto" w:fill="auto"/>
            <w:vAlign w:val="center"/>
          </w:tcPr>
          <w:p w14:paraId="27F17033">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10.99</w:t>
            </w:r>
          </w:p>
        </w:tc>
        <w:tc>
          <w:tcPr>
            <w:tcW w:w="826" w:type="dxa"/>
            <w:shd w:val="clear" w:color="auto" w:fill="auto"/>
            <w:vAlign w:val="center"/>
          </w:tcPr>
          <w:p w14:paraId="3941D3B8">
            <w:pPr>
              <w:adjustRightInd w:val="0"/>
              <w:snapToGrid w:val="0"/>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+10.99</w:t>
            </w:r>
          </w:p>
        </w:tc>
      </w:tr>
    </w:tbl>
    <w:p w14:paraId="16F95BA5">
      <w:pPr>
        <w:pStyle w:val="48"/>
        <w:spacing w:beforeLines="0" w:afterLines="0" w:line="240" w:lineRule="auto"/>
        <w:jc w:val="left"/>
        <w:rPr>
          <w:rFonts w:hint="default" w:ascii="Times New Roman" w:hAnsi="Times New Roman" w:eastAsia="宋体" w:cs="Times New Roman"/>
          <w:color w:val="auto"/>
        </w:rPr>
      </w:pPr>
      <w:r>
        <w:rPr>
          <w:rFonts w:hint="default" w:ascii="Times New Roman" w:hAnsi="Times New Roman" w:eastAsia="仿宋" w:cs="Times New Roman"/>
          <w:snapToGrid w:val="0"/>
          <w:color w:val="auto"/>
          <w:kern w:val="21"/>
          <w:szCs w:val="21"/>
        </w:rPr>
        <w:t>注：</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3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4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5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7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仿宋" w:cs="Times New Roman"/>
          <w:snapToGrid w:val="0"/>
          <w:color w:val="auto"/>
          <w:spacing w:val="-6"/>
          <w:kern w:val="21"/>
          <w:szCs w:val="21"/>
        </w:rPr>
        <w:fldChar w:fldCharType="end"/>
      </w:r>
      <w:r>
        <w:rPr>
          <w:rFonts w:hint="default" w:ascii="Times New Roman" w:hAnsi="Times New Roman" w:eastAsia="仿宋" w:cs="Times New Roman"/>
          <w:snapToGrid w:val="0"/>
          <w:color w:val="auto"/>
          <w:spacing w:val="-6"/>
          <w:kern w:val="21"/>
          <w:szCs w:val="21"/>
        </w:rPr>
        <w:t>=</w:t>
      </w:r>
      <w:r>
        <w:rPr>
          <w:rFonts w:hint="default" w:ascii="Times New Roman" w:hAnsi="Times New Roman" w:eastAsia="仿宋" w:cs="Times New Roman"/>
          <w:snapToGrid w:val="0"/>
          <w:color w:val="auto"/>
          <w:spacing w:val="-16"/>
          <w:kern w:val="21"/>
          <w:szCs w:val="21"/>
        </w:rPr>
        <w:fldChar w:fldCharType="begin"/>
      </w:r>
      <w:r>
        <w:rPr>
          <w:rFonts w:hint="default" w:ascii="Times New Roman" w:hAnsi="Times New Roman" w:eastAsia="仿宋" w:cs="Times New Roman"/>
          <w:snapToGrid w:val="0"/>
          <w:color w:val="auto"/>
          <w:spacing w:val="-16"/>
          <w:kern w:val="21"/>
          <w:szCs w:val="21"/>
        </w:rPr>
        <w:instrText xml:space="preserve"> = 6 \* GB3 \* MERGEFORMAT </w:instrText>
      </w:r>
      <w:r>
        <w:rPr>
          <w:rFonts w:hint="default" w:ascii="Times New Roman" w:hAnsi="Times New Roman" w:eastAsia="仿宋"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仿宋" w:cs="Times New Roman"/>
          <w:snapToGrid w:val="0"/>
          <w:color w:val="auto"/>
          <w:spacing w:val="-16"/>
          <w:kern w:val="21"/>
          <w:szCs w:val="21"/>
        </w:rPr>
        <w:fldChar w:fldCharType="end"/>
      </w:r>
      <w:r>
        <w:rPr>
          <w:rFonts w:hint="default" w:ascii="Times New Roman" w:hAnsi="Times New Roman" w:eastAsia="仿宋" w:cs="Times New Roman"/>
          <w:snapToGrid w:val="0"/>
          <w:color w:val="auto"/>
          <w:spacing w:val="-16"/>
          <w:kern w:val="21"/>
          <w:szCs w:val="21"/>
        </w:rPr>
        <w:t>-</w:t>
      </w:r>
      <w:r>
        <w:rPr>
          <w:rFonts w:hint="default" w:ascii="Times New Roman" w:hAnsi="Times New Roman" w:eastAsia="仿宋" w:cs="Times New Roman"/>
          <w:snapToGrid w:val="0"/>
          <w:color w:val="auto"/>
          <w:spacing w:val="-6"/>
          <w:kern w:val="21"/>
          <w:szCs w:val="21"/>
        </w:rPr>
        <w:fldChar w:fldCharType="begin"/>
      </w:r>
      <w:r>
        <w:rPr>
          <w:rFonts w:hint="default" w:ascii="Times New Roman" w:hAnsi="Times New Roman" w:eastAsia="仿宋" w:cs="Times New Roman"/>
          <w:snapToGrid w:val="0"/>
          <w:color w:val="auto"/>
          <w:spacing w:val="-6"/>
          <w:kern w:val="21"/>
          <w:szCs w:val="21"/>
        </w:rPr>
        <w:instrText xml:space="preserve"> = 1 \* GB3 \* MERGEFORMAT </w:instrText>
      </w:r>
      <w:r>
        <w:rPr>
          <w:rFonts w:hint="default" w:ascii="Times New Roman" w:hAnsi="Times New Roman" w:eastAsia="仿宋"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仿宋" w:cs="Times New Roman"/>
          <w:snapToGrid w:val="0"/>
          <w:color w:val="auto"/>
          <w:spacing w:val="-6"/>
          <w:kern w:val="21"/>
          <w:szCs w:val="21"/>
        </w:rPr>
        <w:fldChar w:fldCharType="end"/>
      </w:r>
    </w:p>
    <w:p w14:paraId="5C92CC93">
      <w:pPr>
        <w:rPr>
          <w:rFonts w:hint="default" w:ascii="Times New Roman" w:hAnsi="Times New Roman" w:eastAsia="宋体" w:cs="Times New Roman"/>
          <w:color w:val="auto"/>
        </w:rPr>
        <w:sectPr>
          <w:footerReference r:id="rId5" w:type="default"/>
          <w:pgSz w:w="16838" w:h="11906" w:orient="landscape"/>
          <w:pgMar w:top="1418" w:right="1440" w:bottom="1418" w:left="1440" w:header="851" w:footer="992" w:gutter="0"/>
          <w:pgBorders>
            <w:top w:val="none" w:sz="0" w:space="0"/>
            <w:left w:val="none" w:sz="0" w:space="0"/>
            <w:bottom w:val="none" w:sz="0" w:space="0"/>
            <w:right w:val="none" w:sz="0" w:space="0"/>
          </w:pgBorders>
          <w:cols w:space="425" w:num="1"/>
          <w:docGrid w:type="lines" w:linePitch="312" w:charSpace="0"/>
        </w:sectPr>
      </w:pPr>
    </w:p>
    <w:p w14:paraId="1EE36465">
      <w:pPr>
        <w:widowControl/>
        <w:spacing w:line="360" w:lineRule="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附件</w:t>
      </w:r>
    </w:p>
    <w:p w14:paraId="29F64C3F">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 营业执照</w:t>
      </w:r>
    </w:p>
    <w:p w14:paraId="3C5E8700">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附件2 法人身份证复印件</w:t>
      </w:r>
    </w:p>
    <w:p w14:paraId="469207D0">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附件3 投资项目备案表</w:t>
      </w:r>
    </w:p>
    <w:p w14:paraId="118230AE">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附件4 华科星航土地证</w:t>
      </w:r>
    </w:p>
    <w:p w14:paraId="3F76D545">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附件5 </w:t>
      </w:r>
      <w:r>
        <w:rPr>
          <w:rFonts w:hint="eastAsia" w:ascii="Times New Roman" w:hAnsi="Times New Roman" w:eastAsia="宋体" w:cs="Times New Roman"/>
          <w:color w:val="auto"/>
          <w:kern w:val="0"/>
          <w:sz w:val="24"/>
          <w:szCs w:val="24"/>
          <w:lang w:val="en-US" w:eastAsia="zh-CN"/>
        </w:rPr>
        <w:t>购房协议</w:t>
      </w:r>
    </w:p>
    <w:p w14:paraId="0B654982">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附件6 租房协议</w:t>
      </w:r>
    </w:p>
    <w:p w14:paraId="1FF03443">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附件7 </w:t>
      </w:r>
      <w:r>
        <w:rPr>
          <w:rFonts w:hint="eastAsia" w:ascii="Times New Roman" w:hAnsi="Times New Roman" w:eastAsia="宋体" w:cs="Times New Roman"/>
          <w:color w:val="auto"/>
          <w:kern w:val="0"/>
          <w:sz w:val="24"/>
          <w:szCs w:val="24"/>
          <w:lang w:val="en-US" w:eastAsia="zh-CN"/>
        </w:rPr>
        <w:t>碳氢清洗剂</w:t>
      </w:r>
      <w:r>
        <w:rPr>
          <w:rFonts w:hint="default" w:ascii="Times New Roman" w:hAnsi="Times New Roman" w:eastAsia="宋体" w:cs="Times New Roman"/>
          <w:color w:val="auto"/>
          <w:kern w:val="0"/>
          <w:sz w:val="24"/>
          <w:szCs w:val="24"/>
          <w:lang w:val="en-US" w:eastAsia="zh-CN"/>
        </w:rPr>
        <w:t>MSDS、VOC检测报告</w:t>
      </w:r>
    </w:p>
    <w:p w14:paraId="2999D841">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附件8 </w:t>
      </w:r>
      <w:r>
        <w:rPr>
          <w:rFonts w:hint="eastAsia" w:ascii="Times New Roman" w:hAnsi="Times New Roman" w:eastAsia="宋体" w:cs="Times New Roman"/>
          <w:color w:val="auto"/>
          <w:kern w:val="0"/>
          <w:sz w:val="24"/>
          <w:szCs w:val="24"/>
          <w:lang w:val="en-US" w:eastAsia="zh-CN"/>
        </w:rPr>
        <w:t>淬火油</w:t>
      </w:r>
      <w:r>
        <w:rPr>
          <w:rFonts w:hint="default" w:ascii="Times New Roman" w:hAnsi="Times New Roman" w:eastAsia="宋体" w:cs="Times New Roman"/>
          <w:color w:val="auto"/>
          <w:kern w:val="0"/>
          <w:sz w:val="24"/>
          <w:szCs w:val="24"/>
          <w:lang w:val="en-US" w:eastAsia="zh-CN"/>
        </w:rPr>
        <w:t>MSDS</w:t>
      </w:r>
    </w:p>
    <w:p w14:paraId="2DB4FB68">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附件9 </w:t>
      </w:r>
      <w:r>
        <w:rPr>
          <w:rFonts w:hint="eastAsia" w:ascii="Times New Roman" w:hAnsi="Times New Roman" w:eastAsia="宋体" w:cs="Times New Roman"/>
          <w:color w:val="auto"/>
          <w:kern w:val="0"/>
          <w:sz w:val="24"/>
          <w:szCs w:val="24"/>
          <w:lang w:val="en-US" w:eastAsia="zh-CN"/>
        </w:rPr>
        <w:t>防锈油</w:t>
      </w:r>
      <w:r>
        <w:rPr>
          <w:rFonts w:hint="default" w:ascii="Times New Roman" w:hAnsi="Times New Roman" w:eastAsia="宋体" w:cs="Times New Roman"/>
          <w:color w:val="auto"/>
          <w:kern w:val="0"/>
          <w:sz w:val="24"/>
          <w:szCs w:val="24"/>
          <w:lang w:val="en-US" w:eastAsia="zh-CN"/>
        </w:rPr>
        <w:t>MSDS</w:t>
      </w:r>
    </w:p>
    <w:p w14:paraId="2963EBB6">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附件10 </w:t>
      </w:r>
      <w:r>
        <w:rPr>
          <w:rFonts w:hint="eastAsia" w:ascii="Times New Roman" w:hAnsi="Times New Roman" w:eastAsia="宋体" w:cs="Times New Roman"/>
          <w:b w:val="0"/>
          <w:bCs w:val="0"/>
          <w:color w:val="auto"/>
          <w:kern w:val="0"/>
          <w:sz w:val="24"/>
          <w:szCs w:val="24"/>
          <w:lang w:val="en-US" w:eastAsia="zh-CN"/>
        </w:rPr>
        <w:t>不可替代说明及专家论证意见</w:t>
      </w:r>
    </w:p>
    <w:p w14:paraId="783399CB">
      <w:pPr>
        <w:widowControl/>
        <w:spacing w:line="360" w:lineRule="auto"/>
        <w:ind w:firstLine="480" w:firstLineChars="200"/>
        <w:rPr>
          <w:rFonts w:hint="default" w:ascii="Times New Roman" w:hAnsi="Times New Roman" w:eastAsia="宋体" w:cs="Times New Roman"/>
          <w:b w:val="0"/>
          <w:bCs w:val="0"/>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附件11 </w:t>
      </w:r>
      <w:r>
        <w:rPr>
          <w:rFonts w:hint="eastAsia" w:ascii="Times New Roman" w:hAnsi="Times New Roman" w:eastAsia="宋体" w:cs="Times New Roman"/>
          <w:b w:val="0"/>
          <w:bCs w:val="0"/>
          <w:color w:val="auto"/>
          <w:kern w:val="0"/>
          <w:sz w:val="24"/>
          <w:szCs w:val="24"/>
          <w:lang w:val="en-US" w:eastAsia="zh-CN"/>
        </w:rPr>
        <w:t>检测报告及引用说明</w:t>
      </w:r>
    </w:p>
    <w:p w14:paraId="2C7F1A1A">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附件12 委托书</w:t>
      </w:r>
    </w:p>
    <w:p w14:paraId="456D30F5">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val="en-US" w:eastAsia="zh-CN"/>
        </w:rPr>
        <w:t xml:space="preserve"> 承诺书</w:t>
      </w:r>
    </w:p>
    <w:p w14:paraId="00B7ADBB">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4</w:t>
      </w:r>
      <w:r>
        <w:rPr>
          <w:rFonts w:hint="default" w:ascii="Times New Roman" w:hAnsi="Times New Roman" w:eastAsia="宋体" w:cs="Times New Roman"/>
          <w:color w:val="auto"/>
          <w:kern w:val="0"/>
          <w:sz w:val="24"/>
          <w:szCs w:val="24"/>
          <w:lang w:val="en-US" w:eastAsia="zh-CN"/>
        </w:rPr>
        <w:t xml:space="preserve"> 公示承诺</w:t>
      </w:r>
    </w:p>
    <w:p w14:paraId="71CED1F9">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5</w:t>
      </w:r>
      <w:r>
        <w:rPr>
          <w:rFonts w:hint="default" w:ascii="Times New Roman" w:hAnsi="Times New Roman" w:eastAsia="宋体" w:cs="Times New Roman"/>
          <w:color w:val="auto"/>
          <w:kern w:val="0"/>
          <w:sz w:val="24"/>
          <w:szCs w:val="24"/>
          <w:lang w:val="en-US" w:eastAsia="zh-CN"/>
        </w:rPr>
        <w:t xml:space="preserve"> 危废处置承诺书</w:t>
      </w:r>
    </w:p>
    <w:p w14:paraId="72EC09BD">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6</w:t>
      </w:r>
      <w:r>
        <w:rPr>
          <w:rFonts w:hint="default" w:ascii="Times New Roman" w:hAnsi="Times New Roman" w:eastAsia="宋体"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报批承诺书</w:t>
      </w:r>
    </w:p>
    <w:p w14:paraId="1B511DD8">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7</w:t>
      </w:r>
      <w:r>
        <w:rPr>
          <w:rFonts w:hint="default" w:ascii="Times New Roman" w:hAnsi="Times New Roman" w:eastAsia="宋体" w:cs="Times New Roman"/>
          <w:color w:val="auto"/>
          <w:kern w:val="0"/>
          <w:sz w:val="24"/>
          <w:szCs w:val="24"/>
          <w:lang w:val="en-US" w:eastAsia="zh-CN"/>
        </w:rPr>
        <w:t xml:space="preserve"> </w:t>
      </w:r>
      <w:r>
        <w:rPr>
          <w:rFonts w:hint="eastAsia" w:ascii="Times New Roman" w:hAnsi="Times New Roman" w:eastAsia="宋体" w:cs="Times New Roman"/>
          <w:color w:val="auto"/>
          <w:kern w:val="0"/>
          <w:sz w:val="24"/>
          <w:szCs w:val="24"/>
          <w:lang w:val="en-US" w:eastAsia="zh-CN"/>
        </w:rPr>
        <w:t>规划环评审批意见</w:t>
      </w:r>
    </w:p>
    <w:p w14:paraId="44054BCA">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8</w:t>
      </w:r>
      <w:r>
        <w:rPr>
          <w:rFonts w:hint="default" w:ascii="Times New Roman" w:hAnsi="Times New Roman" w:eastAsia="宋体" w:cs="Times New Roman"/>
          <w:color w:val="auto"/>
          <w:kern w:val="0"/>
          <w:sz w:val="24"/>
          <w:szCs w:val="24"/>
          <w:lang w:val="en-US" w:eastAsia="zh-CN"/>
        </w:rPr>
        <w:t xml:space="preserve"> 工程师现场踏勘照片</w:t>
      </w:r>
    </w:p>
    <w:p w14:paraId="62465586">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附件1</w:t>
      </w:r>
      <w:r>
        <w:rPr>
          <w:rFonts w:hint="eastAsia" w:ascii="Times New Roman" w:hAnsi="Times New Roman" w:eastAsia="宋体" w:cs="Times New Roman"/>
          <w:color w:val="auto"/>
          <w:kern w:val="0"/>
          <w:sz w:val="24"/>
          <w:szCs w:val="24"/>
          <w:lang w:val="en-US" w:eastAsia="zh-CN"/>
        </w:rPr>
        <w:t>9</w:t>
      </w:r>
      <w:r>
        <w:rPr>
          <w:rFonts w:hint="default" w:ascii="Times New Roman" w:hAnsi="Times New Roman" w:eastAsia="宋体" w:cs="Times New Roman"/>
          <w:color w:val="auto"/>
          <w:kern w:val="0"/>
          <w:sz w:val="24"/>
          <w:szCs w:val="24"/>
          <w:lang w:val="en-US" w:eastAsia="zh-CN"/>
        </w:rPr>
        <w:t xml:space="preserve"> 环评合同</w:t>
      </w:r>
    </w:p>
    <w:p w14:paraId="4E741911">
      <w:pPr>
        <w:widowControl/>
        <w:spacing w:line="360" w:lineRule="auto"/>
        <w:rPr>
          <w:rFonts w:hint="default" w:ascii="Times New Roman" w:hAnsi="Times New Roman" w:eastAsia="宋体" w:cs="Times New Roman"/>
          <w:b/>
          <w:bCs/>
          <w:color w:val="auto"/>
          <w:kern w:val="0"/>
          <w:sz w:val="24"/>
          <w:szCs w:val="24"/>
          <w:lang w:val="en-US" w:eastAsia="zh-CN"/>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58588855">
      <w:pPr>
        <w:widowControl/>
        <w:spacing w:line="360" w:lineRule="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附图</w:t>
      </w:r>
    </w:p>
    <w:p w14:paraId="3FBFCB5A">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附图1 地理位置图</w:t>
      </w:r>
    </w:p>
    <w:p w14:paraId="594D98DF">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附图2 项目周边500m用地现状图</w:t>
      </w:r>
    </w:p>
    <w:p w14:paraId="3CBA1001">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附图3 平面布置图</w:t>
      </w:r>
      <w:r>
        <w:rPr>
          <w:rFonts w:hint="eastAsia" w:ascii="Times New Roman" w:hAnsi="Times New Roman" w:eastAsia="宋体" w:cs="Times New Roman"/>
          <w:color w:val="auto"/>
          <w:kern w:val="0"/>
          <w:sz w:val="24"/>
          <w:szCs w:val="24"/>
          <w:lang w:val="en-US" w:eastAsia="zh-CN"/>
        </w:rPr>
        <w:t>（一层、二层）</w:t>
      </w:r>
    </w:p>
    <w:p w14:paraId="165778C7">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附图4 </w:t>
      </w:r>
      <w:r>
        <w:rPr>
          <w:rFonts w:hint="eastAsia" w:ascii="Times New Roman" w:hAnsi="Times New Roman" w:eastAsia="宋体" w:cs="Times New Roman"/>
          <w:color w:val="auto"/>
          <w:kern w:val="0"/>
          <w:sz w:val="24"/>
          <w:szCs w:val="24"/>
          <w:lang w:val="en-US" w:eastAsia="zh-CN"/>
        </w:rPr>
        <w:t>平面布置图（三层、四层）</w:t>
      </w:r>
    </w:p>
    <w:p w14:paraId="6E2F2CEC">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附图5 </w:t>
      </w:r>
      <w:r>
        <w:rPr>
          <w:rFonts w:hint="eastAsia" w:ascii="Times New Roman" w:hAnsi="Times New Roman" w:eastAsia="宋体" w:cs="Times New Roman"/>
          <w:color w:val="auto"/>
          <w:kern w:val="0"/>
          <w:sz w:val="24"/>
          <w:szCs w:val="24"/>
          <w:lang w:val="en-US" w:eastAsia="zh-CN"/>
        </w:rPr>
        <w:t>生态环境分区管控方案图件</w:t>
      </w:r>
    </w:p>
    <w:p w14:paraId="6D8FDBFB">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附图6 区域水系及地表水监测断面示意图 </w:t>
      </w:r>
    </w:p>
    <w:p w14:paraId="1FAC8854">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附图7 金坛经济开发区污水管网图</w:t>
      </w:r>
    </w:p>
    <w:p w14:paraId="1FD12302">
      <w:pPr>
        <w:widowControl/>
        <w:spacing w:line="360" w:lineRule="auto"/>
        <w:ind w:firstLine="480" w:firstLineChars="200"/>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附图</w:t>
      </w:r>
      <w:r>
        <w:rPr>
          <w:rFonts w:hint="eastAsia" w:ascii="Times New Roman" w:hAnsi="Times New Roman" w:eastAsia="宋体" w:cs="Times New Roman"/>
          <w:color w:val="auto"/>
          <w:kern w:val="0"/>
          <w:sz w:val="24"/>
          <w:szCs w:val="24"/>
          <w:lang w:val="en-US" w:eastAsia="zh-CN"/>
        </w:rPr>
        <w:t>8</w:t>
      </w:r>
      <w:r>
        <w:rPr>
          <w:rFonts w:hint="default" w:ascii="Times New Roman" w:hAnsi="Times New Roman" w:eastAsia="宋体" w:cs="Times New Roman"/>
          <w:color w:val="auto"/>
          <w:kern w:val="0"/>
          <w:sz w:val="24"/>
          <w:szCs w:val="24"/>
          <w:lang w:val="en-US" w:eastAsia="zh-CN"/>
        </w:rPr>
        <w:t xml:space="preserve"> 金坛经济开发区用地规划图</w:t>
      </w:r>
    </w:p>
    <w:p w14:paraId="5C479BAB">
      <w:pPr>
        <w:rPr>
          <w:rFonts w:hint="default" w:ascii="Times New Roman" w:hAnsi="Times New Roman" w:eastAsia="宋体" w:cs="Times New Roman"/>
          <w:color w:val="auto"/>
          <w:sz w:val="24"/>
        </w:rPr>
      </w:pPr>
    </w:p>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modern"/>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6A6245">
    <w:pPr>
      <w:pStyle w:val="17"/>
      <w:jc w:val="center"/>
    </w:pPr>
  </w:p>
  <w:p w14:paraId="31F7C53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3076823"/>
      <w:docPartObj>
        <w:docPartGallery w:val="autotext"/>
      </w:docPartObj>
    </w:sdtPr>
    <w:sdtEndPr>
      <w:rPr>
        <w:rFonts w:ascii="Times New Roman" w:hAnsi="Times New Roman" w:cs="Times New Roman"/>
      </w:rPr>
    </w:sdtEndPr>
    <w:sdtContent>
      <w:p w14:paraId="5C764A04">
        <w:pPr>
          <w:pStyle w:val="17"/>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21</w:t>
        </w:r>
        <w:r>
          <w:rPr>
            <w:rFonts w:ascii="Times New Roman" w:hAnsi="Times New Roman" w:cs="Times New Roman"/>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5EBF80">
    <w:pPr>
      <w:pStyle w:val="17"/>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1" name="文本框 3"/>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6350">
                        <a:noFill/>
                      </a:ln>
                    </wps:spPr>
                    <wps:txbx>
                      <w:txbxContent>
                        <w:p w14:paraId="515FACB6">
                          <w:pPr>
                            <w:pStyle w:val="17"/>
                          </w:pPr>
                          <w:r>
                            <w:fldChar w:fldCharType="begin"/>
                          </w:r>
                          <w:r>
                            <w:instrText xml:space="preserve"> PAGE  \* MERGEFORMAT </w:instrText>
                          </w:r>
                          <w:r>
                            <w:fldChar w:fldCharType="separate"/>
                          </w:r>
                          <w:r>
                            <w:t>107</w:t>
                          </w:r>
                          <w:r>
                            <w:fldChar w:fldCharType="end"/>
                          </w:r>
                        </w:p>
                      </w:txbxContent>
                    </wps:txbx>
                    <wps:bodyPr wrap="none" lIns="0" tIns="0" rIns="0" bIns="0" upright="1">
                      <a:spAutoFit/>
                    </wps:bodyPr>
                  </wps:wsp>
                </a:graphicData>
              </a:graphic>
            </wp:anchor>
          </w:drawing>
        </mc:Choice>
        <mc:Fallback>
          <w:pict>
            <v:shape id="文本框 3"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Cl3GF10gAAAAMBAAAPAAAAAAAAAAEAIAAAACIA&#10;AABkcnMvZG93bnJldi54bWxQSwECFAAUAAAACACHTuJAiy7+vNYBAACgAwAADgAAAAAAAAABACAA&#10;AAAhAQAAZHJzL2Uyb0RvYy54bWxQSwUGAAAAAAYABgBZAQAAaQUAAAAA&#10;">
              <v:fill on="f" focussize="0,0"/>
              <v:stroke on="f" weight="0.5pt"/>
              <v:imagedata o:title=""/>
              <o:lock v:ext="edit" aspectratio="f"/>
              <v:textbox inset="0mm,0mm,0mm,0mm" style="mso-fit-shape-to-text:t;">
                <w:txbxContent>
                  <w:p w14:paraId="515FACB6">
                    <w:pPr>
                      <w:pStyle w:val="17"/>
                    </w:pPr>
                    <w:r>
                      <w:fldChar w:fldCharType="begin"/>
                    </w:r>
                    <w:r>
                      <w:instrText xml:space="preserve"> PAGE  \* MERGEFORMAT </w:instrText>
                    </w:r>
                    <w:r>
                      <w:fldChar w:fldCharType="separate"/>
                    </w:r>
                    <w:r>
                      <w:t>107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48F48">
    <w:pPr>
      <w:pStyle w:val="17"/>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61F2D01">
                          <w:pPr>
                            <w:pStyle w:val="17"/>
                          </w:pPr>
                          <w:r>
                            <w:fldChar w:fldCharType="begin"/>
                          </w:r>
                          <w:r>
                            <w:instrText xml:space="preserve"> PAGE  \* MERGEFORMAT </w:instrText>
                          </w:r>
                          <w:r>
                            <w:fldChar w:fldCharType="separate"/>
                          </w:r>
                          <w:r>
                            <w:t>86</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PRNfsgBAACZ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zcYhRL3vyhLlehBuDwmbKL3lCiPsVBgnVthN25VX4vG9ZD38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T0TX7IAQAAmQMAAA4AAAAAAAAAAQAgAAAAHgEAAGRycy9lMm9Eb2Mu&#10;eG1sUEsFBgAAAAAGAAYAWQEAAFgFAAAAAA==&#10;">
              <v:fill on="f" focussize="0,0"/>
              <v:stroke on="f"/>
              <v:imagedata o:title=""/>
              <o:lock v:ext="edit" aspectratio="f"/>
              <v:textbox inset="0mm,0mm,0mm,0mm" style="mso-fit-shape-to-text:t;">
                <w:txbxContent>
                  <w:p w14:paraId="761F2D01">
                    <w:pPr>
                      <w:pStyle w:val="17"/>
                    </w:pPr>
                    <w:r>
                      <w:fldChar w:fldCharType="begin"/>
                    </w:r>
                    <w:r>
                      <w:instrText xml:space="preserve"> PAGE  \* MERGEFORMAT </w:instrText>
                    </w:r>
                    <w:r>
                      <w:fldChar w:fldCharType="separate"/>
                    </w:r>
                    <w:r>
                      <w:t>86</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30E127"/>
    <w:multiLevelType w:val="singleLevel"/>
    <w:tmpl w:val="A230E127"/>
    <w:lvl w:ilvl="0" w:tentative="0">
      <w:start w:val="4"/>
      <w:numFmt w:val="chineseCounting"/>
      <w:suff w:val="nothing"/>
      <w:lvlText w:val="%1、"/>
      <w:lvlJc w:val="left"/>
      <w:pPr>
        <w:ind w:left="420"/>
      </w:pPr>
      <w:rPr>
        <w:rFonts w:hint="eastAsia"/>
      </w:rPr>
    </w:lvl>
  </w:abstractNum>
  <w:abstractNum w:abstractNumId="1">
    <w:nsid w:val="D51EE498"/>
    <w:multiLevelType w:val="singleLevel"/>
    <w:tmpl w:val="D51EE498"/>
    <w:lvl w:ilvl="0" w:tentative="0">
      <w:start w:val="1"/>
      <w:numFmt w:val="bullet"/>
      <w:pStyle w:val="3"/>
      <w:lvlText w:val=""/>
      <w:lvlJc w:val="left"/>
      <w:pPr>
        <w:tabs>
          <w:tab w:val="left" w:pos="2040"/>
        </w:tabs>
        <w:ind w:left="2040" w:hanging="36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ZhZWM1YmQwMDUyZTY0YmFmOGM0ZGYzMmVmNTE4NWUifQ=="/>
  </w:docVars>
  <w:rsids>
    <w:rsidRoot w:val="0064669D"/>
    <w:rsid w:val="00000CFF"/>
    <w:rsid w:val="000016D6"/>
    <w:rsid w:val="00006385"/>
    <w:rsid w:val="0000769B"/>
    <w:rsid w:val="000106F0"/>
    <w:rsid w:val="00012B84"/>
    <w:rsid w:val="00013C31"/>
    <w:rsid w:val="000173BD"/>
    <w:rsid w:val="000207B0"/>
    <w:rsid w:val="00026701"/>
    <w:rsid w:val="00026FCE"/>
    <w:rsid w:val="000276C0"/>
    <w:rsid w:val="0002798F"/>
    <w:rsid w:val="000316C0"/>
    <w:rsid w:val="00033945"/>
    <w:rsid w:val="00036CD2"/>
    <w:rsid w:val="00041B55"/>
    <w:rsid w:val="00043E7D"/>
    <w:rsid w:val="0005090B"/>
    <w:rsid w:val="000510AC"/>
    <w:rsid w:val="000513C1"/>
    <w:rsid w:val="00052608"/>
    <w:rsid w:val="000611ED"/>
    <w:rsid w:val="00063E46"/>
    <w:rsid w:val="00065978"/>
    <w:rsid w:val="00065B25"/>
    <w:rsid w:val="00072B8A"/>
    <w:rsid w:val="00076090"/>
    <w:rsid w:val="00077063"/>
    <w:rsid w:val="000801B6"/>
    <w:rsid w:val="00080A63"/>
    <w:rsid w:val="00083E48"/>
    <w:rsid w:val="00083F93"/>
    <w:rsid w:val="00085D60"/>
    <w:rsid w:val="000865C8"/>
    <w:rsid w:val="0008737A"/>
    <w:rsid w:val="00090B1D"/>
    <w:rsid w:val="00092CEC"/>
    <w:rsid w:val="000936D7"/>
    <w:rsid w:val="00094E34"/>
    <w:rsid w:val="000956D3"/>
    <w:rsid w:val="00095CD3"/>
    <w:rsid w:val="000A01D5"/>
    <w:rsid w:val="000A08B0"/>
    <w:rsid w:val="000A0CED"/>
    <w:rsid w:val="000A27EC"/>
    <w:rsid w:val="000A3B58"/>
    <w:rsid w:val="000A5B74"/>
    <w:rsid w:val="000A6A5E"/>
    <w:rsid w:val="000B27BA"/>
    <w:rsid w:val="000B2B7C"/>
    <w:rsid w:val="000B6D0F"/>
    <w:rsid w:val="000B739B"/>
    <w:rsid w:val="000C0AE6"/>
    <w:rsid w:val="000C1BAF"/>
    <w:rsid w:val="000C2673"/>
    <w:rsid w:val="000C3080"/>
    <w:rsid w:val="000C4CF3"/>
    <w:rsid w:val="000D0D08"/>
    <w:rsid w:val="000D0DCE"/>
    <w:rsid w:val="000D28E9"/>
    <w:rsid w:val="000D4598"/>
    <w:rsid w:val="000D4D8C"/>
    <w:rsid w:val="000D5FEA"/>
    <w:rsid w:val="000E0E45"/>
    <w:rsid w:val="000E1D1D"/>
    <w:rsid w:val="000E32F8"/>
    <w:rsid w:val="000E590D"/>
    <w:rsid w:val="000E6BE2"/>
    <w:rsid w:val="000F3205"/>
    <w:rsid w:val="00102A0A"/>
    <w:rsid w:val="00103556"/>
    <w:rsid w:val="00104DC3"/>
    <w:rsid w:val="001051F3"/>
    <w:rsid w:val="00105B36"/>
    <w:rsid w:val="00106A31"/>
    <w:rsid w:val="00106D5D"/>
    <w:rsid w:val="00112D95"/>
    <w:rsid w:val="00112E3C"/>
    <w:rsid w:val="00115B3B"/>
    <w:rsid w:val="00121603"/>
    <w:rsid w:val="0012198A"/>
    <w:rsid w:val="00127264"/>
    <w:rsid w:val="00127EA8"/>
    <w:rsid w:val="00127F51"/>
    <w:rsid w:val="00130925"/>
    <w:rsid w:val="00130D2C"/>
    <w:rsid w:val="00131BA7"/>
    <w:rsid w:val="00132BFC"/>
    <w:rsid w:val="00136393"/>
    <w:rsid w:val="0013641C"/>
    <w:rsid w:val="0013687A"/>
    <w:rsid w:val="00136F38"/>
    <w:rsid w:val="00142C45"/>
    <w:rsid w:val="00144DD0"/>
    <w:rsid w:val="001451FC"/>
    <w:rsid w:val="001500B7"/>
    <w:rsid w:val="0015184C"/>
    <w:rsid w:val="0015395B"/>
    <w:rsid w:val="00154184"/>
    <w:rsid w:val="0015618F"/>
    <w:rsid w:val="00161172"/>
    <w:rsid w:val="001617E2"/>
    <w:rsid w:val="00161A75"/>
    <w:rsid w:val="00163010"/>
    <w:rsid w:val="00164C89"/>
    <w:rsid w:val="00164FD8"/>
    <w:rsid w:val="00172209"/>
    <w:rsid w:val="00175136"/>
    <w:rsid w:val="001822CF"/>
    <w:rsid w:val="001833C2"/>
    <w:rsid w:val="00184182"/>
    <w:rsid w:val="0018493A"/>
    <w:rsid w:val="001857C6"/>
    <w:rsid w:val="00187243"/>
    <w:rsid w:val="00187DC7"/>
    <w:rsid w:val="00192B70"/>
    <w:rsid w:val="00194BE6"/>
    <w:rsid w:val="001959C5"/>
    <w:rsid w:val="001A3D80"/>
    <w:rsid w:val="001A4A36"/>
    <w:rsid w:val="001A7162"/>
    <w:rsid w:val="001B00D4"/>
    <w:rsid w:val="001B148B"/>
    <w:rsid w:val="001B1C54"/>
    <w:rsid w:val="001B210A"/>
    <w:rsid w:val="001B2A40"/>
    <w:rsid w:val="001B2DCE"/>
    <w:rsid w:val="001B42AF"/>
    <w:rsid w:val="001B59B0"/>
    <w:rsid w:val="001B7682"/>
    <w:rsid w:val="001C1633"/>
    <w:rsid w:val="001C6DDB"/>
    <w:rsid w:val="001C6E7F"/>
    <w:rsid w:val="001C7172"/>
    <w:rsid w:val="001C7AAF"/>
    <w:rsid w:val="001D2508"/>
    <w:rsid w:val="001D2A19"/>
    <w:rsid w:val="001D362A"/>
    <w:rsid w:val="001D5AE4"/>
    <w:rsid w:val="001D7602"/>
    <w:rsid w:val="001D7B9F"/>
    <w:rsid w:val="001E48D2"/>
    <w:rsid w:val="001E6CF1"/>
    <w:rsid w:val="001F0C46"/>
    <w:rsid w:val="001F3476"/>
    <w:rsid w:val="001F3C09"/>
    <w:rsid w:val="0020119A"/>
    <w:rsid w:val="0020316C"/>
    <w:rsid w:val="00203B33"/>
    <w:rsid w:val="00206F6B"/>
    <w:rsid w:val="002076B7"/>
    <w:rsid w:val="00210F42"/>
    <w:rsid w:val="0021259E"/>
    <w:rsid w:val="0021379F"/>
    <w:rsid w:val="00215683"/>
    <w:rsid w:val="00215720"/>
    <w:rsid w:val="0021572A"/>
    <w:rsid w:val="00216908"/>
    <w:rsid w:val="00216E9E"/>
    <w:rsid w:val="002205F5"/>
    <w:rsid w:val="002210DA"/>
    <w:rsid w:val="0022143B"/>
    <w:rsid w:val="002226A3"/>
    <w:rsid w:val="0022489E"/>
    <w:rsid w:val="00224C1E"/>
    <w:rsid w:val="002260B1"/>
    <w:rsid w:val="00227AA9"/>
    <w:rsid w:val="0023188E"/>
    <w:rsid w:val="00233542"/>
    <w:rsid w:val="00233C53"/>
    <w:rsid w:val="00240638"/>
    <w:rsid w:val="00241DA4"/>
    <w:rsid w:val="00244063"/>
    <w:rsid w:val="00246150"/>
    <w:rsid w:val="002479A0"/>
    <w:rsid w:val="0025331D"/>
    <w:rsid w:val="0026024C"/>
    <w:rsid w:val="00261964"/>
    <w:rsid w:val="00267634"/>
    <w:rsid w:val="00267653"/>
    <w:rsid w:val="00270FF6"/>
    <w:rsid w:val="00273A42"/>
    <w:rsid w:val="00273D02"/>
    <w:rsid w:val="002751E0"/>
    <w:rsid w:val="002846B0"/>
    <w:rsid w:val="00285E30"/>
    <w:rsid w:val="00287406"/>
    <w:rsid w:val="002877AD"/>
    <w:rsid w:val="00297528"/>
    <w:rsid w:val="002A0A6E"/>
    <w:rsid w:val="002A26E0"/>
    <w:rsid w:val="002A44C5"/>
    <w:rsid w:val="002A58E6"/>
    <w:rsid w:val="002A64CC"/>
    <w:rsid w:val="002A6778"/>
    <w:rsid w:val="002A686D"/>
    <w:rsid w:val="002A6CEC"/>
    <w:rsid w:val="002B09D7"/>
    <w:rsid w:val="002B0A6A"/>
    <w:rsid w:val="002B2C41"/>
    <w:rsid w:val="002B5F00"/>
    <w:rsid w:val="002B7BC3"/>
    <w:rsid w:val="002D0813"/>
    <w:rsid w:val="002D3003"/>
    <w:rsid w:val="002D7F4F"/>
    <w:rsid w:val="002E0C04"/>
    <w:rsid w:val="002E3D40"/>
    <w:rsid w:val="002E57B8"/>
    <w:rsid w:val="002E6D45"/>
    <w:rsid w:val="002F14F3"/>
    <w:rsid w:val="002F2D2E"/>
    <w:rsid w:val="002F3B30"/>
    <w:rsid w:val="002F543E"/>
    <w:rsid w:val="002F62B4"/>
    <w:rsid w:val="002F6BFA"/>
    <w:rsid w:val="00303492"/>
    <w:rsid w:val="00310023"/>
    <w:rsid w:val="003123D3"/>
    <w:rsid w:val="00312510"/>
    <w:rsid w:val="00314080"/>
    <w:rsid w:val="00315480"/>
    <w:rsid w:val="00317D74"/>
    <w:rsid w:val="00321A78"/>
    <w:rsid w:val="00322D77"/>
    <w:rsid w:val="00324160"/>
    <w:rsid w:val="0032424E"/>
    <w:rsid w:val="00325400"/>
    <w:rsid w:val="00325CD5"/>
    <w:rsid w:val="003277F9"/>
    <w:rsid w:val="00332818"/>
    <w:rsid w:val="003330AE"/>
    <w:rsid w:val="00333437"/>
    <w:rsid w:val="00333A00"/>
    <w:rsid w:val="003348E2"/>
    <w:rsid w:val="00337553"/>
    <w:rsid w:val="00344729"/>
    <w:rsid w:val="00346562"/>
    <w:rsid w:val="00347AF8"/>
    <w:rsid w:val="0035182F"/>
    <w:rsid w:val="003527BD"/>
    <w:rsid w:val="00355416"/>
    <w:rsid w:val="00356877"/>
    <w:rsid w:val="003600FA"/>
    <w:rsid w:val="00360D58"/>
    <w:rsid w:val="00361B46"/>
    <w:rsid w:val="0036409B"/>
    <w:rsid w:val="00364DBE"/>
    <w:rsid w:val="00365090"/>
    <w:rsid w:val="003706D4"/>
    <w:rsid w:val="00370F80"/>
    <w:rsid w:val="00371FBD"/>
    <w:rsid w:val="00372933"/>
    <w:rsid w:val="00374212"/>
    <w:rsid w:val="00374D0E"/>
    <w:rsid w:val="0037735C"/>
    <w:rsid w:val="00380AD5"/>
    <w:rsid w:val="00380FD7"/>
    <w:rsid w:val="0038498B"/>
    <w:rsid w:val="0038507B"/>
    <w:rsid w:val="00385091"/>
    <w:rsid w:val="00387E7B"/>
    <w:rsid w:val="00390F1C"/>
    <w:rsid w:val="003918DA"/>
    <w:rsid w:val="00392763"/>
    <w:rsid w:val="00393AB2"/>
    <w:rsid w:val="00395421"/>
    <w:rsid w:val="003A089B"/>
    <w:rsid w:val="003A0DE2"/>
    <w:rsid w:val="003A2252"/>
    <w:rsid w:val="003A33D5"/>
    <w:rsid w:val="003A3E13"/>
    <w:rsid w:val="003A4043"/>
    <w:rsid w:val="003A415A"/>
    <w:rsid w:val="003A63D5"/>
    <w:rsid w:val="003B02A6"/>
    <w:rsid w:val="003B154A"/>
    <w:rsid w:val="003B52DC"/>
    <w:rsid w:val="003B5827"/>
    <w:rsid w:val="003B5CA6"/>
    <w:rsid w:val="003B6EF0"/>
    <w:rsid w:val="003C1DC5"/>
    <w:rsid w:val="003C1F99"/>
    <w:rsid w:val="003C26A6"/>
    <w:rsid w:val="003C27FD"/>
    <w:rsid w:val="003D2F3E"/>
    <w:rsid w:val="003D3D7B"/>
    <w:rsid w:val="003D62FE"/>
    <w:rsid w:val="003D6BBE"/>
    <w:rsid w:val="003E2FB2"/>
    <w:rsid w:val="003E624C"/>
    <w:rsid w:val="003E6A03"/>
    <w:rsid w:val="003E6A3D"/>
    <w:rsid w:val="003E7488"/>
    <w:rsid w:val="003F0E57"/>
    <w:rsid w:val="003F264E"/>
    <w:rsid w:val="003F2AB6"/>
    <w:rsid w:val="003F53D7"/>
    <w:rsid w:val="003F5571"/>
    <w:rsid w:val="00405644"/>
    <w:rsid w:val="004057D7"/>
    <w:rsid w:val="00412AF6"/>
    <w:rsid w:val="00414727"/>
    <w:rsid w:val="00416BF0"/>
    <w:rsid w:val="00416F34"/>
    <w:rsid w:val="004223CF"/>
    <w:rsid w:val="004238FB"/>
    <w:rsid w:val="00424156"/>
    <w:rsid w:val="0043016B"/>
    <w:rsid w:val="0043218E"/>
    <w:rsid w:val="00432858"/>
    <w:rsid w:val="00433280"/>
    <w:rsid w:val="00440337"/>
    <w:rsid w:val="00442A87"/>
    <w:rsid w:val="00446118"/>
    <w:rsid w:val="0044651C"/>
    <w:rsid w:val="00447E28"/>
    <w:rsid w:val="004539E6"/>
    <w:rsid w:val="00454B13"/>
    <w:rsid w:val="00454EBE"/>
    <w:rsid w:val="0045610B"/>
    <w:rsid w:val="00457BEA"/>
    <w:rsid w:val="00460235"/>
    <w:rsid w:val="00460A8B"/>
    <w:rsid w:val="004660E5"/>
    <w:rsid w:val="00466CB1"/>
    <w:rsid w:val="004678F1"/>
    <w:rsid w:val="00471D12"/>
    <w:rsid w:val="00472849"/>
    <w:rsid w:val="00473137"/>
    <w:rsid w:val="0047432B"/>
    <w:rsid w:val="00477C7F"/>
    <w:rsid w:val="0048108F"/>
    <w:rsid w:val="00481F76"/>
    <w:rsid w:val="00483C4D"/>
    <w:rsid w:val="004845A0"/>
    <w:rsid w:val="00493F09"/>
    <w:rsid w:val="0049459A"/>
    <w:rsid w:val="004947C3"/>
    <w:rsid w:val="004A0E81"/>
    <w:rsid w:val="004A2F3D"/>
    <w:rsid w:val="004A31D0"/>
    <w:rsid w:val="004A3941"/>
    <w:rsid w:val="004A3FBE"/>
    <w:rsid w:val="004B0DFA"/>
    <w:rsid w:val="004B4613"/>
    <w:rsid w:val="004C0D0D"/>
    <w:rsid w:val="004C20F5"/>
    <w:rsid w:val="004C63EC"/>
    <w:rsid w:val="004C697A"/>
    <w:rsid w:val="004D12DB"/>
    <w:rsid w:val="004D176D"/>
    <w:rsid w:val="004D27E1"/>
    <w:rsid w:val="004D426B"/>
    <w:rsid w:val="004D51C1"/>
    <w:rsid w:val="004D73CD"/>
    <w:rsid w:val="004E03E2"/>
    <w:rsid w:val="004E2CBA"/>
    <w:rsid w:val="004E339D"/>
    <w:rsid w:val="004E481E"/>
    <w:rsid w:val="004E4FD8"/>
    <w:rsid w:val="004E532A"/>
    <w:rsid w:val="004E7E52"/>
    <w:rsid w:val="004F37BC"/>
    <w:rsid w:val="004F43E6"/>
    <w:rsid w:val="004F4EC7"/>
    <w:rsid w:val="004F7F29"/>
    <w:rsid w:val="005028A8"/>
    <w:rsid w:val="00503A32"/>
    <w:rsid w:val="00506D5E"/>
    <w:rsid w:val="00512B6E"/>
    <w:rsid w:val="00512DB7"/>
    <w:rsid w:val="005131F7"/>
    <w:rsid w:val="0051322A"/>
    <w:rsid w:val="00513DBC"/>
    <w:rsid w:val="005203A8"/>
    <w:rsid w:val="00522923"/>
    <w:rsid w:val="0052359F"/>
    <w:rsid w:val="00526D1D"/>
    <w:rsid w:val="0053288A"/>
    <w:rsid w:val="005333A9"/>
    <w:rsid w:val="005363CE"/>
    <w:rsid w:val="0053730C"/>
    <w:rsid w:val="00537A2B"/>
    <w:rsid w:val="005431D4"/>
    <w:rsid w:val="00543990"/>
    <w:rsid w:val="005444BD"/>
    <w:rsid w:val="00545602"/>
    <w:rsid w:val="005468C8"/>
    <w:rsid w:val="00551CD0"/>
    <w:rsid w:val="005521FD"/>
    <w:rsid w:val="0055293B"/>
    <w:rsid w:val="00552A5D"/>
    <w:rsid w:val="00552FE4"/>
    <w:rsid w:val="00553FCD"/>
    <w:rsid w:val="00555DE9"/>
    <w:rsid w:val="00556751"/>
    <w:rsid w:val="005571E2"/>
    <w:rsid w:val="00564F5F"/>
    <w:rsid w:val="00567CB4"/>
    <w:rsid w:val="00572A50"/>
    <w:rsid w:val="0057412A"/>
    <w:rsid w:val="005751A2"/>
    <w:rsid w:val="005760CD"/>
    <w:rsid w:val="00576FFA"/>
    <w:rsid w:val="00577CBC"/>
    <w:rsid w:val="005807AA"/>
    <w:rsid w:val="00582A89"/>
    <w:rsid w:val="00584FA2"/>
    <w:rsid w:val="00584FC1"/>
    <w:rsid w:val="00591133"/>
    <w:rsid w:val="00592476"/>
    <w:rsid w:val="005932CD"/>
    <w:rsid w:val="00593E8C"/>
    <w:rsid w:val="00595670"/>
    <w:rsid w:val="00595C4C"/>
    <w:rsid w:val="00597BAB"/>
    <w:rsid w:val="00597BC3"/>
    <w:rsid w:val="005A0EA4"/>
    <w:rsid w:val="005A28F7"/>
    <w:rsid w:val="005A55C7"/>
    <w:rsid w:val="005A70E1"/>
    <w:rsid w:val="005A7C12"/>
    <w:rsid w:val="005B3263"/>
    <w:rsid w:val="005B504D"/>
    <w:rsid w:val="005B5D85"/>
    <w:rsid w:val="005B6ECD"/>
    <w:rsid w:val="005B7A15"/>
    <w:rsid w:val="005C45E0"/>
    <w:rsid w:val="005C4A9B"/>
    <w:rsid w:val="005C7669"/>
    <w:rsid w:val="005C770E"/>
    <w:rsid w:val="005C77B3"/>
    <w:rsid w:val="005D2CC9"/>
    <w:rsid w:val="005D353E"/>
    <w:rsid w:val="005D6936"/>
    <w:rsid w:val="005D74FE"/>
    <w:rsid w:val="005E15F2"/>
    <w:rsid w:val="005E4333"/>
    <w:rsid w:val="005E5087"/>
    <w:rsid w:val="005E688D"/>
    <w:rsid w:val="005E6AFB"/>
    <w:rsid w:val="005F2502"/>
    <w:rsid w:val="005F2974"/>
    <w:rsid w:val="005F2FBD"/>
    <w:rsid w:val="005F3912"/>
    <w:rsid w:val="0060145C"/>
    <w:rsid w:val="00601BE5"/>
    <w:rsid w:val="006030EC"/>
    <w:rsid w:val="0060645F"/>
    <w:rsid w:val="006064AC"/>
    <w:rsid w:val="006079F8"/>
    <w:rsid w:val="00613D4F"/>
    <w:rsid w:val="00614C7B"/>
    <w:rsid w:val="00616276"/>
    <w:rsid w:val="00616D18"/>
    <w:rsid w:val="00624F58"/>
    <w:rsid w:val="0062511E"/>
    <w:rsid w:val="00626A8F"/>
    <w:rsid w:val="00627DCF"/>
    <w:rsid w:val="006315A1"/>
    <w:rsid w:val="006324C5"/>
    <w:rsid w:val="006339C9"/>
    <w:rsid w:val="006349D3"/>
    <w:rsid w:val="00637F7B"/>
    <w:rsid w:val="00641059"/>
    <w:rsid w:val="00644DD7"/>
    <w:rsid w:val="00645E3E"/>
    <w:rsid w:val="0064669D"/>
    <w:rsid w:val="00647DC7"/>
    <w:rsid w:val="006507B2"/>
    <w:rsid w:val="0065220A"/>
    <w:rsid w:val="00652CBE"/>
    <w:rsid w:val="0065402F"/>
    <w:rsid w:val="00654CFB"/>
    <w:rsid w:val="00663D83"/>
    <w:rsid w:val="00664141"/>
    <w:rsid w:val="006642CC"/>
    <w:rsid w:val="00667CB7"/>
    <w:rsid w:val="006728AF"/>
    <w:rsid w:val="006758B2"/>
    <w:rsid w:val="00676673"/>
    <w:rsid w:val="0067670C"/>
    <w:rsid w:val="00681D6E"/>
    <w:rsid w:val="006821DD"/>
    <w:rsid w:val="006837D7"/>
    <w:rsid w:val="0068467A"/>
    <w:rsid w:val="006857DC"/>
    <w:rsid w:val="00686637"/>
    <w:rsid w:val="00692943"/>
    <w:rsid w:val="00692A81"/>
    <w:rsid w:val="00692F83"/>
    <w:rsid w:val="006932E6"/>
    <w:rsid w:val="006964DC"/>
    <w:rsid w:val="006A5C2B"/>
    <w:rsid w:val="006A74AC"/>
    <w:rsid w:val="006B0F40"/>
    <w:rsid w:val="006B21EB"/>
    <w:rsid w:val="006B25FC"/>
    <w:rsid w:val="006B376C"/>
    <w:rsid w:val="006B70B6"/>
    <w:rsid w:val="006B714D"/>
    <w:rsid w:val="006C01BC"/>
    <w:rsid w:val="006C060B"/>
    <w:rsid w:val="006C1414"/>
    <w:rsid w:val="006C1F72"/>
    <w:rsid w:val="006C742A"/>
    <w:rsid w:val="006C75B4"/>
    <w:rsid w:val="006D1D00"/>
    <w:rsid w:val="006D35DE"/>
    <w:rsid w:val="006D384E"/>
    <w:rsid w:val="006D38FD"/>
    <w:rsid w:val="006D426C"/>
    <w:rsid w:val="006D4277"/>
    <w:rsid w:val="006D4EC3"/>
    <w:rsid w:val="006D6BB1"/>
    <w:rsid w:val="006D6F0B"/>
    <w:rsid w:val="006E04FD"/>
    <w:rsid w:val="006E2724"/>
    <w:rsid w:val="006E30AB"/>
    <w:rsid w:val="006E661C"/>
    <w:rsid w:val="006F04CA"/>
    <w:rsid w:val="006F090D"/>
    <w:rsid w:val="006F1871"/>
    <w:rsid w:val="006F3E01"/>
    <w:rsid w:val="006F4CE6"/>
    <w:rsid w:val="006F4F64"/>
    <w:rsid w:val="006F5D57"/>
    <w:rsid w:val="006F6648"/>
    <w:rsid w:val="006F6BD7"/>
    <w:rsid w:val="006F7E8E"/>
    <w:rsid w:val="00701AC3"/>
    <w:rsid w:val="007043BE"/>
    <w:rsid w:val="007044C6"/>
    <w:rsid w:val="00707E7F"/>
    <w:rsid w:val="00710D10"/>
    <w:rsid w:val="00711B74"/>
    <w:rsid w:val="00713E1C"/>
    <w:rsid w:val="007145AE"/>
    <w:rsid w:val="007152AC"/>
    <w:rsid w:val="007160A8"/>
    <w:rsid w:val="0071729D"/>
    <w:rsid w:val="0072089D"/>
    <w:rsid w:val="00721355"/>
    <w:rsid w:val="00721652"/>
    <w:rsid w:val="00721793"/>
    <w:rsid w:val="00723B51"/>
    <w:rsid w:val="007269BE"/>
    <w:rsid w:val="007332FE"/>
    <w:rsid w:val="0073652F"/>
    <w:rsid w:val="0074156B"/>
    <w:rsid w:val="00742727"/>
    <w:rsid w:val="00742A73"/>
    <w:rsid w:val="00746933"/>
    <w:rsid w:val="00747B2A"/>
    <w:rsid w:val="00747DAD"/>
    <w:rsid w:val="00747ECF"/>
    <w:rsid w:val="007514F1"/>
    <w:rsid w:val="007554D7"/>
    <w:rsid w:val="007608AF"/>
    <w:rsid w:val="00761ACA"/>
    <w:rsid w:val="0076296E"/>
    <w:rsid w:val="00763A50"/>
    <w:rsid w:val="00764B4A"/>
    <w:rsid w:val="00771A4F"/>
    <w:rsid w:val="00774729"/>
    <w:rsid w:val="00782123"/>
    <w:rsid w:val="00782E77"/>
    <w:rsid w:val="00783DA9"/>
    <w:rsid w:val="00786253"/>
    <w:rsid w:val="00787682"/>
    <w:rsid w:val="00790DF9"/>
    <w:rsid w:val="00792843"/>
    <w:rsid w:val="00792F63"/>
    <w:rsid w:val="007951E9"/>
    <w:rsid w:val="007955DD"/>
    <w:rsid w:val="00797343"/>
    <w:rsid w:val="00797FEF"/>
    <w:rsid w:val="007A039B"/>
    <w:rsid w:val="007A2922"/>
    <w:rsid w:val="007A3244"/>
    <w:rsid w:val="007A3E89"/>
    <w:rsid w:val="007A442A"/>
    <w:rsid w:val="007A6111"/>
    <w:rsid w:val="007A6173"/>
    <w:rsid w:val="007A67A7"/>
    <w:rsid w:val="007B182F"/>
    <w:rsid w:val="007B419C"/>
    <w:rsid w:val="007B484D"/>
    <w:rsid w:val="007B5B98"/>
    <w:rsid w:val="007C0340"/>
    <w:rsid w:val="007C03F1"/>
    <w:rsid w:val="007C395D"/>
    <w:rsid w:val="007C6D8A"/>
    <w:rsid w:val="007C75A5"/>
    <w:rsid w:val="007C7F74"/>
    <w:rsid w:val="007D107A"/>
    <w:rsid w:val="007D2B7A"/>
    <w:rsid w:val="007D323C"/>
    <w:rsid w:val="007D4227"/>
    <w:rsid w:val="007D4A77"/>
    <w:rsid w:val="007D6C69"/>
    <w:rsid w:val="007D7277"/>
    <w:rsid w:val="007D76CE"/>
    <w:rsid w:val="007E2C64"/>
    <w:rsid w:val="007E502A"/>
    <w:rsid w:val="007F2C17"/>
    <w:rsid w:val="007F36C2"/>
    <w:rsid w:val="007F507C"/>
    <w:rsid w:val="007F64EB"/>
    <w:rsid w:val="007F6840"/>
    <w:rsid w:val="0080044F"/>
    <w:rsid w:val="0080161E"/>
    <w:rsid w:val="008018CE"/>
    <w:rsid w:val="00802029"/>
    <w:rsid w:val="008022B8"/>
    <w:rsid w:val="008046B7"/>
    <w:rsid w:val="00804894"/>
    <w:rsid w:val="00811A72"/>
    <w:rsid w:val="00812314"/>
    <w:rsid w:val="00812D20"/>
    <w:rsid w:val="008232AC"/>
    <w:rsid w:val="00824B29"/>
    <w:rsid w:val="00827BAF"/>
    <w:rsid w:val="008318F3"/>
    <w:rsid w:val="008339B4"/>
    <w:rsid w:val="008426C5"/>
    <w:rsid w:val="0084378D"/>
    <w:rsid w:val="0086039C"/>
    <w:rsid w:val="00863D95"/>
    <w:rsid w:val="008743F7"/>
    <w:rsid w:val="00874BE4"/>
    <w:rsid w:val="00880D43"/>
    <w:rsid w:val="008817C5"/>
    <w:rsid w:val="00881CFD"/>
    <w:rsid w:val="00882489"/>
    <w:rsid w:val="008828C8"/>
    <w:rsid w:val="008852DB"/>
    <w:rsid w:val="008855AF"/>
    <w:rsid w:val="00890DDD"/>
    <w:rsid w:val="00894DE0"/>
    <w:rsid w:val="00895938"/>
    <w:rsid w:val="008A0B70"/>
    <w:rsid w:val="008A1113"/>
    <w:rsid w:val="008A293B"/>
    <w:rsid w:val="008A4F7A"/>
    <w:rsid w:val="008A6B8A"/>
    <w:rsid w:val="008A7F44"/>
    <w:rsid w:val="008B0FB3"/>
    <w:rsid w:val="008B33BE"/>
    <w:rsid w:val="008B3C55"/>
    <w:rsid w:val="008B5B1C"/>
    <w:rsid w:val="008B6401"/>
    <w:rsid w:val="008B6CCF"/>
    <w:rsid w:val="008B718B"/>
    <w:rsid w:val="008B759E"/>
    <w:rsid w:val="008B76C6"/>
    <w:rsid w:val="008B7B71"/>
    <w:rsid w:val="008C1BC6"/>
    <w:rsid w:val="008C3FFE"/>
    <w:rsid w:val="008C5B93"/>
    <w:rsid w:val="008C5C16"/>
    <w:rsid w:val="008C7ABE"/>
    <w:rsid w:val="008D4913"/>
    <w:rsid w:val="008D5264"/>
    <w:rsid w:val="008D53C2"/>
    <w:rsid w:val="008D6D6F"/>
    <w:rsid w:val="008D79BB"/>
    <w:rsid w:val="008E118A"/>
    <w:rsid w:val="008E6441"/>
    <w:rsid w:val="0090305F"/>
    <w:rsid w:val="00910C5D"/>
    <w:rsid w:val="0091168A"/>
    <w:rsid w:val="00911EFB"/>
    <w:rsid w:val="009124EF"/>
    <w:rsid w:val="00912F7E"/>
    <w:rsid w:val="009141F4"/>
    <w:rsid w:val="00914CB6"/>
    <w:rsid w:val="00920B15"/>
    <w:rsid w:val="00920C5E"/>
    <w:rsid w:val="00923150"/>
    <w:rsid w:val="00923838"/>
    <w:rsid w:val="0092555C"/>
    <w:rsid w:val="00926F7B"/>
    <w:rsid w:val="00933D22"/>
    <w:rsid w:val="00934084"/>
    <w:rsid w:val="009370DF"/>
    <w:rsid w:val="00941A76"/>
    <w:rsid w:val="009420E4"/>
    <w:rsid w:val="009467B2"/>
    <w:rsid w:val="00947263"/>
    <w:rsid w:val="0095123F"/>
    <w:rsid w:val="0095190A"/>
    <w:rsid w:val="009528E4"/>
    <w:rsid w:val="00955622"/>
    <w:rsid w:val="00957B6D"/>
    <w:rsid w:val="00964F47"/>
    <w:rsid w:val="009650B4"/>
    <w:rsid w:val="00967DDB"/>
    <w:rsid w:val="009719A3"/>
    <w:rsid w:val="00972560"/>
    <w:rsid w:val="0098182C"/>
    <w:rsid w:val="009845D0"/>
    <w:rsid w:val="009923E1"/>
    <w:rsid w:val="00993877"/>
    <w:rsid w:val="00994742"/>
    <w:rsid w:val="00997263"/>
    <w:rsid w:val="009A1798"/>
    <w:rsid w:val="009A194F"/>
    <w:rsid w:val="009A1C0E"/>
    <w:rsid w:val="009A1D78"/>
    <w:rsid w:val="009A55D9"/>
    <w:rsid w:val="009A5810"/>
    <w:rsid w:val="009A6097"/>
    <w:rsid w:val="009B0F40"/>
    <w:rsid w:val="009B2D8F"/>
    <w:rsid w:val="009B37A5"/>
    <w:rsid w:val="009B38A4"/>
    <w:rsid w:val="009B3C4B"/>
    <w:rsid w:val="009B791F"/>
    <w:rsid w:val="009C01B8"/>
    <w:rsid w:val="009C291E"/>
    <w:rsid w:val="009C2AFA"/>
    <w:rsid w:val="009C2EE5"/>
    <w:rsid w:val="009C5AA8"/>
    <w:rsid w:val="009C75E5"/>
    <w:rsid w:val="009C7E79"/>
    <w:rsid w:val="009D2941"/>
    <w:rsid w:val="009D5C5A"/>
    <w:rsid w:val="009E0EA7"/>
    <w:rsid w:val="009E220C"/>
    <w:rsid w:val="009E229B"/>
    <w:rsid w:val="009E7FB4"/>
    <w:rsid w:val="009F1481"/>
    <w:rsid w:val="009F197F"/>
    <w:rsid w:val="009F1DC7"/>
    <w:rsid w:val="009F33DE"/>
    <w:rsid w:val="009F615E"/>
    <w:rsid w:val="009F623C"/>
    <w:rsid w:val="009F7ABD"/>
    <w:rsid w:val="00A01931"/>
    <w:rsid w:val="00A05A43"/>
    <w:rsid w:val="00A10022"/>
    <w:rsid w:val="00A10F5C"/>
    <w:rsid w:val="00A12E93"/>
    <w:rsid w:val="00A14BFB"/>
    <w:rsid w:val="00A157A2"/>
    <w:rsid w:val="00A160B3"/>
    <w:rsid w:val="00A1649F"/>
    <w:rsid w:val="00A202C7"/>
    <w:rsid w:val="00A22CD3"/>
    <w:rsid w:val="00A23227"/>
    <w:rsid w:val="00A23FE4"/>
    <w:rsid w:val="00A25139"/>
    <w:rsid w:val="00A27662"/>
    <w:rsid w:val="00A30828"/>
    <w:rsid w:val="00A317A0"/>
    <w:rsid w:val="00A3285A"/>
    <w:rsid w:val="00A365F3"/>
    <w:rsid w:val="00A37E4D"/>
    <w:rsid w:val="00A428CC"/>
    <w:rsid w:val="00A42B08"/>
    <w:rsid w:val="00A43788"/>
    <w:rsid w:val="00A45E42"/>
    <w:rsid w:val="00A469C5"/>
    <w:rsid w:val="00A513D9"/>
    <w:rsid w:val="00A51BF6"/>
    <w:rsid w:val="00A5359F"/>
    <w:rsid w:val="00A5713E"/>
    <w:rsid w:val="00A601C9"/>
    <w:rsid w:val="00A602DA"/>
    <w:rsid w:val="00A60BCF"/>
    <w:rsid w:val="00A61738"/>
    <w:rsid w:val="00A6361C"/>
    <w:rsid w:val="00A63F75"/>
    <w:rsid w:val="00A6481D"/>
    <w:rsid w:val="00A649DE"/>
    <w:rsid w:val="00A6518F"/>
    <w:rsid w:val="00A657D4"/>
    <w:rsid w:val="00A65861"/>
    <w:rsid w:val="00A712C8"/>
    <w:rsid w:val="00A76508"/>
    <w:rsid w:val="00A774D3"/>
    <w:rsid w:val="00A77770"/>
    <w:rsid w:val="00A8173D"/>
    <w:rsid w:val="00A83433"/>
    <w:rsid w:val="00A84828"/>
    <w:rsid w:val="00A8525C"/>
    <w:rsid w:val="00A85E76"/>
    <w:rsid w:val="00A86D0E"/>
    <w:rsid w:val="00A86EBE"/>
    <w:rsid w:val="00A908A1"/>
    <w:rsid w:val="00A958BA"/>
    <w:rsid w:val="00A96D75"/>
    <w:rsid w:val="00A97EEA"/>
    <w:rsid w:val="00AA00AF"/>
    <w:rsid w:val="00AA038A"/>
    <w:rsid w:val="00AA09AE"/>
    <w:rsid w:val="00AA2CA3"/>
    <w:rsid w:val="00AA4889"/>
    <w:rsid w:val="00AA62F7"/>
    <w:rsid w:val="00AA69EC"/>
    <w:rsid w:val="00AA6DE4"/>
    <w:rsid w:val="00AA73E6"/>
    <w:rsid w:val="00AA74B3"/>
    <w:rsid w:val="00AB2F6B"/>
    <w:rsid w:val="00AB4DB0"/>
    <w:rsid w:val="00AB7509"/>
    <w:rsid w:val="00AC0112"/>
    <w:rsid w:val="00AD1523"/>
    <w:rsid w:val="00AD1652"/>
    <w:rsid w:val="00AD17D2"/>
    <w:rsid w:val="00AD5A02"/>
    <w:rsid w:val="00AE0B2D"/>
    <w:rsid w:val="00AE3FB8"/>
    <w:rsid w:val="00AE5624"/>
    <w:rsid w:val="00AE69FB"/>
    <w:rsid w:val="00AF0395"/>
    <w:rsid w:val="00AF1A68"/>
    <w:rsid w:val="00AF5984"/>
    <w:rsid w:val="00AF5EAD"/>
    <w:rsid w:val="00AF67D5"/>
    <w:rsid w:val="00AF69A9"/>
    <w:rsid w:val="00AF6FF5"/>
    <w:rsid w:val="00AF77E4"/>
    <w:rsid w:val="00B01326"/>
    <w:rsid w:val="00B02DEF"/>
    <w:rsid w:val="00B03454"/>
    <w:rsid w:val="00B0439C"/>
    <w:rsid w:val="00B06B52"/>
    <w:rsid w:val="00B11309"/>
    <w:rsid w:val="00B12DE4"/>
    <w:rsid w:val="00B16398"/>
    <w:rsid w:val="00B16687"/>
    <w:rsid w:val="00B26E8B"/>
    <w:rsid w:val="00B301FC"/>
    <w:rsid w:val="00B30FAA"/>
    <w:rsid w:val="00B3185E"/>
    <w:rsid w:val="00B32226"/>
    <w:rsid w:val="00B33236"/>
    <w:rsid w:val="00B3331D"/>
    <w:rsid w:val="00B33BD4"/>
    <w:rsid w:val="00B4027A"/>
    <w:rsid w:val="00B41C39"/>
    <w:rsid w:val="00B44796"/>
    <w:rsid w:val="00B5063E"/>
    <w:rsid w:val="00B5193F"/>
    <w:rsid w:val="00B5267D"/>
    <w:rsid w:val="00B53083"/>
    <w:rsid w:val="00B56029"/>
    <w:rsid w:val="00B5611B"/>
    <w:rsid w:val="00B5618C"/>
    <w:rsid w:val="00B56FF0"/>
    <w:rsid w:val="00B61D81"/>
    <w:rsid w:val="00B61F42"/>
    <w:rsid w:val="00B62A1D"/>
    <w:rsid w:val="00B6335F"/>
    <w:rsid w:val="00B7534B"/>
    <w:rsid w:val="00B756D4"/>
    <w:rsid w:val="00B75E87"/>
    <w:rsid w:val="00B81D02"/>
    <w:rsid w:val="00B826D9"/>
    <w:rsid w:val="00B83299"/>
    <w:rsid w:val="00B86465"/>
    <w:rsid w:val="00B87845"/>
    <w:rsid w:val="00B910B5"/>
    <w:rsid w:val="00B91BA8"/>
    <w:rsid w:val="00B91DFA"/>
    <w:rsid w:val="00B923BC"/>
    <w:rsid w:val="00B92F1C"/>
    <w:rsid w:val="00B9331E"/>
    <w:rsid w:val="00B93FC9"/>
    <w:rsid w:val="00B9531D"/>
    <w:rsid w:val="00B955B7"/>
    <w:rsid w:val="00B96684"/>
    <w:rsid w:val="00BA0B8B"/>
    <w:rsid w:val="00BA3EA5"/>
    <w:rsid w:val="00BA6C17"/>
    <w:rsid w:val="00BA7187"/>
    <w:rsid w:val="00BA76CE"/>
    <w:rsid w:val="00BB2AE7"/>
    <w:rsid w:val="00BB2F29"/>
    <w:rsid w:val="00BB3AB8"/>
    <w:rsid w:val="00BB4ED9"/>
    <w:rsid w:val="00BB5693"/>
    <w:rsid w:val="00BB5FD1"/>
    <w:rsid w:val="00BB6C1D"/>
    <w:rsid w:val="00BB6FEE"/>
    <w:rsid w:val="00BC106A"/>
    <w:rsid w:val="00BC33AB"/>
    <w:rsid w:val="00BC33CD"/>
    <w:rsid w:val="00BC42A2"/>
    <w:rsid w:val="00BD008D"/>
    <w:rsid w:val="00BD3231"/>
    <w:rsid w:val="00BD324E"/>
    <w:rsid w:val="00BD35CB"/>
    <w:rsid w:val="00BD47A4"/>
    <w:rsid w:val="00BD487F"/>
    <w:rsid w:val="00BE1F9D"/>
    <w:rsid w:val="00BE4B46"/>
    <w:rsid w:val="00BE721C"/>
    <w:rsid w:val="00BE79FF"/>
    <w:rsid w:val="00BF0715"/>
    <w:rsid w:val="00BF2BF7"/>
    <w:rsid w:val="00BF3435"/>
    <w:rsid w:val="00BF3A11"/>
    <w:rsid w:val="00BF3B6E"/>
    <w:rsid w:val="00BF4EC1"/>
    <w:rsid w:val="00BF5137"/>
    <w:rsid w:val="00BF6927"/>
    <w:rsid w:val="00C03433"/>
    <w:rsid w:val="00C06F33"/>
    <w:rsid w:val="00C10A59"/>
    <w:rsid w:val="00C114EF"/>
    <w:rsid w:val="00C1178C"/>
    <w:rsid w:val="00C12B76"/>
    <w:rsid w:val="00C13D5C"/>
    <w:rsid w:val="00C256DC"/>
    <w:rsid w:val="00C26008"/>
    <w:rsid w:val="00C27D0D"/>
    <w:rsid w:val="00C31402"/>
    <w:rsid w:val="00C31E3B"/>
    <w:rsid w:val="00C32C69"/>
    <w:rsid w:val="00C47730"/>
    <w:rsid w:val="00C47C2E"/>
    <w:rsid w:val="00C506BF"/>
    <w:rsid w:val="00C50D76"/>
    <w:rsid w:val="00C52B95"/>
    <w:rsid w:val="00C53343"/>
    <w:rsid w:val="00C620BD"/>
    <w:rsid w:val="00C63E45"/>
    <w:rsid w:val="00C70D89"/>
    <w:rsid w:val="00C72DBA"/>
    <w:rsid w:val="00C7423C"/>
    <w:rsid w:val="00C74802"/>
    <w:rsid w:val="00C74ECE"/>
    <w:rsid w:val="00C75F3F"/>
    <w:rsid w:val="00C807E7"/>
    <w:rsid w:val="00C809F5"/>
    <w:rsid w:val="00C86C2C"/>
    <w:rsid w:val="00C86DCC"/>
    <w:rsid w:val="00C92F06"/>
    <w:rsid w:val="00C94F79"/>
    <w:rsid w:val="00C9515F"/>
    <w:rsid w:val="00C964EB"/>
    <w:rsid w:val="00CA0418"/>
    <w:rsid w:val="00CA4002"/>
    <w:rsid w:val="00CA7143"/>
    <w:rsid w:val="00CA7AC4"/>
    <w:rsid w:val="00CB0BC8"/>
    <w:rsid w:val="00CB2A35"/>
    <w:rsid w:val="00CB58D3"/>
    <w:rsid w:val="00CB697F"/>
    <w:rsid w:val="00CC080E"/>
    <w:rsid w:val="00CC1913"/>
    <w:rsid w:val="00CC1F83"/>
    <w:rsid w:val="00CC29D5"/>
    <w:rsid w:val="00CC2CB0"/>
    <w:rsid w:val="00CD187D"/>
    <w:rsid w:val="00CD2047"/>
    <w:rsid w:val="00CD22C0"/>
    <w:rsid w:val="00CD452A"/>
    <w:rsid w:val="00CD4DE4"/>
    <w:rsid w:val="00CD4FBD"/>
    <w:rsid w:val="00CE0854"/>
    <w:rsid w:val="00CE40A8"/>
    <w:rsid w:val="00CE74C2"/>
    <w:rsid w:val="00CE7BCF"/>
    <w:rsid w:val="00CF0FBD"/>
    <w:rsid w:val="00CF2304"/>
    <w:rsid w:val="00CF3B00"/>
    <w:rsid w:val="00CF400C"/>
    <w:rsid w:val="00CF4786"/>
    <w:rsid w:val="00CF748F"/>
    <w:rsid w:val="00CF7B51"/>
    <w:rsid w:val="00CF7BB7"/>
    <w:rsid w:val="00D011D1"/>
    <w:rsid w:val="00D033D8"/>
    <w:rsid w:val="00D0436E"/>
    <w:rsid w:val="00D04B21"/>
    <w:rsid w:val="00D05D16"/>
    <w:rsid w:val="00D06642"/>
    <w:rsid w:val="00D072F4"/>
    <w:rsid w:val="00D0768E"/>
    <w:rsid w:val="00D0784C"/>
    <w:rsid w:val="00D07A36"/>
    <w:rsid w:val="00D119E4"/>
    <w:rsid w:val="00D11A39"/>
    <w:rsid w:val="00D1220F"/>
    <w:rsid w:val="00D13AA3"/>
    <w:rsid w:val="00D212A8"/>
    <w:rsid w:val="00D255FC"/>
    <w:rsid w:val="00D26F74"/>
    <w:rsid w:val="00D27509"/>
    <w:rsid w:val="00D31354"/>
    <w:rsid w:val="00D31A29"/>
    <w:rsid w:val="00D32DA8"/>
    <w:rsid w:val="00D36F05"/>
    <w:rsid w:val="00D410AA"/>
    <w:rsid w:val="00D4547A"/>
    <w:rsid w:val="00D47E38"/>
    <w:rsid w:val="00D51FBD"/>
    <w:rsid w:val="00D52FE9"/>
    <w:rsid w:val="00D549DE"/>
    <w:rsid w:val="00D54AC1"/>
    <w:rsid w:val="00D54C5F"/>
    <w:rsid w:val="00D569B4"/>
    <w:rsid w:val="00D57062"/>
    <w:rsid w:val="00D5771E"/>
    <w:rsid w:val="00D61FA4"/>
    <w:rsid w:val="00D62B16"/>
    <w:rsid w:val="00D62F83"/>
    <w:rsid w:val="00D66C7D"/>
    <w:rsid w:val="00D67571"/>
    <w:rsid w:val="00D702AA"/>
    <w:rsid w:val="00D73850"/>
    <w:rsid w:val="00D825F9"/>
    <w:rsid w:val="00D85D02"/>
    <w:rsid w:val="00D85F86"/>
    <w:rsid w:val="00D86DF0"/>
    <w:rsid w:val="00D87978"/>
    <w:rsid w:val="00D87A52"/>
    <w:rsid w:val="00D87B15"/>
    <w:rsid w:val="00D94F68"/>
    <w:rsid w:val="00DA1D1C"/>
    <w:rsid w:val="00DA3D9D"/>
    <w:rsid w:val="00DA4009"/>
    <w:rsid w:val="00DA42AE"/>
    <w:rsid w:val="00DA58AC"/>
    <w:rsid w:val="00DB1F0F"/>
    <w:rsid w:val="00DB3109"/>
    <w:rsid w:val="00DB3624"/>
    <w:rsid w:val="00DB7DFA"/>
    <w:rsid w:val="00DC0E28"/>
    <w:rsid w:val="00DC5BF5"/>
    <w:rsid w:val="00DD0AD8"/>
    <w:rsid w:val="00DD3E55"/>
    <w:rsid w:val="00DD5710"/>
    <w:rsid w:val="00DE1CB2"/>
    <w:rsid w:val="00DE44B8"/>
    <w:rsid w:val="00DF1760"/>
    <w:rsid w:val="00DF1A45"/>
    <w:rsid w:val="00DF3AC7"/>
    <w:rsid w:val="00DF5C08"/>
    <w:rsid w:val="00DF691F"/>
    <w:rsid w:val="00E00BB9"/>
    <w:rsid w:val="00E00ECC"/>
    <w:rsid w:val="00E02549"/>
    <w:rsid w:val="00E05422"/>
    <w:rsid w:val="00E1305C"/>
    <w:rsid w:val="00E13A80"/>
    <w:rsid w:val="00E15BE1"/>
    <w:rsid w:val="00E1736B"/>
    <w:rsid w:val="00E205BF"/>
    <w:rsid w:val="00E210F7"/>
    <w:rsid w:val="00E26D47"/>
    <w:rsid w:val="00E26D56"/>
    <w:rsid w:val="00E31F7D"/>
    <w:rsid w:val="00E32083"/>
    <w:rsid w:val="00E360B2"/>
    <w:rsid w:val="00E37BE5"/>
    <w:rsid w:val="00E4054A"/>
    <w:rsid w:val="00E41371"/>
    <w:rsid w:val="00E41837"/>
    <w:rsid w:val="00E42016"/>
    <w:rsid w:val="00E436BE"/>
    <w:rsid w:val="00E4399D"/>
    <w:rsid w:val="00E43E1D"/>
    <w:rsid w:val="00E44A8E"/>
    <w:rsid w:val="00E44D53"/>
    <w:rsid w:val="00E45299"/>
    <w:rsid w:val="00E456F9"/>
    <w:rsid w:val="00E46527"/>
    <w:rsid w:val="00E500B0"/>
    <w:rsid w:val="00E51775"/>
    <w:rsid w:val="00E56148"/>
    <w:rsid w:val="00E5755C"/>
    <w:rsid w:val="00E576FD"/>
    <w:rsid w:val="00E60BFA"/>
    <w:rsid w:val="00E628BA"/>
    <w:rsid w:val="00E63C92"/>
    <w:rsid w:val="00E63E57"/>
    <w:rsid w:val="00E66CEE"/>
    <w:rsid w:val="00E66E68"/>
    <w:rsid w:val="00E67005"/>
    <w:rsid w:val="00E729BF"/>
    <w:rsid w:val="00E739B8"/>
    <w:rsid w:val="00E762C2"/>
    <w:rsid w:val="00E80353"/>
    <w:rsid w:val="00E81295"/>
    <w:rsid w:val="00E82148"/>
    <w:rsid w:val="00E856D8"/>
    <w:rsid w:val="00E87245"/>
    <w:rsid w:val="00E91241"/>
    <w:rsid w:val="00E9137B"/>
    <w:rsid w:val="00E91F7B"/>
    <w:rsid w:val="00E93B53"/>
    <w:rsid w:val="00E946A2"/>
    <w:rsid w:val="00E95153"/>
    <w:rsid w:val="00E9650E"/>
    <w:rsid w:val="00EA05F5"/>
    <w:rsid w:val="00EA19BF"/>
    <w:rsid w:val="00EB113D"/>
    <w:rsid w:val="00EB1C1D"/>
    <w:rsid w:val="00EB33B5"/>
    <w:rsid w:val="00EB41AD"/>
    <w:rsid w:val="00EB49D7"/>
    <w:rsid w:val="00EB534A"/>
    <w:rsid w:val="00EB5DAA"/>
    <w:rsid w:val="00EC05C2"/>
    <w:rsid w:val="00EC2111"/>
    <w:rsid w:val="00EC5310"/>
    <w:rsid w:val="00EC68A8"/>
    <w:rsid w:val="00EC77A9"/>
    <w:rsid w:val="00EC7D7E"/>
    <w:rsid w:val="00ED0BB9"/>
    <w:rsid w:val="00ED1B3D"/>
    <w:rsid w:val="00ED40E7"/>
    <w:rsid w:val="00ED4662"/>
    <w:rsid w:val="00ED6345"/>
    <w:rsid w:val="00EE0798"/>
    <w:rsid w:val="00EE07B0"/>
    <w:rsid w:val="00EE0890"/>
    <w:rsid w:val="00EE59A6"/>
    <w:rsid w:val="00EE78DE"/>
    <w:rsid w:val="00EF31EF"/>
    <w:rsid w:val="00EF3CA7"/>
    <w:rsid w:val="00EF5883"/>
    <w:rsid w:val="00EF6EF1"/>
    <w:rsid w:val="00EF709F"/>
    <w:rsid w:val="00F02D6D"/>
    <w:rsid w:val="00F03C33"/>
    <w:rsid w:val="00F058D7"/>
    <w:rsid w:val="00F10D1F"/>
    <w:rsid w:val="00F147BE"/>
    <w:rsid w:val="00F153CB"/>
    <w:rsid w:val="00F20D88"/>
    <w:rsid w:val="00F223A6"/>
    <w:rsid w:val="00F23644"/>
    <w:rsid w:val="00F3142D"/>
    <w:rsid w:val="00F32AC9"/>
    <w:rsid w:val="00F34D80"/>
    <w:rsid w:val="00F35FA8"/>
    <w:rsid w:val="00F360C8"/>
    <w:rsid w:val="00F3625D"/>
    <w:rsid w:val="00F365FB"/>
    <w:rsid w:val="00F36D8A"/>
    <w:rsid w:val="00F404D0"/>
    <w:rsid w:val="00F449C4"/>
    <w:rsid w:val="00F4654B"/>
    <w:rsid w:val="00F502E0"/>
    <w:rsid w:val="00F518B9"/>
    <w:rsid w:val="00F52603"/>
    <w:rsid w:val="00F533A5"/>
    <w:rsid w:val="00F534EB"/>
    <w:rsid w:val="00F5539E"/>
    <w:rsid w:val="00F56D13"/>
    <w:rsid w:val="00F570EB"/>
    <w:rsid w:val="00F60006"/>
    <w:rsid w:val="00F61873"/>
    <w:rsid w:val="00F62D97"/>
    <w:rsid w:val="00F62EBF"/>
    <w:rsid w:val="00F676EE"/>
    <w:rsid w:val="00F7097B"/>
    <w:rsid w:val="00F717AA"/>
    <w:rsid w:val="00F725B2"/>
    <w:rsid w:val="00F732C6"/>
    <w:rsid w:val="00F742BD"/>
    <w:rsid w:val="00F74433"/>
    <w:rsid w:val="00F8321F"/>
    <w:rsid w:val="00F84972"/>
    <w:rsid w:val="00F90345"/>
    <w:rsid w:val="00F96950"/>
    <w:rsid w:val="00F96DA1"/>
    <w:rsid w:val="00F9716B"/>
    <w:rsid w:val="00FA13BB"/>
    <w:rsid w:val="00FA1E9D"/>
    <w:rsid w:val="00FA22FB"/>
    <w:rsid w:val="00FA5C74"/>
    <w:rsid w:val="00FA5FBC"/>
    <w:rsid w:val="00FA6DE5"/>
    <w:rsid w:val="00FA7E3B"/>
    <w:rsid w:val="00FB098D"/>
    <w:rsid w:val="00FB359A"/>
    <w:rsid w:val="00FB3CF7"/>
    <w:rsid w:val="00FB5A2C"/>
    <w:rsid w:val="00FC0D84"/>
    <w:rsid w:val="00FC1E54"/>
    <w:rsid w:val="00FC1F12"/>
    <w:rsid w:val="00FC28E3"/>
    <w:rsid w:val="00FC2B23"/>
    <w:rsid w:val="00FC37D6"/>
    <w:rsid w:val="00FC5466"/>
    <w:rsid w:val="00FC6B1F"/>
    <w:rsid w:val="00FC772E"/>
    <w:rsid w:val="00FD05F2"/>
    <w:rsid w:val="00FD5BC7"/>
    <w:rsid w:val="00FD6589"/>
    <w:rsid w:val="00FD7309"/>
    <w:rsid w:val="00FE0285"/>
    <w:rsid w:val="00FE26ED"/>
    <w:rsid w:val="00FE6350"/>
    <w:rsid w:val="00FE728C"/>
    <w:rsid w:val="00FF0250"/>
    <w:rsid w:val="00FF0A8B"/>
    <w:rsid w:val="00FF3A1D"/>
    <w:rsid w:val="00FF63A3"/>
    <w:rsid w:val="00FF740B"/>
    <w:rsid w:val="00FF7A65"/>
    <w:rsid w:val="0144507E"/>
    <w:rsid w:val="02FC4086"/>
    <w:rsid w:val="03615939"/>
    <w:rsid w:val="044A58F2"/>
    <w:rsid w:val="0566711C"/>
    <w:rsid w:val="05943DE1"/>
    <w:rsid w:val="05F73DAF"/>
    <w:rsid w:val="05FB52E1"/>
    <w:rsid w:val="06C862D5"/>
    <w:rsid w:val="073D2451"/>
    <w:rsid w:val="08AC2FBD"/>
    <w:rsid w:val="0BD42AAC"/>
    <w:rsid w:val="0C707344"/>
    <w:rsid w:val="0D174313"/>
    <w:rsid w:val="0D1C336D"/>
    <w:rsid w:val="103D14AA"/>
    <w:rsid w:val="10C31647"/>
    <w:rsid w:val="12252FE6"/>
    <w:rsid w:val="12836368"/>
    <w:rsid w:val="12ED5FD8"/>
    <w:rsid w:val="141124CC"/>
    <w:rsid w:val="14855888"/>
    <w:rsid w:val="14ED1815"/>
    <w:rsid w:val="15EF3AF7"/>
    <w:rsid w:val="16A649DD"/>
    <w:rsid w:val="17E92EF4"/>
    <w:rsid w:val="17FE3898"/>
    <w:rsid w:val="18CF2CF7"/>
    <w:rsid w:val="1AEE55A3"/>
    <w:rsid w:val="1B0F7F69"/>
    <w:rsid w:val="1C1B3898"/>
    <w:rsid w:val="1D0E4A0A"/>
    <w:rsid w:val="1D827470"/>
    <w:rsid w:val="1DA336FF"/>
    <w:rsid w:val="1EF668E9"/>
    <w:rsid w:val="206322A5"/>
    <w:rsid w:val="20E33E1A"/>
    <w:rsid w:val="21E12EE9"/>
    <w:rsid w:val="23C44815"/>
    <w:rsid w:val="24485707"/>
    <w:rsid w:val="247B54A6"/>
    <w:rsid w:val="24A24BB9"/>
    <w:rsid w:val="24E057D5"/>
    <w:rsid w:val="266710FB"/>
    <w:rsid w:val="27BA2916"/>
    <w:rsid w:val="287345FC"/>
    <w:rsid w:val="28A322FF"/>
    <w:rsid w:val="291B0A33"/>
    <w:rsid w:val="2B537CAA"/>
    <w:rsid w:val="2C3761A3"/>
    <w:rsid w:val="2C516DE1"/>
    <w:rsid w:val="2D0A4761"/>
    <w:rsid w:val="2DF570CF"/>
    <w:rsid w:val="2FFF5140"/>
    <w:rsid w:val="32104CEA"/>
    <w:rsid w:val="325A370E"/>
    <w:rsid w:val="330911D2"/>
    <w:rsid w:val="332C6F59"/>
    <w:rsid w:val="338840C3"/>
    <w:rsid w:val="33F86EBE"/>
    <w:rsid w:val="345F304D"/>
    <w:rsid w:val="355C0087"/>
    <w:rsid w:val="368474E9"/>
    <w:rsid w:val="37876CBA"/>
    <w:rsid w:val="39466725"/>
    <w:rsid w:val="3A7D16AF"/>
    <w:rsid w:val="3BCD0E0D"/>
    <w:rsid w:val="3C9A3BCA"/>
    <w:rsid w:val="3CEA4B96"/>
    <w:rsid w:val="3D2A5DFB"/>
    <w:rsid w:val="3D481DBE"/>
    <w:rsid w:val="411B16D3"/>
    <w:rsid w:val="427B38E4"/>
    <w:rsid w:val="43FB0440"/>
    <w:rsid w:val="43FB5872"/>
    <w:rsid w:val="444F3534"/>
    <w:rsid w:val="4464552C"/>
    <w:rsid w:val="44BB681B"/>
    <w:rsid w:val="44CF5FB7"/>
    <w:rsid w:val="453C0257"/>
    <w:rsid w:val="45684BA8"/>
    <w:rsid w:val="48B34581"/>
    <w:rsid w:val="4A221782"/>
    <w:rsid w:val="4AB272BA"/>
    <w:rsid w:val="4B751938"/>
    <w:rsid w:val="4BFB5B64"/>
    <w:rsid w:val="4DA449D2"/>
    <w:rsid w:val="4F8223B0"/>
    <w:rsid w:val="4FB60E72"/>
    <w:rsid w:val="4FDF40C0"/>
    <w:rsid w:val="50B04260"/>
    <w:rsid w:val="51490F5C"/>
    <w:rsid w:val="51B33EBA"/>
    <w:rsid w:val="51D000A8"/>
    <w:rsid w:val="52E81A03"/>
    <w:rsid w:val="541C5848"/>
    <w:rsid w:val="548240CD"/>
    <w:rsid w:val="565C4B5E"/>
    <w:rsid w:val="565E1151"/>
    <w:rsid w:val="58D12E0C"/>
    <w:rsid w:val="5A1023FA"/>
    <w:rsid w:val="5B5C5C00"/>
    <w:rsid w:val="5C8A1E8C"/>
    <w:rsid w:val="5CF00046"/>
    <w:rsid w:val="5E642C1E"/>
    <w:rsid w:val="5EB62F90"/>
    <w:rsid w:val="5ED54C27"/>
    <w:rsid w:val="5FA76AA8"/>
    <w:rsid w:val="5FE904AE"/>
    <w:rsid w:val="63E92F01"/>
    <w:rsid w:val="63EB2CD0"/>
    <w:rsid w:val="655516A7"/>
    <w:rsid w:val="65640C94"/>
    <w:rsid w:val="658F7C81"/>
    <w:rsid w:val="66846347"/>
    <w:rsid w:val="67DF795D"/>
    <w:rsid w:val="6B5B1630"/>
    <w:rsid w:val="6B6C5EC5"/>
    <w:rsid w:val="6CCC13F5"/>
    <w:rsid w:val="6D3E0B02"/>
    <w:rsid w:val="6E460121"/>
    <w:rsid w:val="6EB13C8E"/>
    <w:rsid w:val="6EDF0EA2"/>
    <w:rsid w:val="73C74294"/>
    <w:rsid w:val="746D2D51"/>
    <w:rsid w:val="74905132"/>
    <w:rsid w:val="77C43611"/>
    <w:rsid w:val="7931667F"/>
    <w:rsid w:val="79652E40"/>
    <w:rsid w:val="7CA2353B"/>
    <w:rsid w:val="7CC01F95"/>
    <w:rsid w:val="7E8E1E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qFormat="1" w:unhideWhenUsed="0" w:uiPriority="0"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qFormat="1" w:uiPriority="99" w:semiHidden="0"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99" w:semiHidden="0" w:name="Body Text First Indent 2"/>
    <w:lsdException w:qFormat="1" w:unhideWhenUsed="0" w:uiPriority="0" w:semiHidden="0" w:name="Note Heading"/>
    <w:lsdException w:qFormat="1" w:unhideWhenUsed="0" w:uiPriority="0" w:semiHidden="0" w:name="Body Text 2"/>
    <w:lsdException w:uiPriority="99" w:name="Body Text 3"/>
    <w:lsdException w:uiPriority="99"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9"/>
    <w:autoRedefine/>
    <w:qFormat/>
    <w:uiPriority w:val="9"/>
    <w:pPr>
      <w:keepNext/>
      <w:keepLines/>
      <w:jc w:val="center"/>
      <w:outlineLvl w:val="0"/>
    </w:pPr>
    <w:rPr>
      <w:rFonts w:ascii="Times New Roman" w:hAnsi="Times New Roman" w:eastAsia="宋体"/>
      <w:b/>
      <w:bCs/>
      <w:kern w:val="44"/>
      <w:sz w:val="30"/>
      <w:szCs w:val="44"/>
    </w:rPr>
  </w:style>
  <w:style w:type="paragraph" w:styleId="5">
    <w:name w:val="heading 2"/>
    <w:basedOn w:val="1"/>
    <w:next w:val="1"/>
    <w:autoRedefine/>
    <w:qFormat/>
    <w:uiPriority w:val="0"/>
    <w:pPr>
      <w:keepNext/>
      <w:keepLines/>
      <w:spacing w:before="260" w:after="260" w:line="416" w:lineRule="auto"/>
      <w:outlineLvl w:val="1"/>
    </w:pPr>
    <w:rPr>
      <w:rFonts w:ascii="Cambria" w:hAnsi="Cambria"/>
      <w:b/>
      <w:bCs/>
      <w:sz w:val="32"/>
      <w:szCs w:val="32"/>
    </w:rPr>
  </w:style>
  <w:style w:type="paragraph" w:styleId="6">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3"/>
    <w:link w:val="42"/>
    <w:autoRedefine/>
    <w:semiHidden/>
    <w:unhideWhenUsed/>
    <w:qFormat/>
    <w:uiPriority w:val="99"/>
    <w:pPr>
      <w:spacing w:after="120"/>
    </w:pPr>
  </w:style>
  <w:style w:type="paragraph" w:styleId="3">
    <w:name w:val="List Bullet 5"/>
    <w:basedOn w:val="1"/>
    <w:semiHidden/>
    <w:unhideWhenUsed/>
    <w:qFormat/>
    <w:uiPriority w:val="99"/>
    <w:pPr>
      <w:numPr>
        <w:ilvl w:val="0"/>
        <w:numId w:val="1"/>
      </w:numPr>
    </w:pPr>
  </w:style>
  <w:style w:type="paragraph" w:styleId="7">
    <w:name w:val="List 3"/>
    <w:basedOn w:val="1"/>
    <w:qFormat/>
    <w:uiPriority w:val="0"/>
    <w:pPr>
      <w:spacing w:line="240" w:lineRule="auto"/>
      <w:ind w:left="0" w:leftChars="0" w:firstLine="0" w:firstLineChars="0"/>
      <w:jc w:val="center"/>
    </w:pPr>
    <w:rPr>
      <w:sz w:val="21"/>
    </w:rPr>
  </w:style>
  <w:style w:type="paragraph" w:styleId="8">
    <w:name w:val="Note Heading"/>
    <w:basedOn w:val="1"/>
    <w:next w:val="1"/>
    <w:qFormat/>
    <w:uiPriority w:val="0"/>
    <w:pPr>
      <w:adjustRightInd w:val="0"/>
      <w:spacing w:line="360" w:lineRule="auto"/>
      <w:jc w:val="center"/>
    </w:pPr>
    <w:rPr>
      <w:szCs w:val="24"/>
    </w:rPr>
  </w:style>
  <w:style w:type="paragraph" w:styleId="9">
    <w:name w:val="Normal Indent"/>
    <w:basedOn w:val="1"/>
    <w:qFormat/>
    <w:uiPriority w:val="0"/>
    <w:pPr>
      <w:ind w:firstLine="420"/>
    </w:pPr>
    <w:rPr>
      <w:rFonts w:ascii="Calibri" w:hAnsi="Calibri"/>
      <w:szCs w:val="20"/>
    </w:rPr>
  </w:style>
  <w:style w:type="paragraph" w:styleId="10">
    <w:name w:val="caption"/>
    <w:basedOn w:val="1"/>
    <w:next w:val="1"/>
    <w:qFormat/>
    <w:uiPriority w:val="0"/>
    <w:rPr>
      <w:rFonts w:ascii="Arial" w:hAnsi="Arial" w:eastAsia="黑体"/>
      <w:sz w:val="20"/>
      <w:szCs w:val="20"/>
    </w:rPr>
  </w:style>
  <w:style w:type="paragraph" w:styleId="11">
    <w:name w:val="annotation text"/>
    <w:basedOn w:val="1"/>
    <w:semiHidden/>
    <w:unhideWhenUsed/>
    <w:qFormat/>
    <w:uiPriority w:val="99"/>
    <w:pPr>
      <w:jc w:val="left"/>
    </w:pPr>
  </w:style>
  <w:style w:type="paragraph" w:styleId="12">
    <w:name w:val="Body Text Indent"/>
    <w:basedOn w:val="1"/>
    <w:next w:val="13"/>
    <w:link w:val="40"/>
    <w:autoRedefine/>
    <w:semiHidden/>
    <w:unhideWhenUsed/>
    <w:qFormat/>
    <w:uiPriority w:val="99"/>
    <w:pPr>
      <w:spacing w:after="120"/>
      <w:ind w:left="420" w:leftChars="200"/>
    </w:pPr>
  </w:style>
  <w:style w:type="paragraph" w:styleId="13">
    <w:name w:val="toc 9"/>
    <w:basedOn w:val="1"/>
    <w:next w:val="1"/>
    <w:qFormat/>
    <w:uiPriority w:val="0"/>
    <w:pPr>
      <w:ind w:left="3360" w:leftChars="1600"/>
    </w:pPr>
  </w:style>
  <w:style w:type="paragraph" w:styleId="14">
    <w:name w:val="Block Text"/>
    <w:basedOn w:val="1"/>
    <w:qFormat/>
    <w:uiPriority w:val="0"/>
    <w:pPr>
      <w:spacing w:after="120"/>
      <w:ind w:left="1440" w:leftChars="700" w:right="1440" w:rightChars="700"/>
    </w:pPr>
    <w:rPr>
      <w:rFonts w:ascii="Calibri" w:hAnsi="Calibri"/>
      <w:szCs w:val="20"/>
    </w:rPr>
  </w:style>
  <w:style w:type="paragraph" w:styleId="15">
    <w:name w:val="Plain Text"/>
    <w:basedOn w:val="1"/>
    <w:qFormat/>
    <w:uiPriority w:val="0"/>
    <w:pPr>
      <w:widowControl w:val="0"/>
      <w:jc w:val="both"/>
    </w:pPr>
    <w:rPr>
      <w:rFonts w:ascii="宋体" w:hAnsi="Courier New"/>
      <w:kern w:val="2"/>
      <w:sz w:val="28"/>
    </w:rPr>
  </w:style>
  <w:style w:type="paragraph" w:styleId="16">
    <w:name w:val="Balloon Text"/>
    <w:basedOn w:val="1"/>
    <w:link w:val="47"/>
    <w:autoRedefine/>
    <w:semiHidden/>
    <w:unhideWhenUsed/>
    <w:qFormat/>
    <w:uiPriority w:val="99"/>
    <w:rPr>
      <w:sz w:val="18"/>
      <w:szCs w:val="18"/>
    </w:rPr>
  </w:style>
  <w:style w:type="paragraph" w:styleId="17">
    <w:name w:val="footer"/>
    <w:basedOn w:val="1"/>
    <w:link w:val="46"/>
    <w:autoRedefine/>
    <w:unhideWhenUsed/>
    <w:qFormat/>
    <w:uiPriority w:val="99"/>
    <w:pPr>
      <w:tabs>
        <w:tab w:val="center" w:pos="4153"/>
        <w:tab w:val="right" w:pos="8306"/>
      </w:tabs>
      <w:snapToGrid w:val="0"/>
      <w:jc w:val="left"/>
    </w:pPr>
    <w:rPr>
      <w:sz w:val="18"/>
      <w:szCs w:val="18"/>
    </w:rPr>
  </w:style>
  <w:style w:type="paragraph" w:styleId="18">
    <w:name w:val="header"/>
    <w:basedOn w:val="1"/>
    <w:link w:val="45"/>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autoRedefine/>
    <w:unhideWhenUsed/>
    <w:qFormat/>
    <w:uiPriority w:val="39"/>
  </w:style>
  <w:style w:type="paragraph" w:styleId="20">
    <w:name w:val="index heading"/>
    <w:basedOn w:val="1"/>
    <w:next w:val="21"/>
    <w:unhideWhenUsed/>
    <w:qFormat/>
    <w:uiPriority w:val="99"/>
    <w:rPr>
      <w:szCs w:val="20"/>
    </w:rPr>
  </w:style>
  <w:style w:type="paragraph" w:styleId="21">
    <w:name w:val="index 1"/>
    <w:basedOn w:val="1"/>
    <w:next w:val="1"/>
    <w:unhideWhenUsed/>
    <w:qFormat/>
    <w:uiPriority w:val="99"/>
    <w:pPr>
      <w:jc w:val="center"/>
    </w:pPr>
    <w:rPr>
      <w:szCs w:val="20"/>
    </w:rPr>
  </w:style>
  <w:style w:type="paragraph" w:styleId="22">
    <w:name w:val="Body Text Indent 3"/>
    <w:basedOn w:val="1"/>
    <w:autoRedefine/>
    <w:qFormat/>
    <w:uiPriority w:val="0"/>
    <w:pPr>
      <w:spacing w:line="280" w:lineRule="exact"/>
      <w:ind w:left="602" w:hanging="602"/>
    </w:pPr>
    <w:rPr>
      <w:kern w:val="0"/>
      <w:sz w:val="16"/>
      <w:szCs w:val="16"/>
    </w:rPr>
  </w:style>
  <w:style w:type="paragraph" w:styleId="23">
    <w:name w:val="Body Text 2"/>
    <w:basedOn w:val="1"/>
    <w:qFormat/>
    <w:uiPriority w:val="0"/>
    <w:pPr>
      <w:spacing w:after="120" w:line="480" w:lineRule="auto"/>
    </w:pPr>
  </w:style>
  <w:style w:type="paragraph" w:styleId="24">
    <w:name w:val="Normal (Web)"/>
    <w:basedOn w:val="1"/>
    <w:link w:val="50"/>
    <w:autoRedefine/>
    <w:unhideWhenUsed/>
    <w:qFormat/>
    <w:uiPriority w:val="0"/>
    <w:pPr>
      <w:widowControl/>
      <w:jc w:val="left"/>
    </w:pPr>
    <w:rPr>
      <w:rFonts w:ascii="宋体" w:hAnsi="宋体" w:eastAsia="宋体"/>
      <w:b/>
      <w:sz w:val="24"/>
    </w:rPr>
  </w:style>
  <w:style w:type="paragraph" w:styleId="25">
    <w:name w:val="Body Text First Indent"/>
    <w:basedOn w:val="2"/>
    <w:next w:val="1"/>
    <w:link w:val="43"/>
    <w:autoRedefine/>
    <w:qFormat/>
    <w:uiPriority w:val="0"/>
    <w:pPr>
      <w:ind w:firstLine="420" w:firstLineChars="100"/>
    </w:pPr>
    <w:rPr>
      <w:rFonts w:ascii="Times New Roman" w:hAnsi="Times New Roman" w:eastAsia="宋体" w:cs="Times New Roman"/>
      <w:szCs w:val="20"/>
    </w:rPr>
  </w:style>
  <w:style w:type="paragraph" w:styleId="26">
    <w:name w:val="Body Text First Indent 2"/>
    <w:basedOn w:val="12"/>
    <w:next w:val="1"/>
    <w:link w:val="41"/>
    <w:autoRedefine/>
    <w:qFormat/>
    <w:uiPriority w:val="99"/>
    <w:pPr>
      <w:ind w:firstLine="420" w:firstLineChars="200"/>
    </w:pPr>
    <w:rPr>
      <w:rFonts w:ascii="Times New Roman" w:hAnsi="Times New Roman" w:eastAsia="宋体" w:cs="Times New Roman"/>
      <w:szCs w:val="20"/>
    </w:rPr>
  </w:style>
  <w:style w:type="table" w:styleId="28">
    <w:name w:val="Table Grid"/>
    <w:basedOn w:val="27"/>
    <w:autoRedefine/>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rPr>
  </w:style>
  <w:style w:type="character" w:styleId="31">
    <w:name w:val="Hyperlink"/>
    <w:autoRedefine/>
    <w:qFormat/>
    <w:uiPriority w:val="99"/>
    <w:rPr>
      <w:color w:val="0000FF"/>
      <w:u w:val="single"/>
    </w:rPr>
  </w:style>
  <w:style w:type="character" w:styleId="32">
    <w:name w:val="annotation reference"/>
    <w:basedOn w:val="29"/>
    <w:qFormat/>
    <w:uiPriority w:val="0"/>
    <w:rPr>
      <w:sz w:val="21"/>
      <w:szCs w:val="21"/>
    </w:rPr>
  </w:style>
  <w:style w:type="paragraph" w:customStyle="1" w:styleId="33">
    <w:name w:val="正本"/>
    <w:basedOn w:val="1"/>
    <w:qFormat/>
    <w:uiPriority w:val="0"/>
    <w:pPr>
      <w:adjustRightInd w:val="0"/>
      <w:snapToGrid w:val="0"/>
      <w:spacing w:line="360" w:lineRule="auto"/>
      <w:ind w:firstLine="200" w:firstLineChars="200"/>
    </w:pPr>
    <w:rPr>
      <w:rFonts w:ascii="宋体" w:eastAsia="宋体"/>
      <w:kern w:val="2"/>
      <w:sz w:val="24"/>
      <w:szCs w:val="24"/>
      <w:lang w:val="en-US" w:eastAsia="zh-CN" w:bidi="ar-SA"/>
    </w:rPr>
  </w:style>
  <w:style w:type="paragraph" w:customStyle="1" w:styleId="34">
    <w:name w:val="Default"/>
    <w:basedOn w:val="35"/>
    <w:autoRedefine/>
    <w:qFormat/>
    <w:uiPriority w:val="0"/>
    <w:pPr>
      <w:widowControl w:val="0"/>
      <w:tabs>
        <w:tab w:val="left" w:pos="0"/>
      </w:tabs>
      <w:autoSpaceDE w:val="0"/>
      <w:autoSpaceDN w:val="0"/>
      <w:adjustRightInd w:val="0"/>
    </w:pPr>
    <w:rPr>
      <w:rFonts w:ascii="宋体" w:hAnsi="Calibri" w:eastAsia="宋体" w:cs="宋体"/>
      <w:color w:val="000000"/>
      <w:sz w:val="24"/>
      <w:szCs w:val="24"/>
      <w:lang w:val="en-US" w:eastAsia="zh-CN" w:bidi="ar-SA"/>
    </w:rPr>
  </w:style>
  <w:style w:type="paragraph" w:customStyle="1" w:styleId="35">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36">
    <w:name w:val="标题2"/>
    <w:basedOn w:val="5"/>
    <w:autoRedefine/>
    <w:qFormat/>
    <w:uiPriority w:val="0"/>
    <w:pPr>
      <w:tabs>
        <w:tab w:val="left" w:pos="0"/>
      </w:tabs>
      <w:spacing w:line="440" w:lineRule="exact"/>
      <w:ind w:left="1560"/>
    </w:pPr>
    <w:rPr>
      <w:sz w:val="28"/>
    </w:rPr>
  </w:style>
  <w:style w:type="paragraph" w:customStyle="1" w:styleId="37">
    <w:name w:val="样式3"/>
    <w:basedOn w:val="19"/>
    <w:next w:val="38"/>
    <w:autoRedefine/>
    <w:qFormat/>
    <w:uiPriority w:val="0"/>
    <w:pPr>
      <w:widowControl/>
      <w:overflowPunct w:val="0"/>
      <w:autoSpaceDE w:val="0"/>
      <w:autoSpaceDN w:val="0"/>
      <w:adjustRightInd w:val="0"/>
      <w:snapToGrid w:val="0"/>
      <w:spacing w:line="360" w:lineRule="auto"/>
      <w:ind w:firstLine="567"/>
      <w:textAlignment w:val="baseline"/>
    </w:pPr>
    <w:rPr>
      <w:rFonts w:ascii="宋体"/>
      <w:spacing w:val="20"/>
      <w:kern w:val="0"/>
      <w:sz w:val="24"/>
      <w:szCs w:val="20"/>
    </w:rPr>
  </w:style>
  <w:style w:type="paragraph" w:customStyle="1" w:styleId="38">
    <w:name w:val="目录 53"/>
    <w:basedOn w:val="1"/>
    <w:next w:val="1"/>
    <w:autoRedefine/>
    <w:qFormat/>
    <w:uiPriority w:val="0"/>
    <w:pPr>
      <w:ind w:left="840"/>
    </w:pPr>
    <w:rPr>
      <w:rFonts w:cs="宋体"/>
      <w:color w:val="000000"/>
    </w:rPr>
  </w:style>
  <w:style w:type="character" w:customStyle="1" w:styleId="39">
    <w:name w:val="标题 1 字符"/>
    <w:basedOn w:val="29"/>
    <w:link w:val="4"/>
    <w:autoRedefine/>
    <w:qFormat/>
    <w:uiPriority w:val="9"/>
    <w:rPr>
      <w:rFonts w:ascii="Times New Roman" w:hAnsi="Times New Roman" w:eastAsia="宋体"/>
      <w:b/>
      <w:bCs/>
      <w:kern w:val="44"/>
      <w:sz w:val="30"/>
      <w:szCs w:val="44"/>
    </w:rPr>
  </w:style>
  <w:style w:type="character" w:customStyle="1" w:styleId="40">
    <w:name w:val="正文文本缩进 字符"/>
    <w:basedOn w:val="29"/>
    <w:link w:val="12"/>
    <w:autoRedefine/>
    <w:semiHidden/>
    <w:qFormat/>
    <w:uiPriority w:val="99"/>
  </w:style>
  <w:style w:type="character" w:customStyle="1" w:styleId="41">
    <w:name w:val="正文文本首行缩进 2 字符"/>
    <w:basedOn w:val="40"/>
    <w:link w:val="26"/>
    <w:autoRedefine/>
    <w:qFormat/>
    <w:uiPriority w:val="99"/>
    <w:rPr>
      <w:rFonts w:ascii="Times New Roman" w:hAnsi="Times New Roman" w:eastAsia="宋体" w:cs="Times New Roman"/>
      <w:szCs w:val="20"/>
    </w:rPr>
  </w:style>
  <w:style w:type="character" w:customStyle="1" w:styleId="42">
    <w:name w:val="正文文本 字符"/>
    <w:basedOn w:val="29"/>
    <w:link w:val="2"/>
    <w:autoRedefine/>
    <w:semiHidden/>
    <w:qFormat/>
    <w:uiPriority w:val="99"/>
  </w:style>
  <w:style w:type="character" w:customStyle="1" w:styleId="43">
    <w:name w:val="正文文本首行缩进 字符"/>
    <w:basedOn w:val="42"/>
    <w:link w:val="25"/>
    <w:autoRedefine/>
    <w:qFormat/>
    <w:uiPriority w:val="0"/>
    <w:rPr>
      <w:rFonts w:ascii="Times New Roman" w:hAnsi="Times New Roman" w:eastAsia="宋体" w:cs="Times New Roman"/>
      <w:szCs w:val="20"/>
    </w:rPr>
  </w:style>
  <w:style w:type="paragraph" w:styleId="44">
    <w:name w:val="List Paragraph"/>
    <w:basedOn w:val="1"/>
    <w:autoRedefine/>
    <w:qFormat/>
    <w:uiPriority w:val="34"/>
    <w:pPr>
      <w:ind w:firstLine="420" w:firstLineChars="200"/>
    </w:pPr>
  </w:style>
  <w:style w:type="character" w:customStyle="1" w:styleId="45">
    <w:name w:val="页眉 字符"/>
    <w:basedOn w:val="29"/>
    <w:link w:val="18"/>
    <w:autoRedefine/>
    <w:qFormat/>
    <w:uiPriority w:val="99"/>
    <w:rPr>
      <w:sz w:val="18"/>
      <w:szCs w:val="18"/>
    </w:rPr>
  </w:style>
  <w:style w:type="character" w:customStyle="1" w:styleId="46">
    <w:name w:val="页脚 字符"/>
    <w:basedOn w:val="29"/>
    <w:link w:val="17"/>
    <w:autoRedefine/>
    <w:qFormat/>
    <w:uiPriority w:val="99"/>
    <w:rPr>
      <w:sz w:val="18"/>
      <w:szCs w:val="18"/>
    </w:rPr>
  </w:style>
  <w:style w:type="character" w:customStyle="1" w:styleId="47">
    <w:name w:val="批注框文本 字符"/>
    <w:basedOn w:val="29"/>
    <w:link w:val="16"/>
    <w:autoRedefine/>
    <w:semiHidden/>
    <w:qFormat/>
    <w:uiPriority w:val="99"/>
    <w:rPr>
      <w:sz w:val="18"/>
      <w:szCs w:val="18"/>
    </w:rPr>
  </w:style>
  <w:style w:type="paragraph" w:customStyle="1" w:styleId="48">
    <w:name w:val="表格"/>
    <w:basedOn w:val="1"/>
    <w:next w:val="1"/>
    <w:link w:val="49"/>
    <w:autoRedefine/>
    <w:qFormat/>
    <w:uiPriority w:val="0"/>
    <w:pPr>
      <w:adjustRightInd w:val="0"/>
      <w:snapToGrid w:val="0"/>
      <w:spacing w:beforeLines="10" w:afterLines="10" w:line="259" w:lineRule="auto"/>
      <w:ind w:firstLine="420" w:firstLineChars="200"/>
      <w:jc w:val="center"/>
      <w:textAlignment w:val="baseline"/>
    </w:pPr>
    <w:rPr>
      <w:rFonts w:ascii="宋体" w:hAnsi="Times New Roman" w:eastAsia="黑体" w:cs="Times New Roman"/>
      <w:spacing w:val="-10"/>
      <w:kern w:val="0"/>
      <w:sz w:val="24"/>
      <w:szCs w:val="20"/>
    </w:rPr>
  </w:style>
  <w:style w:type="character" w:customStyle="1" w:styleId="49">
    <w:name w:val="表格 Char"/>
    <w:link w:val="48"/>
    <w:autoRedefine/>
    <w:qFormat/>
    <w:locked/>
    <w:uiPriority w:val="0"/>
    <w:rPr>
      <w:rFonts w:ascii="宋体" w:hAnsi="Times New Roman" w:eastAsia="黑体" w:cs="Times New Roman"/>
      <w:spacing w:val="-10"/>
      <w:kern w:val="0"/>
      <w:sz w:val="24"/>
      <w:szCs w:val="20"/>
    </w:rPr>
  </w:style>
  <w:style w:type="character" w:customStyle="1" w:styleId="50">
    <w:name w:val="普通(网站) 字符"/>
    <w:link w:val="24"/>
    <w:autoRedefine/>
    <w:qFormat/>
    <w:locked/>
    <w:uiPriority w:val="0"/>
    <w:rPr>
      <w:rFonts w:ascii="宋体" w:hAnsi="宋体" w:eastAsia="宋体"/>
      <w:b/>
      <w:sz w:val="24"/>
    </w:rPr>
  </w:style>
  <w:style w:type="character" w:customStyle="1" w:styleId="51">
    <w:name w:val="表格文字 Char"/>
    <w:link w:val="52"/>
    <w:autoRedefine/>
    <w:qFormat/>
    <w:uiPriority w:val="0"/>
    <w:rPr>
      <w:kern w:val="24"/>
      <w:sz w:val="24"/>
    </w:rPr>
  </w:style>
  <w:style w:type="paragraph" w:customStyle="1" w:styleId="52">
    <w:name w:val="表格文字"/>
    <w:link w:val="51"/>
    <w:autoRedefine/>
    <w:qFormat/>
    <w:uiPriority w:val="0"/>
    <w:pPr>
      <w:adjustRightInd w:val="0"/>
      <w:snapToGrid w:val="0"/>
      <w:jc w:val="center"/>
    </w:pPr>
    <w:rPr>
      <w:rFonts w:asciiTheme="minorHAnsi" w:hAnsiTheme="minorHAnsi" w:eastAsiaTheme="minorEastAsia" w:cstheme="minorBidi"/>
      <w:kern w:val="24"/>
      <w:sz w:val="24"/>
      <w:szCs w:val="22"/>
      <w:lang w:val="en-US" w:eastAsia="zh-CN" w:bidi="ar-SA"/>
    </w:rPr>
  </w:style>
  <w:style w:type="paragraph" w:customStyle="1" w:styleId="53">
    <w:name w:val="表格内容"/>
    <w:basedOn w:val="1"/>
    <w:next w:val="1"/>
    <w:autoRedefine/>
    <w:qFormat/>
    <w:uiPriority w:val="0"/>
    <w:pPr>
      <w:jc w:val="center"/>
    </w:pPr>
    <w:rPr>
      <w:szCs w:val="21"/>
    </w:rPr>
  </w:style>
  <w:style w:type="paragraph" w:customStyle="1" w:styleId="54">
    <w:name w:val="Table Paragraph"/>
    <w:basedOn w:val="1"/>
    <w:autoRedefine/>
    <w:qFormat/>
    <w:uiPriority w:val="1"/>
  </w:style>
  <w:style w:type="paragraph" w:customStyle="1" w:styleId="55">
    <w:name w:val="正文zy"/>
    <w:basedOn w:val="1"/>
    <w:autoRedefine/>
    <w:qFormat/>
    <w:uiPriority w:val="0"/>
    <w:pPr>
      <w:snapToGrid w:val="0"/>
      <w:spacing w:line="360" w:lineRule="auto"/>
      <w:ind w:firstLine="480" w:firstLineChars="200"/>
    </w:pPr>
    <w:rPr>
      <w:color w:val="000000"/>
      <w:kern w:val="2"/>
    </w:rPr>
  </w:style>
  <w:style w:type="character" w:customStyle="1" w:styleId="56">
    <w:name w:val="font21"/>
    <w:basedOn w:val="29"/>
    <w:autoRedefine/>
    <w:qFormat/>
    <w:uiPriority w:val="0"/>
    <w:rPr>
      <w:rFonts w:hint="eastAsia" w:ascii="宋体" w:hAnsi="宋体" w:eastAsia="宋体" w:cs="宋体"/>
      <w:color w:val="000000"/>
      <w:sz w:val="21"/>
      <w:szCs w:val="21"/>
      <w:u w:val="none"/>
    </w:rPr>
  </w:style>
  <w:style w:type="paragraph" w:customStyle="1" w:styleId="57">
    <w:name w:val="0正文"/>
    <w:basedOn w:val="1"/>
    <w:autoRedefine/>
    <w:qFormat/>
    <w:uiPriority w:val="0"/>
    <w:pPr>
      <w:spacing w:line="360" w:lineRule="auto"/>
      <w:ind w:firstLine="200" w:firstLineChars="200"/>
    </w:pPr>
    <w:rPr>
      <w:kern w:val="0"/>
      <w:sz w:val="24"/>
      <w:szCs w:val="22"/>
      <w:lang w:eastAsia="en-US"/>
    </w:rPr>
  </w:style>
  <w:style w:type="paragraph" w:customStyle="1" w:styleId="58">
    <w:name w:val="表"/>
    <w:basedOn w:val="1"/>
    <w:autoRedefine/>
    <w:qFormat/>
    <w:uiPriority w:val="0"/>
    <w:pPr>
      <w:keepNext/>
      <w:keepLines/>
      <w:adjustRightInd w:val="0"/>
      <w:spacing w:before="60"/>
      <w:jc w:val="center"/>
    </w:pPr>
    <w:rPr>
      <w:rFonts w:ascii="Calibri" w:hAnsi="Calibri" w:eastAsia="仿宋_GB2312"/>
      <w:kern w:val="21"/>
      <w:sz w:val="24"/>
      <w:szCs w:val="20"/>
    </w:rPr>
  </w:style>
  <w:style w:type="paragraph" w:customStyle="1" w:styleId="59">
    <w:name w:val="表格标题"/>
    <w:basedOn w:val="1"/>
    <w:autoRedefine/>
    <w:qFormat/>
    <w:uiPriority w:val="0"/>
    <w:pPr>
      <w:ind w:firstLine="0" w:firstLineChars="0"/>
      <w:jc w:val="center"/>
    </w:pPr>
    <w:rPr>
      <w:b/>
      <w:szCs w:val="24"/>
    </w:rPr>
  </w:style>
  <w:style w:type="paragraph" w:customStyle="1" w:styleId="60">
    <w:name w:val="1正文"/>
    <w:basedOn w:val="1"/>
    <w:qFormat/>
    <w:uiPriority w:val="99"/>
    <w:pPr>
      <w:autoSpaceDE w:val="0"/>
      <w:autoSpaceDN w:val="0"/>
      <w:adjustRightInd w:val="0"/>
      <w:snapToGrid w:val="0"/>
      <w:spacing w:before="25" w:beforeLines="25" w:after="25" w:afterLines="25" w:line="360" w:lineRule="auto"/>
      <w:ind w:firstLine="200" w:firstLineChars="200"/>
    </w:pPr>
    <w:rPr>
      <w:rFonts w:eastAsia="仿宋"/>
      <w:bCs/>
      <w:spacing w:val="5"/>
      <w:kern w:val="0"/>
      <w:sz w:val="24"/>
      <w:szCs w:val="21"/>
    </w:rPr>
  </w:style>
  <w:style w:type="paragraph" w:customStyle="1" w:styleId="61">
    <w:name w:val="D正文"/>
    <w:basedOn w:val="62"/>
    <w:qFormat/>
    <w:uiPriority w:val="0"/>
    <w:pPr>
      <w:spacing w:line="360" w:lineRule="auto"/>
      <w:ind w:firstLine="480"/>
      <w:jc w:val="both"/>
    </w:pPr>
    <w:rPr>
      <w:rFonts w:hAnsi="宋体"/>
      <w:kern w:val="2"/>
      <w:szCs w:val="24"/>
    </w:rPr>
  </w:style>
  <w:style w:type="paragraph" w:customStyle="1" w:styleId="62">
    <w:name w:val="正文对的"/>
    <w:basedOn w:val="15"/>
    <w:qFormat/>
    <w:uiPriority w:val="0"/>
    <w:pPr>
      <w:spacing w:line="500" w:lineRule="exact"/>
      <w:ind w:firstLine="200" w:firstLineChars="200"/>
    </w:pPr>
    <w:rPr>
      <w:rFonts w:hAnsi="宋体"/>
      <w:kern w:val="2"/>
      <w:sz w:val="24"/>
      <w:szCs w:val="24"/>
    </w:rPr>
  </w:style>
  <w:style w:type="paragraph" w:customStyle="1" w:styleId="63">
    <w:name w:val="陈正文"/>
    <w:basedOn w:val="1"/>
    <w:next w:val="1"/>
    <w:qFormat/>
    <w:uiPriority w:val="0"/>
    <w:pPr>
      <w:adjustRightInd w:val="0"/>
      <w:snapToGrid w:val="0"/>
      <w:spacing w:line="360" w:lineRule="auto"/>
      <w:ind w:firstLine="720" w:firstLineChars="200"/>
      <w:jc w:val="left"/>
    </w:pPr>
    <w:rPr>
      <w:kern w:val="0"/>
      <w:szCs w:val="20"/>
    </w:rPr>
  </w:style>
  <w:style w:type="paragraph" w:customStyle="1" w:styleId="64">
    <w:name w:val="正本文字"/>
    <w:basedOn w:val="1"/>
    <w:autoRedefine/>
    <w:qFormat/>
    <w:uiPriority w:val="0"/>
    <w:pPr>
      <w:adjustRightInd w:val="0"/>
      <w:snapToGrid w:val="0"/>
      <w:spacing w:line="360" w:lineRule="auto"/>
      <w:ind w:firstLine="200" w:firstLineChars="200"/>
      <w:jc w:val="left"/>
    </w:pPr>
    <w:rPr>
      <w:kern w:val="18"/>
      <w:sz w:val="24"/>
    </w:rPr>
  </w:style>
  <w:style w:type="paragraph" w:customStyle="1" w:styleId="65">
    <w:name w:val="表格普通"/>
    <w:basedOn w:val="1"/>
    <w:autoRedefine/>
    <w:qFormat/>
    <w:uiPriority w:val="0"/>
    <w:pPr>
      <w:jc w:val="center"/>
    </w:pPr>
    <w:rPr>
      <w:rFonts w:eastAsia="仿宋_GB2312"/>
    </w:rPr>
  </w:style>
  <w:style w:type="paragraph" w:customStyle="1" w:styleId="66">
    <w:name w:val="111正文"/>
    <w:basedOn w:val="1"/>
    <w:autoRedefine/>
    <w:qFormat/>
    <w:uiPriority w:val="0"/>
    <w:pPr>
      <w:tabs>
        <w:tab w:val="left" w:pos="600"/>
      </w:tabs>
      <w:spacing w:line="360" w:lineRule="auto"/>
      <w:ind w:firstLine="200" w:firstLineChars="200"/>
    </w:pPr>
    <w:rPr>
      <w:kern w:val="0"/>
      <w:sz w:val="24"/>
      <w:szCs w:val="22"/>
    </w:rPr>
  </w:style>
  <w:style w:type="paragraph" w:customStyle="1" w:styleId="67">
    <w:name w:val="0000"/>
    <w:basedOn w:val="1"/>
    <w:autoRedefine/>
    <w:qFormat/>
    <w:uiPriority w:val="0"/>
    <w:pPr>
      <w:adjustRightInd w:val="0"/>
      <w:snapToGrid w:val="0"/>
    </w:pPr>
    <w:rPr>
      <w:rFonts w:hint="eastAsia"/>
      <w:sz w:val="24"/>
      <w:lang w:val="zh-TW"/>
    </w:rPr>
  </w:style>
  <w:style w:type="paragraph" w:customStyle="1" w:styleId="68">
    <w:name w:val="环正文"/>
    <w:basedOn w:val="1"/>
    <w:autoRedefine/>
    <w:qFormat/>
    <w:uiPriority w:val="0"/>
    <w:pPr>
      <w:widowControl/>
      <w:tabs>
        <w:tab w:val="left" w:pos="5094"/>
      </w:tabs>
      <w:adjustRightInd w:val="0"/>
      <w:snapToGrid w:val="0"/>
      <w:spacing w:line="500" w:lineRule="exact"/>
      <w:ind w:firstLine="562"/>
      <w:textAlignment w:val="baseline"/>
    </w:pPr>
    <w:rPr>
      <w:rFonts w:eastAsia="仿宋_GB2312"/>
      <w:b/>
      <w:kern w:val="24"/>
      <w:sz w:val="28"/>
      <w:szCs w:val="28"/>
    </w:rPr>
  </w:style>
  <w:style w:type="character" w:customStyle="1" w:styleId="69">
    <w:name w:val="apple-style-span"/>
    <w:autoRedefine/>
    <w:qFormat/>
    <w:uiPriority w:val="0"/>
  </w:style>
  <w:style w:type="paragraph" w:customStyle="1" w:styleId="70">
    <w:name w:val="二级无标题条"/>
    <w:basedOn w:val="1"/>
    <w:autoRedefine/>
    <w:qFormat/>
    <w:uiPriority w:val="0"/>
  </w:style>
  <w:style w:type="paragraph" w:customStyle="1" w:styleId="71">
    <w:name w:val="报告表正文"/>
    <w:basedOn w:val="72"/>
    <w:autoRedefine/>
    <w:qFormat/>
    <w:uiPriority w:val="0"/>
    <w:pPr>
      <w:ind w:firstLine="200" w:firstLineChars="200"/>
      <w:jc w:val="left"/>
    </w:pPr>
    <w:rPr>
      <w:rFonts w:ascii="Times New Roman" w:hAnsi="Times New Roman"/>
      <w:szCs w:val="24"/>
    </w:rPr>
  </w:style>
  <w:style w:type="paragraph" w:customStyle="1" w:styleId="72">
    <w:name w:val="列表1"/>
    <w:basedOn w:val="1"/>
    <w:autoRedefine/>
    <w:qFormat/>
    <w:uiPriority w:val="0"/>
    <w:pPr>
      <w:spacing w:line="400" w:lineRule="exact"/>
      <w:jc w:val="center"/>
    </w:pPr>
    <w:rPr>
      <w:rFonts w:ascii="宋体" w:hAnsi="宋体" w:eastAsia="仿宋_GB2312"/>
      <w:sz w:val="24"/>
      <w:szCs w:val="20"/>
    </w:rPr>
  </w:style>
  <w:style w:type="paragraph" w:customStyle="1" w:styleId="73">
    <w:name w:val="p0"/>
    <w:basedOn w:val="1"/>
    <w:qFormat/>
    <w:uiPriority w:val="0"/>
    <w:pPr>
      <w:widowControl/>
      <w:snapToGrid w:val="0"/>
      <w:spacing w:line="300" w:lineRule="auto"/>
    </w:pPr>
    <w:rPr>
      <w:rFonts w:ascii="仿宋_GB2312" w:hAnsi="宋体" w:eastAsia="仿宋_GB2312" w:cs="宋体"/>
      <w:kern w:val="0"/>
      <w:sz w:val="28"/>
      <w:szCs w:val="28"/>
    </w:rPr>
  </w:style>
  <w:style w:type="paragraph" w:customStyle="1" w:styleId="74">
    <w:name w:val="Table Text"/>
    <w:basedOn w:val="1"/>
    <w:autoRedefine/>
    <w:semiHidden/>
    <w:qFormat/>
    <w:uiPriority w:val="0"/>
    <w:rPr>
      <w:rFonts w:ascii="宋体" w:hAnsi="宋体" w:eastAsia="宋体" w:cs="宋体"/>
      <w:sz w:val="24"/>
      <w:szCs w:val="24"/>
      <w:lang w:val="en-US" w:eastAsia="en-US" w:bidi="ar-SA"/>
    </w:rPr>
  </w:style>
  <w:style w:type="table" w:customStyle="1" w:styleId="75">
    <w:name w:val="Table Normal"/>
    <w:autoRedefine/>
    <w:semiHidden/>
    <w:unhideWhenUsed/>
    <w:qFormat/>
    <w:uiPriority w:val="0"/>
    <w:tblPr>
      <w:tblCellMar>
        <w:top w:w="0" w:type="dxa"/>
        <w:left w:w="0" w:type="dxa"/>
        <w:bottom w:w="0" w:type="dxa"/>
        <w:right w:w="0" w:type="dxa"/>
      </w:tblCellMar>
    </w:tblPr>
  </w:style>
  <w:style w:type="paragraph" w:customStyle="1" w:styleId="76">
    <w:name w:val="图表文字"/>
    <w:basedOn w:val="1"/>
    <w:qFormat/>
    <w:uiPriority w:val="0"/>
    <w:pPr>
      <w:jc w:val="center"/>
    </w:pPr>
    <w:rPr>
      <w:rFonts w:ascii="仿宋_GB2312" w:eastAsia="仿宋_GB2312"/>
    </w:rPr>
  </w:style>
  <w:style w:type="paragraph" w:customStyle="1" w:styleId="77">
    <w:name w:val="24磅正文"/>
    <w:basedOn w:val="1"/>
    <w:qFormat/>
    <w:uiPriority w:val="0"/>
    <w:pPr>
      <w:topLinePunct/>
      <w:autoSpaceDE w:val="0"/>
      <w:ind w:firstLine="480"/>
    </w:pPr>
    <w:rPr>
      <w:sz w:val="24"/>
    </w:rPr>
  </w:style>
  <w:style w:type="paragraph" w:customStyle="1" w:styleId="78">
    <w:name w:val="Z正文"/>
    <w:basedOn w:val="1"/>
    <w:qFormat/>
    <w:uiPriority w:val="0"/>
    <w:pPr>
      <w:spacing w:line="400" w:lineRule="exact"/>
      <w:ind w:firstLine="600" w:firstLineChars="200"/>
    </w:pPr>
    <w:rPr>
      <w:rFonts w:ascii="Times New Roman" w:hAnsi="Times New Roman" w:eastAsia="宋体" w:cs="Times New Roman"/>
      <w:sz w:val="21"/>
      <w:szCs w:val="20"/>
    </w:rPr>
  </w:style>
  <w:style w:type="paragraph" w:customStyle="1" w:styleId="79">
    <w:name w:val="Z表格标题"/>
    <w:basedOn w:val="1"/>
    <w:next w:val="1"/>
    <w:qFormat/>
    <w:uiPriority w:val="0"/>
    <w:pPr>
      <w:spacing w:line="400" w:lineRule="exact"/>
      <w:jc w:val="center"/>
    </w:pPr>
    <w:rPr>
      <w:rFonts w:ascii="Times New Roman" w:hAnsi="Times New Roman" w:eastAsia="宋体"/>
      <w:b/>
    </w:rPr>
  </w:style>
  <w:style w:type="paragraph" w:customStyle="1" w:styleId="80">
    <w:name w:val="Z嵌套表格内容"/>
    <w:basedOn w:val="1"/>
    <w:qFormat/>
    <w:uiPriority w:val="0"/>
    <w:pPr>
      <w:jc w:val="center"/>
    </w:pPr>
    <w:rPr>
      <w:rFonts w:ascii="Times New Roman" w:hAnsi="Times New Roman" w:eastAsia="宋体"/>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jpeg"/><Relationship Id="rId24" Type="http://schemas.openxmlformats.org/officeDocument/2006/relationships/image" Target="media/image16.wmf"/><Relationship Id="rId23" Type="http://schemas.openxmlformats.org/officeDocument/2006/relationships/oleObject" Target="embeddings/oleObject1.bin"/><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113</Pages>
  <Words>118</Words>
  <Characters>149</Characters>
  <Lines>370</Lines>
  <Paragraphs>104</Paragraphs>
  <TotalTime>20</TotalTime>
  <ScaleCrop>false</ScaleCrop>
  <LinksUpToDate>false</LinksUpToDate>
  <CharactersWithSpaces>188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2023-09-13T02:21:00Z</dcterms:created>
  <dc:creator>China</dc:creator>
  <cp:lastModifiedBy>球球</cp:lastModifiedBy>
  <cp:lastPrinted>2023-12-25T01:42:00Z</cp:lastPrinted>
  <dcterms:modified xsi:type="dcterms:W3CDTF">2025-02-18T01:13:27Z</dcterms:modified>
  <cp:revision>2180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B4C2234CA3D142358F80FD8EE55642F0_13</vt:lpwstr>
  </property>
  <property fmtid="{D5CDD505-2E9C-101B-9397-08002B2CF9AE}" pid="4" name="KSOTemplateDocerSaveRecord">
    <vt:lpwstr>eyJoZGlkIjoiYWZhMzA0MTE2MGQ3ODcwOTgyMWY3NzY0ZDhkYzQxODciLCJ1c2VySWQiOiIzODk2NzQyOTcifQ==</vt:lpwstr>
  </property>
</Properties>
</file>