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4B9626">
      <w:pPr>
        <w:adjustRightInd w:val="0"/>
        <w:snapToGrid w:val="0"/>
        <w:spacing w:line="360" w:lineRule="auto"/>
        <w:ind w:left="0" w:leftChars="0" w:firstLine="0" w:firstLineChars="0"/>
        <w:jc w:val="both"/>
        <w:rPr>
          <w:rFonts w:ascii="黑体" w:hAnsi="黑体" w:eastAsia="黑体" w:cs="黑体"/>
          <w:bCs/>
          <w:color w:val="auto"/>
          <w:sz w:val="36"/>
          <w:szCs w:val="36"/>
        </w:rPr>
      </w:pPr>
    </w:p>
    <w:p w14:paraId="2DF460B4">
      <w:pPr>
        <w:pStyle w:val="22"/>
        <w:ind w:left="0" w:leftChars="0" w:firstLine="0" w:firstLineChars="0"/>
        <w:rPr>
          <w:rFonts w:ascii="黑体" w:hAnsi="黑体" w:eastAsia="黑体" w:cs="黑体"/>
          <w:bCs/>
          <w:color w:val="auto"/>
          <w:sz w:val="36"/>
          <w:szCs w:val="36"/>
        </w:rPr>
      </w:pPr>
    </w:p>
    <w:p w14:paraId="6A3CCEF6">
      <w:pPr>
        <w:ind w:left="0" w:leftChars="0" w:firstLine="0" w:firstLineChars="0"/>
        <w:rPr>
          <w:rFonts w:eastAsia="仿宋"/>
          <w:color w:val="auto"/>
          <w:sz w:val="36"/>
          <w:szCs w:val="36"/>
        </w:rPr>
      </w:pPr>
    </w:p>
    <w:p w14:paraId="63902A2B">
      <w:pPr>
        <w:adjustRightInd w:val="0"/>
        <w:snapToGrid w:val="0"/>
        <w:spacing w:line="360" w:lineRule="auto"/>
        <w:ind w:left="0" w:leftChars="0" w:firstLine="0" w:firstLineChars="0"/>
        <w:jc w:val="center"/>
        <w:outlineLvl w:val="0"/>
        <w:rPr>
          <w:rFonts w:ascii="黑体" w:hAnsi="黑体" w:eastAsia="黑体" w:cs="黑体"/>
          <w:bCs/>
          <w:color w:val="auto"/>
          <w:sz w:val="72"/>
          <w:szCs w:val="72"/>
        </w:rPr>
      </w:pPr>
      <w:bookmarkStart w:id="0" w:name="_Toc6489"/>
      <w:bookmarkStart w:id="1" w:name="_Toc14777"/>
      <w:r>
        <w:rPr>
          <w:rFonts w:hint="eastAsia" w:ascii="黑体" w:hAnsi="黑体" w:eastAsia="黑体" w:cs="黑体"/>
          <w:bCs/>
          <w:color w:val="auto"/>
          <w:sz w:val="52"/>
          <w:szCs w:val="52"/>
        </w:rPr>
        <w:t>建设项目环境影响报告表</w:t>
      </w:r>
      <w:bookmarkEnd w:id="0"/>
      <w:bookmarkEnd w:id="1"/>
    </w:p>
    <w:p w14:paraId="6774C817">
      <w:pPr>
        <w:adjustRightInd w:val="0"/>
        <w:snapToGrid w:val="0"/>
        <w:spacing w:before="192" w:beforeLines="80"/>
        <w:ind w:left="0" w:leftChars="0" w:firstLine="0" w:firstLineChars="0"/>
        <w:jc w:val="center"/>
        <w:rPr>
          <w:rFonts w:ascii="仿宋" w:hAnsi="仿宋" w:eastAsia="仿宋" w:cs="仿宋"/>
          <w:b/>
          <w:color w:val="auto"/>
          <w:sz w:val="48"/>
          <w:szCs w:val="48"/>
        </w:rPr>
      </w:pPr>
      <w:r>
        <w:rPr>
          <w:rFonts w:hint="eastAsia" w:ascii="仿宋" w:hAnsi="仿宋" w:eastAsia="仿宋" w:cs="仿宋"/>
          <w:b/>
          <w:color w:val="auto"/>
          <w:sz w:val="52"/>
          <w:szCs w:val="52"/>
        </w:rPr>
        <w:t>（</w:t>
      </w:r>
      <w:r>
        <w:rPr>
          <w:rFonts w:hint="eastAsia" w:ascii="仿宋" w:hAnsi="仿宋" w:eastAsia="仿宋" w:cs="仿宋"/>
          <w:b/>
          <w:color w:val="auto"/>
          <w:sz w:val="52"/>
          <w:szCs w:val="52"/>
          <w:lang w:val="en-US" w:eastAsia="zh-CN"/>
        </w:rPr>
        <w:t>生态影响</w:t>
      </w:r>
      <w:r>
        <w:rPr>
          <w:rFonts w:hint="eastAsia" w:ascii="仿宋" w:hAnsi="仿宋" w:eastAsia="仿宋" w:cs="仿宋"/>
          <w:b/>
          <w:color w:val="auto"/>
          <w:sz w:val="52"/>
          <w:szCs w:val="52"/>
        </w:rPr>
        <w:t>类）</w:t>
      </w:r>
    </w:p>
    <w:p w14:paraId="4565F4D6">
      <w:pPr>
        <w:adjustRightInd w:val="0"/>
        <w:snapToGrid w:val="0"/>
        <w:spacing w:before="192" w:beforeLines="80" w:line="360" w:lineRule="auto"/>
        <w:ind w:left="0" w:leftChars="0" w:firstLine="0" w:firstLineChars="0"/>
        <w:jc w:val="both"/>
        <w:rPr>
          <w:rFonts w:eastAsia="仿宋"/>
          <w:bCs/>
          <w:color w:val="auto"/>
          <w:sz w:val="48"/>
          <w:szCs w:val="48"/>
        </w:rPr>
      </w:pPr>
    </w:p>
    <w:p w14:paraId="1CAE28A7">
      <w:pPr>
        <w:tabs>
          <w:tab w:val="left" w:pos="3200"/>
        </w:tabs>
        <w:adjustRightInd w:val="0"/>
        <w:snapToGrid w:val="0"/>
        <w:spacing w:line="288" w:lineRule="auto"/>
        <w:ind w:left="0" w:leftChars="0" w:firstLine="0" w:firstLineChars="0"/>
        <w:jc w:val="left"/>
        <w:rPr>
          <w:rFonts w:eastAsia="仿宋"/>
          <w:color w:val="auto"/>
          <w:kern w:val="44"/>
          <w:sz w:val="44"/>
          <w:szCs w:val="44"/>
        </w:rPr>
      </w:pPr>
    </w:p>
    <w:p w14:paraId="3B0F3B9D">
      <w:pPr>
        <w:ind w:left="0" w:leftChars="0" w:firstLine="0" w:firstLineChars="0"/>
        <w:rPr>
          <w:rFonts w:eastAsia="仿宋"/>
          <w:color w:val="auto"/>
          <w:sz w:val="44"/>
          <w:szCs w:val="44"/>
        </w:rPr>
      </w:pPr>
    </w:p>
    <w:p w14:paraId="3A95432A">
      <w:pPr>
        <w:ind w:left="0" w:leftChars="0" w:firstLine="0" w:firstLineChars="0"/>
        <w:rPr>
          <w:rFonts w:eastAsia="仿宋"/>
          <w:color w:val="auto"/>
          <w:sz w:val="44"/>
          <w:szCs w:val="44"/>
        </w:rPr>
      </w:pPr>
    </w:p>
    <w:p w14:paraId="4D85EB64">
      <w:pPr>
        <w:pStyle w:val="10"/>
        <w:widowControl w:val="0"/>
        <w:numPr>
          <w:ilvl w:val="0"/>
          <w:numId w:val="0"/>
        </w:numPr>
        <w:spacing w:line="360" w:lineRule="auto"/>
        <w:jc w:val="both"/>
        <w:rPr>
          <w:color w:val="auto"/>
        </w:rPr>
      </w:pPr>
    </w:p>
    <w:p w14:paraId="73D084E8">
      <w:pPr>
        <w:pStyle w:val="9"/>
        <w:ind w:left="0" w:leftChars="0" w:firstLine="320" w:firstLineChars="100"/>
        <w:jc w:val="both"/>
        <w:rPr>
          <w:rFonts w:hint="default" w:ascii="仿宋" w:hAnsi="仿宋" w:eastAsia="仿宋" w:cs="仿宋"/>
          <w:color w:val="auto"/>
          <w:kern w:val="2"/>
          <w:sz w:val="32"/>
          <w:szCs w:val="32"/>
          <w:u w:val="single"/>
          <w:lang w:val="en-US" w:eastAsia="zh-CN" w:bidi="ar-SA"/>
        </w:rPr>
      </w:pPr>
      <w:r>
        <w:rPr>
          <w:rFonts w:ascii="Times New Roman" w:hAnsi="Times New Roman" w:eastAsia="仿宋" w:cstheme="minorBidi"/>
          <w:color w:val="auto"/>
          <w:kern w:val="2"/>
          <w:sz w:val="32"/>
          <w:szCs w:val="32"/>
          <w:lang w:val="en-US" w:eastAsia="zh-CN" w:bidi="ar-SA"/>
        </w:rPr>
        <w:t>项目名</w:t>
      </w:r>
      <w:r>
        <w:rPr>
          <w:rFonts w:eastAsia="仿宋"/>
          <w:color w:val="auto"/>
          <w:sz w:val="32"/>
          <w:szCs w:val="32"/>
        </w:rPr>
        <w:t>称：</w:t>
      </w:r>
      <w:r>
        <w:rPr>
          <w:rFonts w:hint="eastAsia" w:ascii="仿宋" w:hAnsi="仿宋" w:eastAsia="仿宋" w:cs="仿宋"/>
          <w:color w:val="auto"/>
          <w:sz w:val="32"/>
          <w:szCs w:val="32"/>
          <w:u w:val="single"/>
          <w:lang w:val="en-US" w:eastAsia="zh-CN"/>
        </w:rPr>
        <w:t>长荡湖体育休闲房车营地—应急疏散通道项目</w:t>
      </w:r>
      <w:r>
        <w:rPr>
          <w:rFonts w:hint="eastAsia" w:ascii="仿宋" w:hAnsi="仿宋" w:eastAsia="仿宋" w:cs="仿宋"/>
          <w:color w:val="auto"/>
          <w:kern w:val="2"/>
          <w:sz w:val="32"/>
          <w:szCs w:val="32"/>
          <w:u w:val="single"/>
          <w:lang w:val="en-US" w:eastAsia="zh-CN" w:bidi="ar-SA"/>
        </w:rPr>
        <w:t xml:space="preserve">    </w:t>
      </w:r>
      <w:r>
        <w:rPr>
          <w:rFonts w:hint="eastAsia" w:eastAsia="仿宋"/>
          <w:color w:val="auto"/>
          <w:sz w:val="32"/>
          <w:szCs w:val="32"/>
          <w:u w:val="single"/>
          <w:lang w:val="en-US" w:eastAsia="zh-CN"/>
        </w:rPr>
        <w:t xml:space="preserve"> </w:t>
      </w:r>
    </w:p>
    <w:p w14:paraId="01997575">
      <w:pPr>
        <w:pStyle w:val="9"/>
        <w:ind w:left="0" w:leftChars="0" w:firstLine="320" w:firstLineChars="100"/>
        <w:jc w:val="both"/>
        <w:rPr>
          <w:rFonts w:hint="default" w:ascii="Times New Roman" w:hAnsi="Times New Roman" w:eastAsia="仿宋" w:cstheme="minorBidi"/>
          <w:color w:val="auto"/>
          <w:kern w:val="2"/>
          <w:sz w:val="32"/>
          <w:szCs w:val="32"/>
          <w:lang w:val="en-US" w:eastAsia="zh-CN" w:bidi="ar-SA"/>
        </w:rPr>
      </w:pPr>
      <w:r>
        <w:rPr>
          <w:rFonts w:ascii="Times New Roman" w:hAnsi="Times New Roman" w:eastAsia="仿宋" w:cstheme="minorBidi"/>
          <w:color w:val="auto"/>
          <w:kern w:val="2"/>
          <w:sz w:val="32"/>
          <w:szCs w:val="32"/>
          <w:lang w:val="en-US" w:eastAsia="zh-CN" w:bidi="ar-SA"/>
        </w:rPr>
        <w:t>建设单位（盖章）：</w:t>
      </w:r>
      <w:r>
        <w:rPr>
          <w:rFonts w:hint="eastAsia" w:ascii="Times New Roman" w:hAnsi="Times New Roman" w:eastAsia="仿宋" w:cstheme="minorBidi"/>
          <w:color w:val="auto"/>
          <w:kern w:val="2"/>
          <w:sz w:val="32"/>
          <w:szCs w:val="32"/>
          <w:u w:val="single"/>
          <w:lang w:val="en-US" w:eastAsia="zh-CN" w:bidi="ar-SA"/>
        </w:rPr>
        <w:t xml:space="preserve"> </w:t>
      </w:r>
      <w:r>
        <w:rPr>
          <w:rFonts w:hint="eastAsia" w:eastAsia="仿宋" w:cstheme="minorBidi"/>
          <w:color w:val="auto"/>
          <w:kern w:val="2"/>
          <w:sz w:val="32"/>
          <w:szCs w:val="32"/>
          <w:u w:val="single"/>
          <w:lang w:val="en-US" w:eastAsia="zh-CN" w:bidi="ar-SA"/>
        </w:rPr>
        <w:t xml:space="preserve">     江苏茅山旅游控股有限公司      </w:t>
      </w:r>
    </w:p>
    <w:p w14:paraId="13AA088A">
      <w:pPr>
        <w:pStyle w:val="9"/>
        <w:ind w:left="0" w:leftChars="0" w:firstLine="320" w:firstLineChars="100"/>
        <w:jc w:val="both"/>
        <w:rPr>
          <w:rFonts w:hint="default" w:ascii="Times New Roman" w:hAnsi="Times New Roman" w:eastAsia="仿宋" w:cstheme="minorBidi"/>
          <w:color w:val="auto"/>
          <w:kern w:val="2"/>
          <w:sz w:val="32"/>
          <w:szCs w:val="32"/>
          <w:lang w:val="en-US" w:eastAsia="zh-CN" w:bidi="ar-SA"/>
        </w:rPr>
      </w:pPr>
      <w:r>
        <w:rPr>
          <w:rFonts w:ascii="Times New Roman" w:hAnsi="Times New Roman" w:eastAsia="仿宋" w:cstheme="minorBidi"/>
          <w:color w:val="auto"/>
          <w:kern w:val="2"/>
          <w:sz w:val="32"/>
          <w:szCs w:val="32"/>
          <w:lang w:val="en-US" w:eastAsia="zh-CN" w:bidi="ar-SA"/>
        </w:rPr>
        <w:t>编制日期：</w:t>
      </w:r>
      <w:r>
        <w:rPr>
          <w:rFonts w:hint="eastAsia" w:ascii="Times New Roman" w:hAnsi="Times New Roman" w:eastAsia="仿宋" w:cstheme="minorBidi"/>
          <w:color w:val="auto"/>
          <w:kern w:val="2"/>
          <w:sz w:val="32"/>
          <w:szCs w:val="32"/>
          <w:u w:val="single"/>
          <w:lang w:val="en-US" w:eastAsia="zh-CN" w:bidi="ar-SA"/>
        </w:rPr>
        <w:t xml:space="preserve">               </w:t>
      </w:r>
      <w:r>
        <w:rPr>
          <w:rFonts w:ascii="Times New Roman" w:hAnsi="Times New Roman" w:eastAsia="仿宋" w:cstheme="minorBidi"/>
          <w:color w:val="auto"/>
          <w:kern w:val="2"/>
          <w:sz w:val="32"/>
          <w:szCs w:val="32"/>
          <w:u w:val="single"/>
          <w:lang w:val="en-US" w:eastAsia="zh-CN" w:bidi="ar-SA"/>
        </w:rPr>
        <w:t>202</w:t>
      </w:r>
      <w:r>
        <w:rPr>
          <w:rFonts w:hint="eastAsia" w:eastAsia="仿宋" w:cstheme="minorBidi"/>
          <w:color w:val="auto"/>
          <w:kern w:val="2"/>
          <w:sz w:val="32"/>
          <w:szCs w:val="32"/>
          <w:u w:val="single"/>
          <w:lang w:val="en-US" w:eastAsia="zh-CN" w:bidi="ar-SA"/>
        </w:rPr>
        <w:t>4</w:t>
      </w:r>
      <w:r>
        <w:rPr>
          <w:rFonts w:ascii="Times New Roman" w:hAnsi="Times New Roman" w:eastAsia="仿宋" w:cstheme="minorBidi"/>
          <w:color w:val="auto"/>
          <w:kern w:val="2"/>
          <w:sz w:val="32"/>
          <w:szCs w:val="32"/>
          <w:u w:val="single"/>
          <w:lang w:val="en-US" w:eastAsia="zh-CN" w:bidi="ar-SA"/>
        </w:rPr>
        <w:t>年</w:t>
      </w:r>
      <w:r>
        <w:rPr>
          <w:rFonts w:hint="eastAsia" w:eastAsia="仿宋" w:cstheme="minorBidi"/>
          <w:color w:val="auto"/>
          <w:kern w:val="2"/>
          <w:sz w:val="32"/>
          <w:szCs w:val="32"/>
          <w:u w:val="single"/>
          <w:lang w:val="en-US" w:eastAsia="zh-CN" w:bidi="ar-SA"/>
        </w:rPr>
        <w:t>11</w:t>
      </w:r>
      <w:r>
        <w:rPr>
          <w:rFonts w:ascii="Times New Roman" w:hAnsi="Times New Roman" w:eastAsia="仿宋" w:cstheme="minorBidi"/>
          <w:color w:val="auto"/>
          <w:kern w:val="2"/>
          <w:sz w:val="32"/>
          <w:szCs w:val="32"/>
          <w:u w:val="single"/>
          <w:lang w:val="en-US" w:eastAsia="zh-CN" w:bidi="ar-SA"/>
        </w:rPr>
        <w:t>月</w:t>
      </w:r>
      <w:r>
        <w:rPr>
          <w:rFonts w:hint="eastAsia" w:ascii="Times New Roman" w:hAnsi="Times New Roman" w:eastAsia="仿宋" w:cstheme="minorBidi"/>
          <w:color w:val="auto"/>
          <w:kern w:val="2"/>
          <w:sz w:val="32"/>
          <w:szCs w:val="32"/>
          <w:u w:val="single"/>
          <w:lang w:val="en-US" w:eastAsia="zh-CN" w:bidi="ar-SA"/>
        </w:rPr>
        <w:t xml:space="preserve">           </w:t>
      </w:r>
      <w:r>
        <w:rPr>
          <w:rFonts w:hint="eastAsia" w:eastAsia="仿宋" w:cstheme="minorBidi"/>
          <w:color w:val="auto"/>
          <w:kern w:val="2"/>
          <w:sz w:val="32"/>
          <w:szCs w:val="32"/>
          <w:u w:val="single"/>
          <w:lang w:val="en-US" w:eastAsia="zh-CN" w:bidi="ar-SA"/>
        </w:rPr>
        <w:t xml:space="preserve">  </w:t>
      </w:r>
      <w:r>
        <w:rPr>
          <w:rFonts w:hint="eastAsia" w:ascii="Times New Roman" w:hAnsi="Times New Roman" w:eastAsia="仿宋" w:cstheme="minorBidi"/>
          <w:color w:val="auto"/>
          <w:kern w:val="2"/>
          <w:sz w:val="32"/>
          <w:szCs w:val="32"/>
          <w:u w:val="single"/>
          <w:lang w:val="en-US" w:eastAsia="zh-CN" w:bidi="ar-SA"/>
        </w:rPr>
        <w:t xml:space="preserve">   </w:t>
      </w:r>
      <w:r>
        <w:rPr>
          <w:rFonts w:hint="eastAsia" w:eastAsia="仿宋" w:cstheme="minorBidi"/>
          <w:color w:val="auto"/>
          <w:kern w:val="2"/>
          <w:sz w:val="32"/>
          <w:szCs w:val="32"/>
          <w:u w:val="single"/>
          <w:lang w:val="en-US" w:eastAsia="zh-CN" w:bidi="ar-SA"/>
        </w:rPr>
        <w:t xml:space="preserve"> </w:t>
      </w:r>
      <w:r>
        <w:rPr>
          <w:rFonts w:hint="eastAsia" w:ascii="Times New Roman" w:hAnsi="Times New Roman" w:eastAsia="仿宋" w:cstheme="minorBidi"/>
          <w:color w:val="auto"/>
          <w:kern w:val="2"/>
          <w:sz w:val="32"/>
          <w:szCs w:val="32"/>
          <w:u w:val="single"/>
          <w:lang w:val="en-US" w:eastAsia="zh-CN" w:bidi="ar-SA"/>
        </w:rPr>
        <w:t xml:space="preserve"> </w:t>
      </w:r>
    </w:p>
    <w:p w14:paraId="10E9FE07">
      <w:pPr>
        <w:adjustRightInd w:val="0"/>
        <w:snapToGrid w:val="0"/>
        <w:spacing w:line="288" w:lineRule="auto"/>
        <w:ind w:left="0" w:leftChars="0" w:firstLine="0" w:firstLineChars="0"/>
        <w:rPr>
          <w:rFonts w:eastAsia="仿宋"/>
          <w:color w:val="auto"/>
          <w:sz w:val="36"/>
          <w:szCs w:val="36"/>
        </w:rPr>
      </w:pPr>
      <w:bookmarkStart w:id="2" w:name="_Hlk57884087"/>
    </w:p>
    <w:bookmarkEnd w:id="2"/>
    <w:p w14:paraId="580452B0">
      <w:pPr>
        <w:adjustRightInd w:val="0"/>
        <w:snapToGrid w:val="0"/>
        <w:spacing w:line="288" w:lineRule="auto"/>
        <w:ind w:firstLine="1040"/>
        <w:rPr>
          <w:rFonts w:eastAsia="仿宋"/>
          <w:color w:val="auto"/>
          <w:sz w:val="36"/>
          <w:szCs w:val="36"/>
        </w:rPr>
      </w:pPr>
    </w:p>
    <w:p w14:paraId="6844D4B9">
      <w:pPr>
        <w:pStyle w:val="9"/>
        <w:rPr>
          <w:color w:val="auto"/>
        </w:rPr>
      </w:pPr>
    </w:p>
    <w:p w14:paraId="3945DC4B">
      <w:pPr>
        <w:pStyle w:val="10"/>
        <w:widowControl w:val="0"/>
        <w:numPr>
          <w:ilvl w:val="0"/>
          <w:numId w:val="0"/>
        </w:numPr>
        <w:spacing w:line="360" w:lineRule="auto"/>
        <w:jc w:val="both"/>
        <w:rPr>
          <w:color w:val="auto"/>
        </w:rPr>
      </w:pPr>
    </w:p>
    <w:p w14:paraId="47367134">
      <w:pPr>
        <w:adjustRightInd w:val="0"/>
        <w:snapToGrid w:val="0"/>
        <w:spacing w:line="288" w:lineRule="auto"/>
        <w:ind w:left="0" w:leftChars="0" w:firstLine="0" w:firstLineChars="0"/>
        <w:rPr>
          <w:rFonts w:eastAsia="仿宋"/>
          <w:color w:val="auto"/>
          <w:sz w:val="36"/>
          <w:szCs w:val="36"/>
        </w:rPr>
      </w:pPr>
    </w:p>
    <w:p w14:paraId="47B878F7">
      <w:pPr>
        <w:adjustRightInd w:val="0"/>
        <w:snapToGrid w:val="0"/>
        <w:spacing w:line="288" w:lineRule="auto"/>
        <w:ind w:left="0" w:leftChars="0" w:firstLine="0" w:firstLineChars="0"/>
        <w:jc w:val="center"/>
        <w:rPr>
          <w:rFonts w:hint="eastAsia" w:ascii="楷体" w:hAnsi="楷体" w:eastAsia="楷体" w:cs="楷体"/>
          <w:color w:val="auto"/>
          <w:sz w:val="36"/>
          <w:szCs w:val="36"/>
        </w:rPr>
      </w:pPr>
      <w:r>
        <w:rPr>
          <w:rFonts w:hint="eastAsia" w:ascii="楷体" w:hAnsi="楷体" w:eastAsia="楷体" w:cs="楷体"/>
          <w:color w:val="auto"/>
          <w:sz w:val="36"/>
          <w:szCs w:val="36"/>
        </w:rPr>
        <w:t>中华人民共和国生态环境部制</w:t>
      </w:r>
    </w:p>
    <w:p w14:paraId="2683D654">
      <w:pPr>
        <w:adjustRightInd w:val="0"/>
        <w:snapToGrid w:val="0"/>
        <w:spacing w:line="288" w:lineRule="auto"/>
        <w:ind w:firstLine="1040"/>
        <w:rPr>
          <w:rFonts w:eastAsia="仿宋"/>
          <w:color w:val="auto"/>
          <w:sz w:val="36"/>
          <w:szCs w:val="36"/>
        </w:rPr>
      </w:pPr>
    </w:p>
    <w:p w14:paraId="69409842">
      <w:pPr>
        <w:pStyle w:val="9"/>
        <w:rPr>
          <w:rFonts w:hint="eastAsia" w:eastAsia="仿宋"/>
          <w:color w:val="auto"/>
          <w:sz w:val="36"/>
          <w:szCs w:val="36"/>
          <w:lang w:eastAsia="zh-CN"/>
        </w:rPr>
      </w:pPr>
      <w:r>
        <w:rPr>
          <w:rFonts w:hint="eastAsia" w:eastAsia="仿宋"/>
          <w:color w:val="auto"/>
          <w:sz w:val="36"/>
          <w:szCs w:val="36"/>
          <w:lang w:eastAsia="zh-CN"/>
        </w:rPr>
        <w:drawing>
          <wp:inline distT="0" distB="0" distL="114300" distR="114300">
            <wp:extent cx="5606415" cy="8489315"/>
            <wp:effectExtent l="0" t="0" r="1905" b="14605"/>
            <wp:docPr id="2" name="图片 2" descr="图片文档 250217 14593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文档 250217 145934_00"/>
                    <pic:cNvPicPr>
                      <a:picLocks noChangeAspect="1"/>
                    </pic:cNvPicPr>
                  </pic:nvPicPr>
                  <pic:blipFill>
                    <a:blip r:embed="rId13"/>
                    <a:stretch>
                      <a:fillRect/>
                    </a:stretch>
                  </pic:blipFill>
                  <pic:spPr>
                    <a:xfrm>
                      <a:off x="0" y="0"/>
                      <a:ext cx="5606415" cy="8489315"/>
                    </a:xfrm>
                    <a:prstGeom prst="rect">
                      <a:avLst/>
                    </a:prstGeom>
                  </pic:spPr>
                </pic:pic>
              </a:graphicData>
            </a:graphic>
          </wp:inline>
        </w:drawing>
      </w:r>
    </w:p>
    <w:p w14:paraId="718982A5">
      <w:pPr>
        <w:pStyle w:val="10"/>
        <w:rPr>
          <w:color w:val="auto"/>
        </w:rPr>
        <w:sectPr>
          <w:footerReference r:id="rId5" w:type="default"/>
          <w:footerReference r:id="rId6"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sdt>
      <w:sdtPr>
        <w:rPr>
          <w:rFonts w:ascii="Times New Roman" w:hAnsi="Times New Roman" w:eastAsia="仿宋" w:cs="Times New Roman"/>
          <w:b/>
          <w:color w:val="auto"/>
          <w:kern w:val="0"/>
          <w:sz w:val="32"/>
          <w:szCs w:val="32"/>
          <w:highlight w:val="none"/>
          <w:lang w:val="en-US" w:eastAsia="zh-CN"/>
        </w:rPr>
        <w:id w:val="147455188"/>
        <w15:color w:val="DBDBDB"/>
        <w:docPartObj>
          <w:docPartGallery w:val="Table of Contents"/>
          <w:docPartUnique/>
        </w:docPartObj>
      </w:sdtPr>
      <w:sdtEndPr>
        <w:rPr>
          <w:rFonts w:ascii="Times New Roman" w:hAnsi="Times New Roman" w:eastAsia="仿宋" w:cs="Times New Roman"/>
          <w:b/>
          <w:color w:val="auto"/>
          <w:kern w:val="0"/>
          <w:sz w:val="32"/>
          <w:szCs w:val="32"/>
          <w:highlight w:val="none"/>
          <w:lang w:val="en-US" w:eastAsia="zh-CN"/>
        </w:rPr>
      </w:sdtEndPr>
      <w:sdtContent>
        <w:p w14:paraId="47208C87">
          <w:pPr>
            <w:adjustRightInd w:val="0"/>
            <w:snapToGrid w:val="0"/>
            <w:spacing w:line="240" w:lineRule="auto"/>
            <w:ind w:firstLine="0" w:firstLineChars="0"/>
            <w:jc w:val="center"/>
            <w:rPr>
              <w:rFonts w:ascii="Times New Roman" w:hAnsi="Times New Roman" w:eastAsia="仿宋" w:cs="Times New Roman"/>
              <w:b/>
              <w:color w:val="auto"/>
              <w:kern w:val="0"/>
              <w:sz w:val="32"/>
              <w:szCs w:val="32"/>
              <w:highlight w:val="none"/>
            </w:rPr>
          </w:pPr>
          <w:r>
            <w:rPr>
              <w:rFonts w:ascii="Times New Roman" w:hAnsi="Times New Roman" w:eastAsia="仿宋" w:cs="Times New Roman"/>
              <w:b/>
              <w:color w:val="auto"/>
              <w:kern w:val="0"/>
              <w:sz w:val="32"/>
              <w:szCs w:val="32"/>
              <w:highlight w:val="none"/>
            </w:rPr>
            <w:t>目</w:t>
          </w:r>
          <w:r>
            <w:rPr>
              <w:rFonts w:hint="eastAsia" w:ascii="Times New Roman" w:hAnsi="Times New Roman" w:eastAsia="仿宋" w:cs="Times New Roman"/>
              <w:b/>
              <w:color w:val="auto"/>
              <w:kern w:val="0"/>
              <w:sz w:val="32"/>
              <w:szCs w:val="32"/>
              <w:highlight w:val="none"/>
              <w:lang w:val="en-US" w:eastAsia="zh-CN"/>
            </w:rPr>
            <w:t xml:space="preserve">  </w:t>
          </w:r>
          <w:r>
            <w:rPr>
              <w:rFonts w:ascii="Times New Roman" w:hAnsi="Times New Roman" w:eastAsia="仿宋" w:cs="Times New Roman"/>
              <w:b/>
              <w:color w:val="auto"/>
              <w:kern w:val="0"/>
              <w:sz w:val="32"/>
              <w:szCs w:val="32"/>
              <w:highlight w:val="none"/>
            </w:rPr>
            <w:t>录</w:t>
          </w:r>
        </w:p>
        <w:p w14:paraId="5BF7B33B">
          <w:pPr>
            <w:pStyle w:val="17"/>
            <w:tabs>
              <w:tab w:val="right" w:leader="dot" w:pos="8306"/>
            </w:tabs>
            <w:rPr>
              <w:rFonts w:hint="default" w:ascii="Times New Roman" w:hAnsi="Times New Roman" w:eastAsia="仿宋" w:cs="Times New Roman"/>
              <w:color w:val="auto"/>
            </w:rPr>
          </w:pPr>
          <w:r>
            <w:rPr>
              <w:color w:val="auto"/>
              <w:sz w:val="24"/>
              <w:szCs w:val="24"/>
              <w:highlight w:val="none"/>
            </w:rPr>
            <w:fldChar w:fldCharType="begin"/>
          </w:r>
          <w:r>
            <w:rPr>
              <w:color w:val="auto"/>
              <w:sz w:val="24"/>
              <w:szCs w:val="24"/>
              <w:highlight w:val="none"/>
            </w:rPr>
            <w:instrText xml:space="preserve">TOC \o "1-3" \h \u </w:instrText>
          </w:r>
          <w:r>
            <w:rPr>
              <w:color w:val="auto"/>
              <w:sz w:val="24"/>
              <w:szCs w:val="24"/>
              <w:highlight w:val="none"/>
            </w:rPr>
            <w:fldChar w:fldCharType="separate"/>
          </w:r>
          <w:r>
            <w:rPr>
              <w:rFonts w:hint="default" w:ascii="Times New Roman" w:hAnsi="Times New Roman" w:eastAsia="仿宋" w:cs="Times New Roman"/>
              <w:color w:val="auto"/>
              <w:szCs w:val="24"/>
              <w:highlight w:val="none"/>
            </w:rPr>
            <w:fldChar w:fldCharType="begin"/>
          </w:r>
          <w:r>
            <w:rPr>
              <w:rFonts w:hint="default" w:ascii="Times New Roman" w:hAnsi="Times New Roman" w:eastAsia="仿宋" w:cs="Times New Roman"/>
              <w:color w:val="auto"/>
              <w:szCs w:val="24"/>
              <w:highlight w:val="none"/>
            </w:rPr>
            <w:instrText xml:space="preserve"> HYPERLINK \l _Toc1752 </w:instrText>
          </w:r>
          <w:r>
            <w:rPr>
              <w:rFonts w:hint="default" w:ascii="Times New Roman" w:hAnsi="Times New Roman" w:eastAsia="仿宋" w:cs="Times New Roman"/>
              <w:color w:val="auto"/>
              <w:szCs w:val="24"/>
              <w:highlight w:val="none"/>
            </w:rPr>
            <w:fldChar w:fldCharType="separate"/>
          </w:r>
          <w:r>
            <w:rPr>
              <w:rFonts w:hint="default" w:ascii="Times New Roman" w:hAnsi="Times New Roman" w:eastAsia="仿宋" w:cs="Times New Roman"/>
              <w:snapToGrid w:val="0"/>
              <w:color w:val="auto"/>
              <w:szCs w:val="30"/>
              <w:highlight w:val="none"/>
            </w:rPr>
            <w:t>一、建设项目基本情况</w:t>
          </w:r>
          <w:r>
            <w:rPr>
              <w:rFonts w:hint="default" w:ascii="Times New Roman" w:hAnsi="Times New Roman" w:eastAsia="仿宋" w:cs="Times New Roman"/>
              <w:color w:val="auto"/>
            </w:rPr>
            <w:tab/>
          </w:r>
          <w:r>
            <w:rPr>
              <w:rFonts w:hint="default" w:ascii="Times New Roman" w:hAnsi="Times New Roman" w:eastAsia="仿宋" w:cs="Times New Roman"/>
              <w:color w:val="auto"/>
            </w:rPr>
            <w:fldChar w:fldCharType="begin"/>
          </w:r>
          <w:r>
            <w:rPr>
              <w:rFonts w:hint="default" w:ascii="Times New Roman" w:hAnsi="Times New Roman" w:eastAsia="仿宋" w:cs="Times New Roman"/>
              <w:color w:val="auto"/>
            </w:rPr>
            <w:instrText xml:space="preserve"> PAGEREF _Toc1752 \h </w:instrText>
          </w:r>
          <w:r>
            <w:rPr>
              <w:rFonts w:hint="default" w:ascii="Times New Roman" w:hAnsi="Times New Roman" w:eastAsia="仿宋" w:cs="Times New Roman"/>
              <w:color w:val="auto"/>
            </w:rPr>
            <w:fldChar w:fldCharType="separate"/>
          </w:r>
          <w:r>
            <w:rPr>
              <w:rFonts w:hint="default" w:ascii="Times New Roman" w:hAnsi="Times New Roman" w:eastAsia="仿宋" w:cs="Times New Roman"/>
              <w:color w:val="auto"/>
            </w:rPr>
            <w:t>2</w:t>
          </w:r>
          <w:r>
            <w:rPr>
              <w:rFonts w:hint="default" w:ascii="Times New Roman" w:hAnsi="Times New Roman" w:eastAsia="仿宋" w:cs="Times New Roman"/>
              <w:color w:val="auto"/>
            </w:rPr>
            <w:fldChar w:fldCharType="end"/>
          </w:r>
          <w:r>
            <w:rPr>
              <w:rFonts w:hint="default" w:ascii="Times New Roman" w:hAnsi="Times New Roman" w:eastAsia="仿宋" w:cs="Times New Roman"/>
              <w:color w:val="auto"/>
              <w:szCs w:val="24"/>
              <w:highlight w:val="none"/>
            </w:rPr>
            <w:fldChar w:fldCharType="end"/>
          </w:r>
        </w:p>
        <w:p w14:paraId="09DF4E10">
          <w:pPr>
            <w:pStyle w:val="17"/>
            <w:tabs>
              <w:tab w:val="right" w:leader="dot" w:pos="8306"/>
            </w:tabs>
            <w:rPr>
              <w:rFonts w:hint="default" w:ascii="Times New Roman" w:hAnsi="Times New Roman" w:eastAsia="仿宋" w:cs="Times New Roman"/>
              <w:color w:val="auto"/>
            </w:rPr>
          </w:pPr>
          <w:r>
            <w:rPr>
              <w:rFonts w:hint="default" w:ascii="Times New Roman" w:hAnsi="Times New Roman" w:eastAsia="仿宋" w:cs="Times New Roman"/>
              <w:color w:val="auto"/>
              <w:szCs w:val="24"/>
              <w:highlight w:val="none"/>
            </w:rPr>
            <w:fldChar w:fldCharType="begin"/>
          </w:r>
          <w:r>
            <w:rPr>
              <w:rFonts w:hint="default" w:ascii="Times New Roman" w:hAnsi="Times New Roman" w:eastAsia="仿宋" w:cs="Times New Roman"/>
              <w:color w:val="auto"/>
              <w:szCs w:val="24"/>
              <w:highlight w:val="none"/>
            </w:rPr>
            <w:instrText xml:space="preserve"> HYPERLINK \l _Toc5849 </w:instrText>
          </w:r>
          <w:r>
            <w:rPr>
              <w:rFonts w:hint="default" w:ascii="Times New Roman" w:hAnsi="Times New Roman" w:eastAsia="仿宋" w:cs="Times New Roman"/>
              <w:color w:val="auto"/>
              <w:szCs w:val="24"/>
              <w:highlight w:val="none"/>
            </w:rPr>
            <w:fldChar w:fldCharType="separate"/>
          </w:r>
          <w:r>
            <w:rPr>
              <w:rFonts w:hint="default" w:ascii="Times New Roman" w:hAnsi="Times New Roman" w:eastAsia="仿宋" w:cs="Times New Roman"/>
              <w:snapToGrid w:val="0"/>
              <w:color w:val="auto"/>
              <w:szCs w:val="30"/>
              <w:highlight w:val="none"/>
              <w:lang w:val="en-US" w:eastAsia="zh-CN"/>
            </w:rPr>
            <w:t>二</w:t>
          </w:r>
          <w:r>
            <w:rPr>
              <w:rFonts w:hint="default" w:ascii="Times New Roman" w:hAnsi="Times New Roman" w:eastAsia="仿宋" w:cs="Times New Roman"/>
              <w:snapToGrid w:val="0"/>
              <w:color w:val="auto"/>
              <w:szCs w:val="30"/>
              <w:highlight w:val="none"/>
            </w:rPr>
            <w:t>、建设</w:t>
          </w:r>
          <w:r>
            <w:rPr>
              <w:rFonts w:hint="default" w:ascii="Times New Roman" w:hAnsi="Times New Roman" w:eastAsia="仿宋" w:cs="Times New Roman"/>
              <w:snapToGrid w:val="0"/>
              <w:color w:val="auto"/>
              <w:szCs w:val="30"/>
              <w:highlight w:val="none"/>
              <w:lang w:val="en-US" w:eastAsia="zh-CN"/>
            </w:rPr>
            <w:t>内容</w:t>
          </w:r>
          <w:r>
            <w:rPr>
              <w:rFonts w:hint="default" w:ascii="Times New Roman" w:hAnsi="Times New Roman" w:eastAsia="仿宋" w:cs="Times New Roman"/>
              <w:color w:val="auto"/>
            </w:rPr>
            <w:tab/>
          </w:r>
          <w:r>
            <w:rPr>
              <w:rFonts w:hint="default" w:ascii="Times New Roman" w:hAnsi="Times New Roman" w:eastAsia="仿宋" w:cs="Times New Roman"/>
              <w:color w:val="auto"/>
            </w:rPr>
            <w:fldChar w:fldCharType="begin"/>
          </w:r>
          <w:r>
            <w:rPr>
              <w:rFonts w:hint="default" w:ascii="Times New Roman" w:hAnsi="Times New Roman" w:eastAsia="仿宋" w:cs="Times New Roman"/>
              <w:color w:val="auto"/>
            </w:rPr>
            <w:instrText xml:space="preserve"> PAGEREF _Toc5849 \h </w:instrText>
          </w:r>
          <w:r>
            <w:rPr>
              <w:rFonts w:hint="default" w:ascii="Times New Roman" w:hAnsi="Times New Roman" w:eastAsia="仿宋" w:cs="Times New Roman"/>
              <w:color w:val="auto"/>
            </w:rPr>
            <w:fldChar w:fldCharType="separate"/>
          </w:r>
          <w:r>
            <w:rPr>
              <w:rFonts w:hint="default" w:ascii="Times New Roman" w:hAnsi="Times New Roman" w:eastAsia="仿宋" w:cs="Times New Roman"/>
              <w:color w:val="auto"/>
            </w:rPr>
            <w:t>19</w:t>
          </w:r>
          <w:r>
            <w:rPr>
              <w:rFonts w:hint="default" w:ascii="Times New Roman" w:hAnsi="Times New Roman" w:eastAsia="仿宋" w:cs="Times New Roman"/>
              <w:color w:val="auto"/>
            </w:rPr>
            <w:fldChar w:fldCharType="end"/>
          </w:r>
          <w:r>
            <w:rPr>
              <w:rFonts w:hint="default" w:ascii="Times New Roman" w:hAnsi="Times New Roman" w:eastAsia="仿宋" w:cs="Times New Roman"/>
              <w:color w:val="auto"/>
              <w:szCs w:val="24"/>
              <w:highlight w:val="none"/>
            </w:rPr>
            <w:fldChar w:fldCharType="end"/>
          </w:r>
        </w:p>
        <w:p w14:paraId="54CF67DE">
          <w:pPr>
            <w:pStyle w:val="17"/>
            <w:tabs>
              <w:tab w:val="right" w:leader="dot" w:pos="8306"/>
            </w:tabs>
            <w:rPr>
              <w:rFonts w:hint="default" w:ascii="Times New Roman" w:hAnsi="Times New Roman" w:eastAsia="仿宋" w:cs="Times New Roman"/>
              <w:color w:val="auto"/>
            </w:rPr>
          </w:pPr>
          <w:r>
            <w:rPr>
              <w:rFonts w:hint="default" w:ascii="Times New Roman" w:hAnsi="Times New Roman" w:eastAsia="仿宋" w:cs="Times New Roman"/>
              <w:color w:val="auto"/>
              <w:szCs w:val="24"/>
              <w:highlight w:val="none"/>
            </w:rPr>
            <w:fldChar w:fldCharType="begin"/>
          </w:r>
          <w:r>
            <w:rPr>
              <w:rFonts w:hint="default" w:ascii="Times New Roman" w:hAnsi="Times New Roman" w:eastAsia="仿宋" w:cs="Times New Roman"/>
              <w:color w:val="auto"/>
              <w:szCs w:val="24"/>
              <w:highlight w:val="none"/>
            </w:rPr>
            <w:instrText xml:space="preserve"> HYPERLINK \l _Toc13191 </w:instrText>
          </w:r>
          <w:r>
            <w:rPr>
              <w:rFonts w:hint="default" w:ascii="Times New Roman" w:hAnsi="Times New Roman" w:eastAsia="仿宋" w:cs="Times New Roman"/>
              <w:color w:val="auto"/>
              <w:szCs w:val="24"/>
              <w:highlight w:val="none"/>
            </w:rPr>
            <w:fldChar w:fldCharType="separate"/>
          </w:r>
          <w:r>
            <w:rPr>
              <w:rFonts w:hint="default" w:ascii="Times New Roman" w:hAnsi="Times New Roman" w:eastAsia="仿宋" w:cs="Times New Roman"/>
              <w:snapToGrid w:val="0"/>
              <w:color w:val="auto"/>
              <w:szCs w:val="30"/>
              <w:highlight w:val="none"/>
              <w:lang w:val="en-US" w:eastAsia="zh-CN"/>
            </w:rPr>
            <w:t>三</w:t>
          </w:r>
          <w:r>
            <w:rPr>
              <w:rFonts w:hint="default" w:ascii="Times New Roman" w:hAnsi="Times New Roman" w:eastAsia="仿宋" w:cs="Times New Roman"/>
              <w:snapToGrid w:val="0"/>
              <w:color w:val="auto"/>
              <w:szCs w:val="30"/>
              <w:highlight w:val="none"/>
            </w:rPr>
            <w:t>、</w:t>
          </w:r>
          <w:r>
            <w:rPr>
              <w:rFonts w:hint="default" w:ascii="Times New Roman" w:hAnsi="Times New Roman" w:eastAsia="仿宋" w:cs="Times New Roman"/>
              <w:snapToGrid w:val="0"/>
              <w:color w:val="auto"/>
              <w:szCs w:val="30"/>
              <w:highlight w:val="none"/>
              <w:lang w:val="en-US" w:eastAsia="zh-CN"/>
            </w:rPr>
            <w:t>生态环境现状、保护目标及评价标准</w:t>
          </w:r>
          <w:r>
            <w:rPr>
              <w:rFonts w:hint="default" w:ascii="Times New Roman" w:hAnsi="Times New Roman" w:eastAsia="仿宋" w:cs="Times New Roman"/>
              <w:color w:val="auto"/>
            </w:rPr>
            <w:tab/>
          </w:r>
          <w:r>
            <w:rPr>
              <w:rFonts w:hint="default" w:ascii="Times New Roman" w:hAnsi="Times New Roman" w:eastAsia="仿宋" w:cs="Times New Roman"/>
              <w:color w:val="auto"/>
            </w:rPr>
            <w:fldChar w:fldCharType="begin"/>
          </w:r>
          <w:r>
            <w:rPr>
              <w:rFonts w:hint="default" w:ascii="Times New Roman" w:hAnsi="Times New Roman" w:eastAsia="仿宋" w:cs="Times New Roman"/>
              <w:color w:val="auto"/>
            </w:rPr>
            <w:instrText xml:space="preserve"> PAGEREF _Toc13191 \h </w:instrText>
          </w:r>
          <w:r>
            <w:rPr>
              <w:rFonts w:hint="default" w:ascii="Times New Roman" w:hAnsi="Times New Roman" w:eastAsia="仿宋" w:cs="Times New Roman"/>
              <w:color w:val="auto"/>
            </w:rPr>
            <w:fldChar w:fldCharType="separate"/>
          </w:r>
          <w:r>
            <w:rPr>
              <w:rFonts w:hint="default" w:ascii="Times New Roman" w:hAnsi="Times New Roman" w:eastAsia="仿宋" w:cs="Times New Roman"/>
              <w:color w:val="auto"/>
            </w:rPr>
            <w:t>34</w:t>
          </w:r>
          <w:r>
            <w:rPr>
              <w:rFonts w:hint="default" w:ascii="Times New Roman" w:hAnsi="Times New Roman" w:eastAsia="仿宋" w:cs="Times New Roman"/>
              <w:color w:val="auto"/>
            </w:rPr>
            <w:fldChar w:fldCharType="end"/>
          </w:r>
          <w:r>
            <w:rPr>
              <w:rFonts w:hint="default" w:ascii="Times New Roman" w:hAnsi="Times New Roman" w:eastAsia="仿宋" w:cs="Times New Roman"/>
              <w:color w:val="auto"/>
              <w:szCs w:val="24"/>
              <w:highlight w:val="none"/>
            </w:rPr>
            <w:fldChar w:fldCharType="end"/>
          </w:r>
        </w:p>
        <w:p w14:paraId="66CFA5FC">
          <w:pPr>
            <w:pStyle w:val="17"/>
            <w:tabs>
              <w:tab w:val="right" w:leader="dot" w:pos="8306"/>
            </w:tabs>
            <w:rPr>
              <w:rFonts w:hint="default" w:ascii="Times New Roman" w:hAnsi="Times New Roman" w:eastAsia="仿宋" w:cs="Times New Roman"/>
              <w:color w:val="auto"/>
            </w:rPr>
          </w:pPr>
          <w:r>
            <w:rPr>
              <w:rFonts w:hint="default" w:ascii="Times New Roman" w:hAnsi="Times New Roman" w:eastAsia="仿宋" w:cs="Times New Roman"/>
              <w:color w:val="auto"/>
              <w:szCs w:val="24"/>
              <w:highlight w:val="none"/>
            </w:rPr>
            <w:fldChar w:fldCharType="begin"/>
          </w:r>
          <w:r>
            <w:rPr>
              <w:rFonts w:hint="default" w:ascii="Times New Roman" w:hAnsi="Times New Roman" w:eastAsia="仿宋" w:cs="Times New Roman"/>
              <w:color w:val="auto"/>
              <w:szCs w:val="24"/>
              <w:highlight w:val="none"/>
            </w:rPr>
            <w:instrText xml:space="preserve"> HYPERLINK \l _Toc12916 </w:instrText>
          </w:r>
          <w:r>
            <w:rPr>
              <w:rFonts w:hint="default" w:ascii="Times New Roman" w:hAnsi="Times New Roman" w:eastAsia="仿宋" w:cs="Times New Roman"/>
              <w:color w:val="auto"/>
              <w:szCs w:val="24"/>
              <w:highlight w:val="none"/>
            </w:rPr>
            <w:fldChar w:fldCharType="separate"/>
          </w:r>
          <w:r>
            <w:rPr>
              <w:rFonts w:hint="default" w:ascii="Times New Roman" w:hAnsi="Times New Roman" w:eastAsia="仿宋" w:cs="Times New Roman"/>
              <w:snapToGrid w:val="0"/>
              <w:color w:val="auto"/>
              <w:szCs w:val="30"/>
              <w:highlight w:val="none"/>
              <w:lang w:val="en-US" w:eastAsia="zh-CN"/>
            </w:rPr>
            <w:t>四、生态环境影响分析</w:t>
          </w:r>
          <w:r>
            <w:rPr>
              <w:rFonts w:hint="default" w:ascii="Times New Roman" w:hAnsi="Times New Roman" w:eastAsia="仿宋" w:cs="Times New Roman"/>
              <w:color w:val="auto"/>
            </w:rPr>
            <w:tab/>
          </w:r>
          <w:r>
            <w:rPr>
              <w:rFonts w:hint="default" w:ascii="Times New Roman" w:hAnsi="Times New Roman" w:eastAsia="仿宋" w:cs="Times New Roman"/>
              <w:color w:val="auto"/>
            </w:rPr>
            <w:fldChar w:fldCharType="begin"/>
          </w:r>
          <w:r>
            <w:rPr>
              <w:rFonts w:hint="default" w:ascii="Times New Roman" w:hAnsi="Times New Roman" w:eastAsia="仿宋" w:cs="Times New Roman"/>
              <w:color w:val="auto"/>
            </w:rPr>
            <w:instrText xml:space="preserve"> PAGEREF _Toc12916 \h </w:instrText>
          </w:r>
          <w:r>
            <w:rPr>
              <w:rFonts w:hint="default" w:ascii="Times New Roman" w:hAnsi="Times New Roman" w:eastAsia="仿宋" w:cs="Times New Roman"/>
              <w:color w:val="auto"/>
            </w:rPr>
            <w:fldChar w:fldCharType="separate"/>
          </w:r>
          <w:r>
            <w:rPr>
              <w:rFonts w:hint="default" w:ascii="Times New Roman" w:hAnsi="Times New Roman" w:eastAsia="仿宋" w:cs="Times New Roman"/>
              <w:color w:val="auto"/>
            </w:rPr>
            <w:t>62</w:t>
          </w:r>
          <w:r>
            <w:rPr>
              <w:rFonts w:hint="default" w:ascii="Times New Roman" w:hAnsi="Times New Roman" w:eastAsia="仿宋" w:cs="Times New Roman"/>
              <w:color w:val="auto"/>
            </w:rPr>
            <w:fldChar w:fldCharType="end"/>
          </w:r>
          <w:r>
            <w:rPr>
              <w:rFonts w:hint="default" w:ascii="Times New Roman" w:hAnsi="Times New Roman" w:eastAsia="仿宋" w:cs="Times New Roman"/>
              <w:color w:val="auto"/>
              <w:szCs w:val="24"/>
              <w:highlight w:val="none"/>
            </w:rPr>
            <w:fldChar w:fldCharType="end"/>
          </w:r>
        </w:p>
        <w:p w14:paraId="4AC75E51">
          <w:pPr>
            <w:pStyle w:val="17"/>
            <w:tabs>
              <w:tab w:val="right" w:leader="dot" w:pos="8306"/>
            </w:tabs>
            <w:rPr>
              <w:rFonts w:hint="default" w:ascii="Times New Roman" w:hAnsi="Times New Roman" w:eastAsia="仿宋" w:cs="Times New Roman"/>
              <w:color w:val="auto"/>
            </w:rPr>
          </w:pPr>
          <w:r>
            <w:rPr>
              <w:rFonts w:hint="default" w:ascii="Times New Roman" w:hAnsi="Times New Roman" w:eastAsia="仿宋" w:cs="Times New Roman"/>
              <w:color w:val="auto"/>
              <w:szCs w:val="24"/>
              <w:highlight w:val="none"/>
            </w:rPr>
            <w:fldChar w:fldCharType="begin"/>
          </w:r>
          <w:r>
            <w:rPr>
              <w:rFonts w:hint="default" w:ascii="Times New Roman" w:hAnsi="Times New Roman" w:eastAsia="仿宋" w:cs="Times New Roman"/>
              <w:color w:val="auto"/>
              <w:szCs w:val="24"/>
              <w:highlight w:val="none"/>
            </w:rPr>
            <w:instrText xml:space="preserve"> HYPERLINK \l _Toc24024 </w:instrText>
          </w:r>
          <w:r>
            <w:rPr>
              <w:rFonts w:hint="default" w:ascii="Times New Roman" w:hAnsi="Times New Roman" w:eastAsia="仿宋" w:cs="Times New Roman"/>
              <w:color w:val="auto"/>
              <w:szCs w:val="24"/>
              <w:highlight w:val="none"/>
            </w:rPr>
            <w:fldChar w:fldCharType="separate"/>
          </w:r>
          <w:r>
            <w:rPr>
              <w:rFonts w:hint="default" w:ascii="Times New Roman" w:hAnsi="Times New Roman" w:eastAsia="仿宋" w:cs="Times New Roman"/>
              <w:snapToGrid w:val="0"/>
              <w:color w:val="auto"/>
              <w:szCs w:val="30"/>
              <w:highlight w:val="none"/>
              <w:lang w:val="en-US" w:eastAsia="zh-CN"/>
            </w:rPr>
            <w:t>五、主要生态环境保护措施</w:t>
          </w:r>
          <w:r>
            <w:rPr>
              <w:rFonts w:hint="default" w:ascii="Times New Roman" w:hAnsi="Times New Roman" w:eastAsia="仿宋" w:cs="Times New Roman"/>
              <w:color w:val="auto"/>
            </w:rPr>
            <w:tab/>
          </w:r>
          <w:r>
            <w:rPr>
              <w:rFonts w:hint="default" w:ascii="Times New Roman" w:hAnsi="Times New Roman" w:eastAsia="仿宋" w:cs="Times New Roman"/>
              <w:color w:val="auto"/>
            </w:rPr>
            <w:fldChar w:fldCharType="begin"/>
          </w:r>
          <w:r>
            <w:rPr>
              <w:rFonts w:hint="default" w:ascii="Times New Roman" w:hAnsi="Times New Roman" w:eastAsia="仿宋" w:cs="Times New Roman"/>
              <w:color w:val="auto"/>
            </w:rPr>
            <w:instrText xml:space="preserve"> PAGEREF _Toc24024 \h </w:instrText>
          </w:r>
          <w:r>
            <w:rPr>
              <w:rFonts w:hint="default" w:ascii="Times New Roman" w:hAnsi="Times New Roman" w:eastAsia="仿宋" w:cs="Times New Roman"/>
              <w:color w:val="auto"/>
            </w:rPr>
            <w:fldChar w:fldCharType="separate"/>
          </w:r>
          <w:r>
            <w:rPr>
              <w:rFonts w:hint="default" w:ascii="Times New Roman" w:hAnsi="Times New Roman" w:eastAsia="仿宋" w:cs="Times New Roman"/>
              <w:color w:val="auto"/>
            </w:rPr>
            <w:t>79</w:t>
          </w:r>
          <w:r>
            <w:rPr>
              <w:rFonts w:hint="default" w:ascii="Times New Roman" w:hAnsi="Times New Roman" w:eastAsia="仿宋" w:cs="Times New Roman"/>
              <w:color w:val="auto"/>
            </w:rPr>
            <w:fldChar w:fldCharType="end"/>
          </w:r>
          <w:r>
            <w:rPr>
              <w:rFonts w:hint="default" w:ascii="Times New Roman" w:hAnsi="Times New Roman" w:eastAsia="仿宋" w:cs="Times New Roman"/>
              <w:color w:val="auto"/>
              <w:szCs w:val="24"/>
              <w:highlight w:val="none"/>
            </w:rPr>
            <w:fldChar w:fldCharType="end"/>
          </w:r>
        </w:p>
        <w:p w14:paraId="49DF629D">
          <w:pPr>
            <w:pStyle w:val="17"/>
            <w:tabs>
              <w:tab w:val="right" w:leader="dot" w:pos="8306"/>
            </w:tabs>
            <w:rPr>
              <w:rFonts w:hint="default" w:ascii="Times New Roman" w:hAnsi="Times New Roman" w:eastAsia="仿宋" w:cs="Times New Roman"/>
              <w:color w:val="auto"/>
            </w:rPr>
          </w:pPr>
          <w:r>
            <w:rPr>
              <w:rFonts w:hint="default" w:ascii="Times New Roman" w:hAnsi="Times New Roman" w:eastAsia="仿宋" w:cs="Times New Roman"/>
              <w:color w:val="auto"/>
              <w:szCs w:val="24"/>
              <w:highlight w:val="none"/>
            </w:rPr>
            <w:fldChar w:fldCharType="begin"/>
          </w:r>
          <w:r>
            <w:rPr>
              <w:rFonts w:hint="default" w:ascii="Times New Roman" w:hAnsi="Times New Roman" w:eastAsia="仿宋" w:cs="Times New Roman"/>
              <w:color w:val="auto"/>
              <w:szCs w:val="24"/>
              <w:highlight w:val="none"/>
            </w:rPr>
            <w:instrText xml:space="preserve"> HYPERLINK \l _Toc13391 </w:instrText>
          </w:r>
          <w:r>
            <w:rPr>
              <w:rFonts w:hint="default" w:ascii="Times New Roman" w:hAnsi="Times New Roman" w:eastAsia="仿宋" w:cs="Times New Roman"/>
              <w:color w:val="auto"/>
              <w:szCs w:val="24"/>
              <w:highlight w:val="none"/>
            </w:rPr>
            <w:fldChar w:fldCharType="separate"/>
          </w:r>
          <w:r>
            <w:rPr>
              <w:rFonts w:hint="default" w:ascii="Times New Roman" w:hAnsi="Times New Roman" w:eastAsia="仿宋" w:cs="Times New Roman"/>
              <w:snapToGrid w:val="0"/>
              <w:color w:val="auto"/>
              <w:szCs w:val="30"/>
              <w:highlight w:val="none"/>
              <w:lang w:val="en-US" w:eastAsia="zh-CN"/>
            </w:rPr>
            <w:t>六、生态环境保护措施监督检查清单</w:t>
          </w:r>
          <w:r>
            <w:rPr>
              <w:rFonts w:hint="default" w:ascii="Times New Roman" w:hAnsi="Times New Roman" w:eastAsia="仿宋" w:cs="Times New Roman"/>
              <w:color w:val="auto"/>
            </w:rPr>
            <w:tab/>
          </w:r>
          <w:r>
            <w:rPr>
              <w:rFonts w:hint="default" w:ascii="Times New Roman" w:hAnsi="Times New Roman" w:eastAsia="仿宋" w:cs="Times New Roman"/>
              <w:color w:val="auto"/>
            </w:rPr>
            <w:fldChar w:fldCharType="begin"/>
          </w:r>
          <w:r>
            <w:rPr>
              <w:rFonts w:hint="default" w:ascii="Times New Roman" w:hAnsi="Times New Roman" w:eastAsia="仿宋" w:cs="Times New Roman"/>
              <w:color w:val="auto"/>
            </w:rPr>
            <w:instrText xml:space="preserve"> PAGEREF _Toc13391 \h </w:instrText>
          </w:r>
          <w:r>
            <w:rPr>
              <w:rFonts w:hint="default" w:ascii="Times New Roman" w:hAnsi="Times New Roman" w:eastAsia="仿宋" w:cs="Times New Roman"/>
              <w:color w:val="auto"/>
            </w:rPr>
            <w:fldChar w:fldCharType="separate"/>
          </w:r>
          <w:r>
            <w:rPr>
              <w:rFonts w:hint="default" w:ascii="Times New Roman" w:hAnsi="Times New Roman" w:eastAsia="仿宋" w:cs="Times New Roman"/>
              <w:color w:val="auto"/>
            </w:rPr>
            <w:t>90</w:t>
          </w:r>
          <w:r>
            <w:rPr>
              <w:rFonts w:hint="default" w:ascii="Times New Roman" w:hAnsi="Times New Roman" w:eastAsia="仿宋" w:cs="Times New Roman"/>
              <w:color w:val="auto"/>
            </w:rPr>
            <w:fldChar w:fldCharType="end"/>
          </w:r>
          <w:r>
            <w:rPr>
              <w:rFonts w:hint="default" w:ascii="Times New Roman" w:hAnsi="Times New Roman" w:eastAsia="仿宋" w:cs="Times New Roman"/>
              <w:color w:val="auto"/>
              <w:szCs w:val="24"/>
              <w:highlight w:val="none"/>
            </w:rPr>
            <w:fldChar w:fldCharType="end"/>
          </w:r>
        </w:p>
        <w:p w14:paraId="6BE573E2">
          <w:pPr>
            <w:pStyle w:val="17"/>
            <w:tabs>
              <w:tab w:val="right" w:leader="dot" w:pos="8306"/>
            </w:tabs>
            <w:rPr>
              <w:rFonts w:hint="default" w:ascii="Times New Roman" w:hAnsi="Times New Roman" w:eastAsia="仿宋" w:cs="Times New Roman"/>
              <w:color w:val="auto"/>
              <w:szCs w:val="24"/>
              <w:highlight w:val="none"/>
            </w:rPr>
          </w:pPr>
          <w:r>
            <w:rPr>
              <w:rFonts w:hint="default" w:ascii="Times New Roman" w:hAnsi="Times New Roman" w:eastAsia="仿宋" w:cs="Times New Roman"/>
              <w:color w:val="auto"/>
              <w:szCs w:val="24"/>
              <w:highlight w:val="none"/>
            </w:rPr>
            <w:fldChar w:fldCharType="begin"/>
          </w:r>
          <w:r>
            <w:rPr>
              <w:rFonts w:hint="default" w:ascii="Times New Roman" w:hAnsi="Times New Roman" w:eastAsia="仿宋" w:cs="Times New Roman"/>
              <w:color w:val="auto"/>
              <w:szCs w:val="24"/>
              <w:highlight w:val="none"/>
            </w:rPr>
            <w:instrText xml:space="preserve"> HYPERLINK \l _Toc6007 </w:instrText>
          </w:r>
          <w:r>
            <w:rPr>
              <w:rFonts w:hint="default" w:ascii="Times New Roman" w:hAnsi="Times New Roman" w:eastAsia="仿宋" w:cs="Times New Roman"/>
              <w:color w:val="auto"/>
              <w:szCs w:val="24"/>
              <w:highlight w:val="none"/>
            </w:rPr>
            <w:fldChar w:fldCharType="separate"/>
          </w:r>
          <w:r>
            <w:rPr>
              <w:rFonts w:hint="default" w:ascii="Times New Roman" w:hAnsi="Times New Roman" w:eastAsia="仿宋" w:cs="Times New Roman"/>
              <w:snapToGrid w:val="0"/>
              <w:color w:val="auto"/>
              <w:szCs w:val="30"/>
              <w:highlight w:val="none"/>
              <w:lang w:val="en-US" w:eastAsia="zh-CN"/>
            </w:rPr>
            <w:t>七、结论</w:t>
          </w:r>
          <w:r>
            <w:rPr>
              <w:rFonts w:hint="default" w:ascii="Times New Roman" w:hAnsi="Times New Roman" w:eastAsia="仿宋" w:cs="Times New Roman"/>
              <w:color w:val="auto"/>
            </w:rPr>
            <w:tab/>
          </w:r>
          <w:r>
            <w:rPr>
              <w:rFonts w:hint="default" w:ascii="Times New Roman" w:hAnsi="Times New Roman" w:eastAsia="仿宋" w:cs="Times New Roman"/>
              <w:color w:val="auto"/>
            </w:rPr>
            <w:fldChar w:fldCharType="begin"/>
          </w:r>
          <w:r>
            <w:rPr>
              <w:rFonts w:hint="default" w:ascii="Times New Roman" w:hAnsi="Times New Roman" w:eastAsia="仿宋" w:cs="Times New Roman"/>
              <w:color w:val="auto"/>
            </w:rPr>
            <w:instrText xml:space="preserve"> PAGEREF _Toc6007 \h </w:instrText>
          </w:r>
          <w:r>
            <w:rPr>
              <w:rFonts w:hint="default" w:ascii="Times New Roman" w:hAnsi="Times New Roman" w:eastAsia="仿宋" w:cs="Times New Roman"/>
              <w:color w:val="auto"/>
            </w:rPr>
            <w:fldChar w:fldCharType="separate"/>
          </w:r>
          <w:r>
            <w:rPr>
              <w:rFonts w:hint="default" w:ascii="Times New Roman" w:hAnsi="Times New Roman" w:eastAsia="仿宋" w:cs="Times New Roman"/>
              <w:color w:val="auto"/>
            </w:rPr>
            <w:t>92</w:t>
          </w:r>
          <w:r>
            <w:rPr>
              <w:rFonts w:hint="default" w:ascii="Times New Roman" w:hAnsi="Times New Roman" w:eastAsia="仿宋" w:cs="Times New Roman"/>
              <w:color w:val="auto"/>
            </w:rPr>
            <w:fldChar w:fldCharType="end"/>
          </w:r>
          <w:r>
            <w:rPr>
              <w:rFonts w:hint="default" w:ascii="Times New Roman" w:hAnsi="Times New Roman" w:eastAsia="仿宋" w:cs="Times New Roman"/>
              <w:color w:val="auto"/>
              <w:szCs w:val="24"/>
              <w:highlight w:val="none"/>
            </w:rPr>
            <w:fldChar w:fldCharType="end"/>
          </w:r>
        </w:p>
        <w:p w14:paraId="54807725">
          <w:pPr>
            <w:rPr>
              <w:rFonts w:hint="eastAsia" w:eastAsia="仿宋"/>
              <w:lang w:val="en-US" w:eastAsia="zh-CN"/>
            </w:rPr>
          </w:pPr>
          <w:r>
            <w:rPr>
              <w:rFonts w:hint="eastAsia" w:eastAsia="仿宋" w:cs="Times New Roman"/>
              <w:color w:val="auto"/>
              <w:szCs w:val="24"/>
              <w:highlight w:val="none"/>
              <w:lang w:val="en-US" w:eastAsia="zh-CN"/>
            </w:rPr>
            <w:t>附录</w:t>
          </w:r>
        </w:p>
        <w:p w14:paraId="17DDC30A">
          <w:pPr>
            <w:keepNext w:val="0"/>
            <w:keepLines w:val="0"/>
            <w:pageBreakBefore w:val="0"/>
            <w:kinsoku/>
            <w:wordWrap/>
            <w:overflowPunct/>
            <w:topLinePunct w:val="0"/>
            <w:autoSpaceDE/>
            <w:autoSpaceDN/>
            <w:bidi w:val="0"/>
            <w:adjustRightInd/>
            <w:snapToGrid/>
            <w:spacing w:line="360" w:lineRule="auto"/>
            <w:textAlignment w:val="auto"/>
            <w:rPr>
              <w:color w:val="auto"/>
              <w:highlight w:val="none"/>
            </w:rPr>
            <w:sectPr>
              <w:headerReference r:id="rId7" w:type="default"/>
              <w:footerReference r:id="rId8" w:type="default"/>
              <w:pgSz w:w="11906" w:h="16838"/>
              <w:pgMar w:top="1440" w:right="1800" w:bottom="1440" w:left="1800" w:header="850" w:footer="992" w:gutter="0"/>
              <w:pgBorders>
                <w:top w:val="none" w:sz="0" w:space="0"/>
                <w:left w:val="none" w:sz="0" w:space="0"/>
                <w:bottom w:val="none" w:sz="0" w:space="0"/>
                <w:right w:val="none" w:sz="0" w:space="0"/>
              </w:pgBorders>
              <w:pgNumType w:fmt="decimal"/>
              <w:cols w:space="0" w:num="1"/>
              <w:docGrid w:type="lines" w:linePitch="332" w:charSpace="0"/>
            </w:sectPr>
          </w:pPr>
          <w:r>
            <w:rPr>
              <w:color w:val="auto"/>
              <w:szCs w:val="24"/>
              <w:highlight w:val="none"/>
            </w:rPr>
            <w:fldChar w:fldCharType="end"/>
          </w:r>
        </w:p>
      </w:sdtContent>
    </w:sdt>
    <w:p w14:paraId="02D39FA1">
      <w:pPr>
        <w:rPr>
          <w:rFonts w:hint="eastAsia"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br w:type="page"/>
      </w:r>
    </w:p>
    <w:p w14:paraId="0F502D4A">
      <w:pPr>
        <w:pStyle w:val="19"/>
        <w:keepNext w:val="0"/>
        <w:keepLines w:val="0"/>
        <w:pageBreakBefore w:val="0"/>
        <w:widowControl w:val="0"/>
        <w:kinsoku/>
        <w:wordWrap/>
        <w:overflowPunct/>
        <w:topLinePunct w:val="0"/>
        <w:autoSpaceDE/>
        <w:autoSpaceDN/>
        <w:bidi w:val="0"/>
        <w:adjustRightInd/>
        <w:snapToGrid/>
        <w:spacing w:before="157" w:beforeLines="50" w:after="157" w:afterLines="50" w:line="240" w:lineRule="atLeast"/>
        <w:ind w:left="0" w:leftChars="0" w:firstLine="0" w:firstLineChars="0"/>
        <w:jc w:val="center"/>
        <w:textAlignment w:val="auto"/>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一、建设项目基本情况</w:t>
      </w:r>
    </w:p>
    <w:tbl>
      <w:tblPr>
        <w:tblStyle w:val="24"/>
        <w:tblW w:w="100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94"/>
        <w:gridCol w:w="823"/>
        <w:gridCol w:w="2513"/>
        <w:gridCol w:w="2730"/>
        <w:gridCol w:w="3300"/>
      </w:tblGrid>
      <w:tr w14:paraId="052172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7" w:hRule="atLeast"/>
          <w:jc w:val="center"/>
        </w:trPr>
        <w:tc>
          <w:tcPr>
            <w:tcW w:w="1517" w:type="dxa"/>
            <w:gridSpan w:val="2"/>
            <w:vAlign w:val="center"/>
          </w:tcPr>
          <w:p w14:paraId="48DBE8F3">
            <w:pPr>
              <w:adjustRightInd w:val="0"/>
              <w:snapToGrid w:val="0"/>
              <w:spacing w:line="240" w:lineRule="auto"/>
              <w:ind w:firstLine="0" w:firstLineChars="0"/>
              <w:jc w:val="center"/>
              <w:rPr>
                <w:rFonts w:hint="default" w:eastAsia="仿宋" w:cs="Times New Roman"/>
                <w:color w:val="auto"/>
                <w:sz w:val="21"/>
                <w:szCs w:val="21"/>
                <w:highlight w:val="none"/>
              </w:rPr>
            </w:pPr>
            <w:bookmarkStart w:id="3" w:name="_Toc1752"/>
            <w:r>
              <w:rPr>
                <w:rFonts w:hint="eastAsia" w:eastAsia="仿宋" w:cs="Times New Roman"/>
                <w:color w:val="auto"/>
                <w:sz w:val="21"/>
                <w:szCs w:val="21"/>
                <w:highlight w:val="none"/>
                <w:lang w:val="en-US" w:eastAsia="zh-CN"/>
              </w:rPr>
              <w:t>建设</w:t>
            </w:r>
            <w:r>
              <w:rPr>
                <w:rFonts w:hint="default" w:eastAsia="仿宋" w:cs="Times New Roman"/>
                <w:color w:val="auto"/>
                <w:sz w:val="21"/>
                <w:szCs w:val="21"/>
                <w:highlight w:val="none"/>
              </w:rPr>
              <w:t>项目名称</w:t>
            </w:r>
          </w:p>
        </w:tc>
        <w:tc>
          <w:tcPr>
            <w:tcW w:w="8543" w:type="dxa"/>
            <w:gridSpan w:val="3"/>
            <w:vAlign w:val="center"/>
          </w:tcPr>
          <w:p w14:paraId="0BA3F146">
            <w:pPr>
              <w:pStyle w:val="9"/>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长荡湖体育休闲房车营地—应急疏散通道项目</w:t>
            </w:r>
          </w:p>
        </w:tc>
      </w:tr>
      <w:tr w14:paraId="48DE6D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7" w:hRule="atLeast"/>
          <w:jc w:val="center"/>
        </w:trPr>
        <w:tc>
          <w:tcPr>
            <w:tcW w:w="1517" w:type="dxa"/>
            <w:gridSpan w:val="2"/>
            <w:vAlign w:val="center"/>
          </w:tcPr>
          <w:p w14:paraId="2226CC53">
            <w:pPr>
              <w:adjustRightInd w:val="0"/>
              <w:snapToGrid w:val="0"/>
              <w:spacing w:line="240" w:lineRule="auto"/>
              <w:ind w:firstLine="0" w:firstLineChars="0"/>
              <w:jc w:val="center"/>
              <w:rPr>
                <w:rFonts w:hint="eastAsia"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项目代码</w:t>
            </w:r>
          </w:p>
        </w:tc>
        <w:tc>
          <w:tcPr>
            <w:tcW w:w="8543" w:type="dxa"/>
            <w:gridSpan w:val="3"/>
            <w:vAlign w:val="center"/>
          </w:tcPr>
          <w:p w14:paraId="31A54D8E">
            <w:pPr>
              <w:adjustRightInd w:val="0"/>
              <w:snapToGrid w:val="0"/>
              <w:spacing w:line="240" w:lineRule="auto"/>
              <w:ind w:firstLine="0" w:firstLineChars="0"/>
              <w:jc w:val="center"/>
              <w:rPr>
                <w:rFonts w:hint="default"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2406-320413-04-01-252581</w:t>
            </w:r>
          </w:p>
        </w:tc>
      </w:tr>
      <w:tr w14:paraId="11E508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7" w:hRule="atLeast"/>
          <w:jc w:val="center"/>
        </w:trPr>
        <w:tc>
          <w:tcPr>
            <w:tcW w:w="1517" w:type="dxa"/>
            <w:gridSpan w:val="2"/>
            <w:vAlign w:val="center"/>
          </w:tcPr>
          <w:p w14:paraId="29D39D80">
            <w:pPr>
              <w:adjustRightInd w:val="0"/>
              <w:snapToGrid w:val="0"/>
              <w:spacing w:line="240" w:lineRule="auto"/>
              <w:ind w:firstLine="0" w:firstLineChars="0"/>
              <w:jc w:val="center"/>
              <w:rPr>
                <w:rFonts w:hint="default" w:ascii="Times New Roman" w:hAnsi="Times New Roman" w:eastAsia="仿宋" w:cs="Times New Roman"/>
                <w:color w:val="auto"/>
                <w:kern w:val="2"/>
                <w:sz w:val="21"/>
                <w:szCs w:val="21"/>
                <w:highlight w:val="none"/>
                <w:lang w:val="en-US" w:eastAsia="zh-CN" w:bidi="ar-SA"/>
              </w:rPr>
            </w:pPr>
            <w:r>
              <w:rPr>
                <w:rFonts w:hint="eastAsia" w:ascii="Times New Roman" w:hAnsi="Times New Roman" w:eastAsia="仿宋" w:cs="Times New Roman"/>
                <w:color w:val="auto"/>
                <w:kern w:val="2"/>
                <w:sz w:val="21"/>
                <w:szCs w:val="21"/>
                <w:highlight w:val="none"/>
                <w:lang w:val="en-US" w:eastAsia="zh-CN" w:bidi="ar-SA"/>
              </w:rPr>
              <w:t>建设单位联系人</w:t>
            </w:r>
          </w:p>
        </w:tc>
        <w:tc>
          <w:tcPr>
            <w:tcW w:w="2513" w:type="dxa"/>
            <w:vAlign w:val="center"/>
          </w:tcPr>
          <w:p w14:paraId="516D89A5">
            <w:pPr>
              <w:adjustRightInd w:val="0"/>
              <w:snapToGrid w:val="0"/>
              <w:spacing w:line="240" w:lineRule="auto"/>
              <w:ind w:firstLine="0" w:firstLineChars="0"/>
              <w:jc w:val="center"/>
              <w:rPr>
                <w:rFonts w:hint="default" w:ascii="Times New Roman" w:hAnsi="Times New Roman" w:eastAsia="仿宋" w:cs="Times New Roman"/>
                <w:color w:val="auto"/>
                <w:kern w:val="2"/>
                <w:sz w:val="21"/>
                <w:szCs w:val="21"/>
                <w:highlight w:val="none"/>
                <w:lang w:val="en-US" w:eastAsia="zh-CN" w:bidi="ar-SA"/>
              </w:rPr>
            </w:pPr>
            <w:r>
              <w:rPr>
                <w:rFonts w:hint="eastAsia" w:eastAsia="仿宋" w:cs="Times New Roman"/>
                <w:color w:val="auto"/>
                <w:kern w:val="2"/>
                <w:sz w:val="21"/>
                <w:szCs w:val="21"/>
                <w:highlight w:val="none"/>
                <w:lang w:val="en-US" w:eastAsia="zh-CN" w:bidi="ar-SA"/>
              </w:rPr>
              <w:t>许健</w:t>
            </w:r>
          </w:p>
        </w:tc>
        <w:tc>
          <w:tcPr>
            <w:tcW w:w="2730" w:type="dxa"/>
            <w:vAlign w:val="center"/>
          </w:tcPr>
          <w:p w14:paraId="139FF6CA">
            <w:pPr>
              <w:adjustRightInd w:val="0"/>
              <w:snapToGrid w:val="0"/>
              <w:spacing w:line="240" w:lineRule="auto"/>
              <w:ind w:firstLine="0" w:firstLineChars="0"/>
              <w:jc w:val="center"/>
              <w:rPr>
                <w:rFonts w:hint="eastAsia" w:ascii="Times New Roman" w:hAnsi="Times New Roman" w:eastAsia="仿宋" w:cs="Times New Roman"/>
                <w:color w:val="auto"/>
                <w:kern w:val="2"/>
                <w:sz w:val="21"/>
                <w:szCs w:val="21"/>
                <w:highlight w:val="none"/>
                <w:lang w:val="en-US" w:eastAsia="zh-CN" w:bidi="ar-SA"/>
              </w:rPr>
            </w:pPr>
            <w:r>
              <w:rPr>
                <w:rFonts w:hint="default" w:ascii="Times New Roman" w:hAnsi="Times New Roman" w:eastAsia="仿宋" w:cs="Times New Roman"/>
                <w:color w:val="auto"/>
                <w:kern w:val="2"/>
                <w:sz w:val="21"/>
                <w:szCs w:val="21"/>
                <w:highlight w:val="none"/>
                <w:lang w:val="en-US" w:eastAsia="zh-CN" w:bidi="ar-SA"/>
              </w:rPr>
              <w:t>联系</w:t>
            </w:r>
            <w:r>
              <w:rPr>
                <w:rFonts w:hint="eastAsia" w:ascii="Times New Roman" w:hAnsi="Times New Roman" w:eastAsia="仿宋" w:cs="Times New Roman"/>
                <w:color w:val="auto"/>
                <w:kern w:val="2"/>
                <w:sz w:val="21"/>
                <w:szCs w:val="21"/>
                <w:highlight w:val="none"/>
                <w:lang w:val="en-US" w:eastAsia="zh-CN" w:bidi="ar-SA"/>
              </w:rPr>
              <w:t>方式</w:t>
            </w:r>
          </w:p>
        </w:tc>
        <w:tc>
          <w:tcPr>
            <w:tcW w:w="3300" w:type="dxa"/>
            <w:vAlign w:val="center"/>
          </w:tcPr>
          <w:p w14:paraId="55644519">
            <w:pPr>
              <w:adjustRightInd w:val="0"/>
              <w:snapToGrid w:val="0"/>
              <w:spacing w:line="240" w:lineRule="auto"/>
              <w:ind w:firstLine="0" w:firstLineChars="0"/>
              <w:jc w:val="center"/>
              <w:rPr>
                <w:rFonts w:hint="default" w:ascii="Times New Roman" w:hAnsi="Times New Roman" w:eastAsia="仿宋" w:cs="Times New Roman"/>
                <w:color w:val="auto"/>
                <w:kern w:val="2"/>
                <w:sz w:val="21"/>
                <w:szCs w:val="21"/>
                <w:highlight w:val="none"/>
                <w:lang w:val="en-US" w:eastAsia="zh-CN" w:bidi="ar-SA"/>
              </w:rPr>
            </w:pPr>
            <w:r>
              <w:rPr>
                <w:rFonts w:hint="default" w:ascii="Times New Roman" w:hAnsi="Times New Roman" w:eastAsia="仿宋" w:cs="Times New Roman"/>
                <w:color w:val="auto"/>
                <w:kern w:val="2"/>
                <w:sz w:val="21"/>
                <w:szCs w:val="21"/>
                <w:highlight w:val="none"/>
                <w:lang w:val="en-US" w:eastAsia="zh-CN" w:bidi="ar-SA"/>
              </w:rPr>
              <w:t>15189847881</w:t>
            </w:r>
          </w:p>
        </w:tc>
      </w:tr>
      <w:tr w14:paraId="331C48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7" w:hRule="atLeast"/>
          <w:jc w:val="center"/>
        </w:trPr>
        <w:tc>
          <w:tcPr>
            <w:tcW w:w="1517" w:type="dxa"/>
            <w:gridSpan w:val="2"/>
            <w:vAlign w:val="center"/>
          </w:tcPr>
          <w:p w14:paraId="34BE1F4B">
            <w:pPr>
              <w:adjustRightInd w:val="0"/>
              <w:snapToGrid w:val="0"/>
              <w:spacing w:line="240" w:lineRule="auto"/>
              <w:ind w:firstLine="0" w:firstLineChars="0"/>
              <w:jc w:val="center"/>
              <w:rPr>
                <w:rFonts w:hint="eastAsia"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建设地点</w:t>
            </w:r>
          </w:p>
        </w:tc>
        <w:tc>
          <w:tcPr>
            <w:tcW w:w="8543" w:type="dxa"/>
            <w:gridSpan w:val="3"/>
            <w:vAlign w:val="center"/>
          </w:tcPr>
          <w:p w14:paraId="7449E3AC">
            <w:pPr>
              <w:adjustRightInd w:val="0"/>
              <w:snapToGrid w:val="0"/>
              <w:spacing w:line="240" w:lineRule="auto"/>
              <w:ind w:firstLine="0" w:firstLineChars="0"/>
              <w:jc w:val="center"/>
              <w:rPr>
                <w:rFonts w:hint="default"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江苏省</w:t>
            </w:r>
            <w:bookmarkStart w:id="28" w:name="_GoBack"/>
            <w:r>
              <w:rPr>
                <w:rFonts w:hint="eastAsia" w:eastAsia="仿宋" w:cs="Times New Roman"/>
                <w:color w:val="auto"/>
                <w:sz w:val="21"/>
                <w:szCs w:val="21"/>
                <w:highlight w:val="none"/>
                <w:lang w:val="en-US" w:eastAsia="zh-CN"/>
              </w:rPr>
              <w:t>常州市金坛区河海大道与丹桂南路交叉口以南、长荡湖北岸</w:t>
            </w:r>
            <w:bookmarkEnd w:id="28"/>
          </w:p>
        </w:tc>
      </w:tr>
      <w:tr w14:paraId="2466E4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7" w:hRule="atLeast"/>
          <w:jc w:val="center"/>
        </w:trPr>
        <w:tc>
          <w:tcPr>
            <w:tcW w:w="1517" w:type="dxa"/>
            <w:gridSpan w:val="2"/>
            <w:vAlign w:val="center"/>
          </w:tcPr>
          <w:p w14:paraId="043C9EDD">
            <w:pPr>
              <w:widowControl/>
              <w:kinsoku w:val="0"/>
              <w:autoSpaceDE w:val="0"/>
              <w:autoSpaceDN w:val="0"/>
              <w:adjustRightInd w:val="0"/>
              <w:snapToGrid w:val="0"/>
              <w:spacing w:line="240" w:lineRule="auto"/>
              <w:ind w:firstLine="0" w:firstLineChars="0"/>
              <w:jc w:val="center"/>
              <w:textAlignment w:val="baseline"/>
              <w:rPr>
                <w:rFonts w:hint="eastAsia" w:ascii="Times New Roman" w:hAnsi="Times New Roman"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地理坐标</w:t>
            </w:r>
          </w:p>
        </w:tc>
        <w:tc>
          <w:tcPr>
            <w:tcW w:w="8543" w:type="dxa"/>
            <w:gridSpan w:val="3"/>
            <w:vAlign w:val="center"/>
          </w:tcPr>
          <w:p w14:paraId="57243CC2">
            <w:pPr>
              <w:widowControl/>
              <w:kinsoku w:val="0"/>
              <w:autoSpaceDE w:val="0"/>
              <w:autoSpaceDN w:val="0"/>
              <w:adjustRightInd w:val="0"/>
              <w:snapToGrid w:val="0"/>
              <w:spacing w:line="240" w:lineRule="auto"/>
              <w:ind w:firstLine="0" w:firstLineChars="0"/>
              <w:jc w:val="both"/>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起点：</w:t>
            </w:r>
            <w:r>
              <w:rPr>
                <w:rFonts w:hint="default" w:eastAsia="仿宋" w:cs="Times New Roman"/>
                <w:snapToGrid w:val="0"/>
                <w:color w:val="auto"/>
                <w:kern w:val="0"/>
                <w:sz w:val="21"/>
                <w:szCs w:val="21"/>
                <w:highlight w:val="none"/>
                <w:lang w:val="en-US" w:eastAsia="zh-CN"/>
              </w:rPr>
              <w:t>（</w:t>
            </w:r>
            <w:r>
              <w:rPr>
                <w:rFonts w:hint="eastAsia" w:eastAsia="仿宋" w:cs="Times New Roman"/>
                <w:snapToGrid w:val="0"/>
                <w:color w:val="auto"/>
                <w:kern w:val="0"/>
                <w:sz w:val="21"/>
                <w:szCs w:val="21"/>
                <w:highlight w:val="none"/>
                <w:lang w:val="en-US" w:eastAsia="zh-CN"/>
              </w:rPr>
              <w:t>东经119</w:t>
            </w:r>
            <w:r>
              <w:rPr>
                <w:rFonts w:hint="default" w:eastAsia="仿宋" w:cs="Times New Roman"/>
                <w:snapToGrid w:val="0"/>
                <w:color w:val="auto"/>
                <w:kern w:val="0"/>
                <w:sz w:val="21"/>
                <w:szCs w:val="21"/>
                <w:highlight w:val="none"/>
                <w:lang w:val="en-US" w:eastAsia="zh-CN"/>
              </w:rPr>
              <w:t>度</w:t>
            </w:r>
            <w:r>
              <w:rPr>
                <w:rFonts w:hint="eastAsia" w:eastAsia="仿宋" w:cs="Times New Roman"/>
                <w:snapToGrid w:val="0"/>
                <w:color w:val="auto"/>
                <w:kern w:val="0"/>
                <w:sz w:val="21"/>
                <w:szCs w:val="21"/>
                <w:highlight w:val="none"/>
                <w:lang w:val="en-US" w:eastAsia="zh-CN"/>
              </w:rPr>
              <w:t>34</w:t>
            </w:r>
            <w:r>
              <w:rPr>
                <w:rFonts w:hint="default" w:eastAsia="仿宋" w:cs="Times New Roman"/>
                <w:snapToGrid w:val="0"/>
                <w:color w:val="auto"/>
                <w:kern w:val="0"/>
                <w:sz w:val="21"/>
                <w:szCs w:val="21"/>
                <w:highlight w:val="none"/>
                <w:lang w:val="en-US" w:eastAsia="zh-CN"/>
              </w:rPr>
              <w:t>分</w:t>
            </w:r>
            <w:r>
              <w:rPr>
                <w:rFonts w:hint="eastAsia" w:eastAsia="仿宋" w:cs="Times New Roman"/>
                <w:snapToGrid w:val="0"/>
                <w:color w:val="auto"/>
                <w:kern w:val="0"/>
                <w:sz w:val="21"/>
                <w:szCs w:val="21"/>
                <w:highlight w:val="none"/>
                <w:lang w:val="en-US" w:eastAsia="zh-CN"/>
              </w:rPr>
              <w:t>18.624</w:t>
            </w:r>
            <w:r>
              <w:rPr>
                <w:rFonts w:hint="default" w:eastAsia="仿宋" w:cs="Times New Roman"/>
                <w:snapToGrid w:val="0"/>
                <w:color w:val="auto"/>
                <w:kern w:val="0"/>
                <w:sz w:val="21"/>
                <w:szCs w:val="21"/>
                <w:highlight w:val="none"/>
                <w:lang w:val="en-US" w:eastAsia="zh-CN"/>
              </w:rPr>
              <w:t>秒，</w:t>
            </w:r>
            <w:r>
              <w:rPr>
                <w:rFonts w:hint="eastAsia" w:eastAsia="仿宋" w:cs="Times New Roman"/>
                <w:snapToGrid w:val="0"/>
                <w:color w:val="auto"/>
                <w:kern w:val="0"/>
                <w:sz w:val="21"/>
                <w:szCs w:val="21"/>
                <w:highlight w:val="none"/>
                <w:lang w:val="en-US" w:eastAsia="zh-CN"/>
              </w:rPr>
              <w:t>北纬</w:t>
            </w:r>
            <w:r>
              <w:rPr>
                <w:rFonts w:hint="default" w:eastAsia="仿宋" w:cs="Times New Roman"/>
                <w:snapToGrid w:val="0"/>
                <w:color w:val="auto"/>
                <w:kern w:val="0"/>
                <w:sz w:val="21"/>
                <w:szCs w:val="21"/>
                <w:highlight w:val="none"/>
                <w:lang w:val="en-US" w:eastAsia="zh-CN"/>
              </w:rPr>
              <w:t>31度</w:t>
            </w:r>
            <w:r>
              <w:rPr>
                <w:rFonts w:hint="eastAsia" w:eastAsia="仿宋" w:cs="Times New Roman"/>
                <w:snapToGrid w:val="0"/>
                <w:color w:val="auto"/>
                <w:kern w:val="0"/>
                <w:sz w:val="21"/>
                <w:szCs w:val="21"/>
                <w:highlight w:val="none"/>
                <w:lang w:val="en-US" w:eastAsia="zh-CN"/>
              </w:rPr>
              <w:t>44</w:t>
            </w:r>
            <w:r>
              <w:rPr>
                <w:rFonts w:hint="default" w:eastAsia="仿宋" w:cs="Times New Roman"/>
                <w:snapToGrid w:val="0"/>
                <w:color w:val="auto"/>
                <w:kern w:val="0"/>
                <w:sz w:val="21"/>
                <w:szCs w:val="21"/>
                <w:highlight w:val="none"/>
                <w:lang w:val="en-US" w:eastAsia="zh-CN"/>
              </w:rPr>
              <w:t>分</w:t>
            </w:r>
            <w:r>
              <w:rPr>
                <w:rFonts w:hint="eastAsia" w:eastAsia="仿宋" w:cs="Times New Roman"/>
                <w:snapToGrid w:val="0"/>
                <w:color w:val="auto"/>
                <w:kern w:val="0"/>
                <w:sz w:val="21"/>
                <w:szCs w:val="21"/>
                <w:highlight w:val="none"/>
                <w:lang w:val="en-US" w:eastAsia="zh-CN"/>
              </w:rPr>
              <w:t>32.269</w:t>
            </w:r>
            <w:r>
              <w:rPr>
                <w:rFonts w:hint="default" w:eastAsia="仿宋" w:cs="Times New Roman"/>
                <w:snapToGrid w:val="0"/>
                <w:color w:val="auto"/>
                <w:kern w:val="0"/>
                <w:sz w:val="21"/>
                <w:szCs w:val="21"/>
                <w:highlight w:val="none"/>
                <w:lang w:val="en-US" w:eastAsia="zh-CN"/>
              </w:rPr>
              <w:t>秒）</w:t>
            </w:r>
          </w:p>
          <w:p w14:paraId="09E988DB">
            <w:pPr>
              <w:widowControl/>
              <w:kinsoku w:val="0"/>
              <w:autoSpaceDE w:val="0"/>
              <w:autoSpaceDN w:val="0"/>
              <w:adjustRightInd w:val="0"/>
              <w:snapToGrid w:val="0"/>
              <w:spacing w:line="240" w:lineRule="auto"/>
              <w:ind w:firstLine="0" w:firstLineChars="0"/>
              <w:jc w:val="both"/>
              <w:textAlignment w:val="baseline"/>
              <w:rPr>
                <w:rFonts w:hint="eastAsia" w:eastAsia="仿宋"/>
                <w:color w:val="auto"/>
                <w:lang w:val="en-US" w:eastAsia="zh-CN"/>
              </w:rPr>
            </w:pPr>
            <w:r>
              <w:rPr>
                <w:rFonts w:hint="eastAsia" w:eastAsia="仿宋" w:cs="Times New Roman"/>
                <w:snapToGrid w:val="0"/>
                <w:color w:val="auto"/>
                <w:kern w:val="0"/>
                <w:sz w:val="21"/>
                <w:szCs w:val="21"/>
                <w:highlight w:val="none"/>
                <w:lang w:val="en-US" w:eastAsia="zh-CN"/>
              </w:rPr>
              <w:t>终点：</w:t>
            </w:r>
            <w:r>
              <w:rPr>
                <w:rFonts w:hint="default" w:eastAsia="仿宋" w:cs="Times New Roman"/>
                <w:snapToGrid w:val="0"/>
                <w:color w:val="auto"/>
                <w:kern w:val="0"/>
                <w:sz w:val="21"/>
                <w:szCs w:val="21"/>
                <w:highlight w:val="none"/>
                <w:lang w:val="en-US" w:eastAsia="zh-CN"/>
              </w:rPr>
              <w:t>（</w:t>
            </w:r>
            <w:r>
              <w:rPr>
                <w:rFonts w:hint="eastAsia" w:eastAsia="仿宋" w:cs="Times New Roman"/>
                <w:snapToGrid w:val="0"/>
                <w:color w:val="auto"/>
                <w:kern w:val="0"/>
                <w:sz w:val="21"/>
                <w:szCs w:val="21"/>
                <w:highlight w:val="none"/>
                <w:lang w:val="en-US" w:eastAsia="zh-CN"/>
              </w:rPr>
              <w:t>东经119</w:t>
            </w:r>
            <w:r>
              <w:rPr>
                <w:rFonts w:hint="default" w:eastAsia="仿宋" w:cs="Times New Roman"/>
                <w:snapToGrid w:val="0"/>
                <w:color w:val="auto"/>
                <w:kern w:val="0"/>
                <w:sz w:val="21"/>
                <w:szCs w:val="21"/>
                <w:highlight w:val="none"/>
                <w:lang w:val="en-US" w:eastAsia="zh-CN"/>
              </w:rPr>
              <w:t>度</w:t>
            </w:r>
            <w:r>
              <w:rPr>
                <w:rFonts w:hint="eastAsia" w:eastAsia="仿宋" w:cs="Times New Roman"/>
                <w:snapToGrid w:val="0"/>
                <w:color w:val="auto"/>
                <w:kern w:val="0"/>
                <w:sz w:val="21"/>
                <w:szCs w:val="21"/>
                <w:highlight w:val="none"/>
                <w:lang w:val="en-US" w:eastAsia="zh-CN"/>
              </w:rPr>
              <w:t>34</w:t>
            </w:r>
            <w:r>
              <w:rPr>
                <w:rFonts w:hint="default" w:eastAsia="仿宋" w:cs="Times New Roman"/>
                <w:snapToGrid w:val="0"/>
                <w:color w:val="auto"/>
                <w:kern w:val="0"/>
                <w:sz w:val="21"/>
                <w:szCs w:val="21"/>
                <w:highlight w:val="none"/>
                <w:lang w:val="en-US" w:eastAsia="zh-CN"/>
              </w:rPr>
              <w:t>分</w:t>
            </w:r>
            <w:r>
              <w:rPr>
                <w:rFonts w:hint="eastAsia" w:eastAsia="仿宋" w:cs="Times New Roman"/>
                <w:snapToGrid w:val="0"/>
                <w:color w:val="auto"/>
                <w:kern w:val="0"/>
                <w:sz w:val="21"/>
                <w:szCs w:val="21"/>
                <w:highlight w:val="none"/>
                <w:lang w:val="en-US" w:eastAsia="zh-CN"/>
              </w:rPr>
              <w:t>19.592</w:t>
            </w:r>
            <w:r>
              <w:rPr>
                <w:rFonts w:hint="default" w:eastAsia="仿宋" w:cs="Times New Roman"/>
                <w:snapToGrid w:val="0"/>
                <w:color w:val="auto"/>
                <w:kern w:val="0"/>
                <w:sz w:val="21"/>
                <w:szCs w:val="21"/>
                <w:highlight w:val="none"/>
                <w:lang w:val="en-US" w:eastAsia="zh-CN"/>
              </w:rPr>
              <w:t>秒，</w:t>
            </w:r>
            <w:r>
              <w:rPr>
                <w:rFonts w:hint="eastAsia" w:eastAsia="仿宋" w:cs="Times New Roman"/>
                <w:snapToGrid w:val="0"/>
                <w:color w:val="auto"/>
                <w:kern w:val="0"/>
                <w:sz w:val="21"/>
                <w:szCs w:val="21"/>
                <w:highlight w:val="none"/>
                <w:lang w:val="en-US" w:eastAsia="zh-CN"/>
              </w:rPr>
              <w:t>北纬</w:t>
            </w:r>
            <w:r>
              <w:rPr>
                <w:rFonts w:hint="default" w:eastAsia="仿宋" w:cs="Times New Roman"/>
                <w:snapToGrid w:val="0"/>
                <w:color w:val="auto"/>
                <w:kern w:val="0"/>
                <w:sz w:val="21"/>
                <w:szCs w:val="21"/>
                <w:highlight w:val="none"/>
                <w:lang w:val="en-US" w:eastAsia="zh-CN"/>
              </w:rPr>
              <w:t>31度</w:t>
            </w:r>
            <w:r>
              <w:rPr>
                <w:rFonts w:hint="eastAsia" w:eastAsia="仿宋" w:cs="Times New Roman"/>
                <w:snapToGrid w:val="0"/>
                <w:color w:val="auto"/>
                <w:kern w:val="0"/>
                <w:sz w:val="21"/>
                <w:szCs w:val="21"/>
                <w:highlight w:val="none"/>
                <w:lang w:val="en-US" w:eastAsia="zh-CN"/>
              </w:rPr>
              <w:t>44</w:t>
            </w:r>
            <w:r>
              <w:rPr>
                <w:rFonts w:hint="default" w:eastAsia="仿宋" w:cs="Times New Roman"/>
                <w:snapToGrid w:val="0"/>
                <w:color w:val="auto"/>
                <w:kern w:val="0"/>
                <w:sz w:val="21"/>
                <w:szCs w:val="21"/>
                <w:highlight w:val="none"/>
                <w:lang w:val="en-US" w:eastAsia="zh-CN"/>
              </w:rPr>
              <w:t>分</w:t>
            </w:r>
            <w:r>
              <w:rPr>
                <w:rFonts w:hint="eastAsia" w:eastAsia="仿宋" w:cs="Times New Roman"/>
                <w:snapToGrid w:val="0"/>
                <w:color w:val="auto"/>
                <w:kern w:val="0"/>
                <w:sz w:val="21"/>
                <w:szCs w:val="21"/>
                <w:highlight w:val="none"/>
                <w:lang w:val="en-US" w:eastAsia="zh-CN"/>
              </w:rPr>
              <w:t>30.278</w:t>
            </w:r>
            <w:r>
              <w:rPr>
                <w:rFonts w:hint="default" w:eastAsia="仿宋" w:cs="Times New Roman"/>
                <w:snapToGrid w:val="0"/>
                <w:color w:val="auto"/>
                <w:kern w:val="0"/>
                <w:sz w:val="21"/>
                <w:szCs w:val="21"/>
                <w:highlight w:val="none"/>
                <w:lang w:val="en-US" w:eastAsia="zh-CN"/>
              </w:rPr>
              <w:t>秒）</w:t>
            </w:r>
          </w:p>
        </w:tc>
      </w:tr>
      <w:tr w14:paraId="726276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9" w:hRule="atLeast"/>
          <w:jc w:val="center"/>
        </w:trPr>
        <w:tc>
          <w:tcPr>
            <w:tcW w:w="1517" w:type="dxa"/>
            <w:gridSpan w:val="2"/>
            <w:vAlign w:val="center"/>
          </w:tcPr>
          <w:p w14:paraId="089C3027">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t>建设项目</w:t>
            </w:r>
          </w:p>
          <w:p w14:paraId="2C86D8FD">
            <w:pPr>
              <w:widowControl/>
              <w:kinsoku w:val="0"/>
              <w:autoSpaceDE w:val="0"/>
              <w:autoSpaceDN w:val="0"/>
              <w:adjustRightInd w:val="0"/>
              <w:snapToGrid w:val="0"/>
              <w:spacing w:line="240" w:lineRule="auto"/>
              <w:ind w:firstLine="0" w:firstLineChars="0"/>
              <w:jc w:val="center"/>
              <w:textAlignment w:val="baseline"/>
              <w:rPr>
                <w:rFonts w:hint="default" w:ascii="Times New Roman" w:hAnsi="Times New Roman" w:eastAsia="仿宋" w:cs="Times New Roman"/>
                <w:snapToGrid w:val="0"/>
                <w:color w:val="auto"/>
                <w:kern w:val="0"/>
                <w:sz w:val="21"/>
                <w:szCs w:val="21"/>
                <w:highlight w:val="none"/>
                <w:lang w:val="en-US" w:eastAsia="zh-CN" w:bidi="ar-SA"/>
              </w:rPr>
            </w:pPr>
            <w:r>
              <w:rPr>
                <w:rFonts w:hint="default" w:eastAsia="仿宋" w:cs="Times New Roman"/>
                <w:snapToGrid w:val="0"/>
                <w:color w:val="auto"/>
                <w:kern w:val="0"/>
                <w:sz w:val="21"/>
                <w:szCs w:val="21"/>
                <w:highlight w:val="none"/>
                <w:lang w:val="en-US" w:eastAsia="zh-CN"/>
              </w:rPr>
              <w:t>行业类别</w:t>
            </w:r>
          </w:p>
        </w:tc>
        <w:tc>
          <w:tcPr>
            <w:tcW w:w="2513" w:type="dxa"/>
            <w:vAlign w:val="center"/>
          </w:tcPr>
          <w:p w14:paraId="2EA3A643">
            <w:pPr>
              <w:widowControl/>
              <w:kinsoku w:val="0"/>
              <w:autoSpaceDE w:val="0"/>
              <w:autoSpaceDN w:val="0"/>
              <w:adjustRightInd w:val="0"/>
              <w:snapToGrid w:val="0"/>
              <w:spacing w:line="240" w:lineRule="auto"/>
              <w:ind w:firstLine="0" w:firstLineChars="0"/>
              <w:jc w:val="center"/>
              <w:textAlignment w:val="baseline"/>
              <w:rPr>
                <w:rFonts w:hint="default" w:ascii="Times New Roman" w:hAnsi="Times New Roman" w:eastAsia="仿宋" w:cs="Times New Roman"/>
                <w:snapToGrid w:val="0"/>
                <w:color w:val="auto"/>
                <w:kern w:val="0"/>
                <w:sz w:val="21"/>
                <w:szCs w:val="21"/>
                <w:highlight w:val="none"/>
                <w:lang w:val="en-US" w:eastAsia="zh-CN" w:bidi="ar-SA"/>
              </w:rPr>
            </w:pPr>
            <w:r>
              <w:rPr>
                <w:rFonts w:hint="eastAsia" w:eastAsia="仿宋" w:cs="Times New Roman"/>
                <w:snapToGrid w:val="0"/>
                <w:color w:val="auto"/>
                <w:kern w:val="0"/>
                <w:sz w:val="21"/>
                <w:szCs w:val="21"/>
                <w:highlight w:val="none"/>
                <w:lang w:val="en-US" w:eastAsia="zh-CN"/>
              </w:rPr>
              <w:t>五十二、131城市道路（不含维护；不含支路、人行天桥、人行地道）</w:t>
            </w:r>
          </w:p>
        </w:tc>
        <w:tc>
          <w:tcPr>
            <w:tcW w:w="2730" w:type="dxa"/>
            <w:vAlign w:val="center"/>
          </w:tcPr>
          <w:p w14:paraId="68347638">
            <w:pPr>
              <w:widowControl/>
              <w:kinsoku w:val="0"/>
              <w:autoSpaceDE w:val="0"/>
              <w:autoSpaceDN w:val="0"/>
              <w:adjustRightInd w:val="0"/>
              <w:snapToGrid w:val="0"/>
              <w:spacing w:line="240" w:lineRule="auto"/>
              <w:ind w:firstLine="0" w:firstLineChars="0"/>
              <w:jc w:val="center"/>
              <w:textAlignment w:val="baseline"/>
              <w:rPr>
                <w:rFonts w:hint="default" w:ascii="Times New Roman" w:hAnsi="Times New Roman" w:eastAsia="仿宋" w:cs="Times New Roman"/>
                <w:snapToGrid w:val="0"/>
                <w:color w:val="auto"/>
                <w:kern w:val="0"/>
                <w:sz w:val="21"/>
                <w:szCs w:val="21"/>
                <w:highlight w:val="none"/>
                <w:lang w:val="en-US" w:eastAsia="zh-CN" w:bidi="ar-SA"/>
              </w:rPr>
            </w:pPr>
            <w:r>
              <w:rPr>
                <w:rFonts w:hint="default" w:eastAsia="仿宋" w:cs="Times New Roman"/>
                <w:snapToGrid w:val="0"/>
                <w:color w:val="auto"/>
                <w:kern w:val="0"/>
                <w:sz w:val="21"/>
                <w:szCs w:val="21"/>
                <w:highlight w:val="none"/>
                <w:lang w:val="en-US" w:eastAsia="zh-CN"/>
              </w:rPr>
              <w:t>用地（用海）面积（m</w:t>
            </w:r>
            <w:r>
              <w:rPr>
                <w:rFonts w:hint="default" w:eastAsia="仿宋" w:cs="Times New Roman"/>
                <w:snapToGrid w:val="0"/>
                <w:color w:val="auto"/>
                <w:kern w:val="0"/>
                <w:sz w:val="21"/>
                <w:szCs w:val="21"/>
                <w:highlight w:val="none"/>
                <w:vertAlign w:val="superscript"/>
                <w:lang w:val="en-US" w:eastAsia="zh-CN"/>
              </w:rPr>
              <w:t>2</w:t>
            </w:r>
            <w:r>
              <w:rPr>
                <w:rFonts w:hint="default" w:eastAsia="仿宋" w:cs="Times New Roman"/>
                <w:snapToGrid w:val="0"/>
                <w:color w:val="auto"/>
                <w:kern w:val="0"/>
                <w:sz w:val="21"/>
                <w:szCs w:val="21"/>
                <w:highlight w:val="none"/>
                <w:lang w:val="en-US" w:eastAsia="zh-CN"/>
              </w:rPr>
              <w:t>）</w:t>
            </w:r>
            <w:r>
              <w:rPr>
                <w:rFonts w:hint="eastAsia" w:eastAsia="仿宋" w:cs="Times New Roman"/>
                <w:snapToGrid w:val="0"/>
                <w:color w:val="auto"/>
                <w:kern w:val="0"/>
                <w:sz w:val="21"/>
                <w:szCs w:val="21"/>
                <w:highlight w:val="none"/>
                <w:lang w:val="en-US" w:eastAsia="zh-CN"/>
              </w:rPr>
              <w:t>/长度（m）</w:t>
            </w:r>
          </w:p>
        </w:tc>
        <w:tc>
          <w:tcPr>
            <w:tcW w:w="3300" w:type="dxa"/>
            <w:vAlign w:val="center"/>
          </w:tcPr>
          <w:p w14:paraId="55DE5158">
            <w:pPr>
              <w:widowControl/>
              <w:kinsoku w:val="0"/>
              <w:autoSpaceDE w:val="0"/>
              <w:autoSpaceDN w:val="0"/>
              <w:adjustRightInd w:val="0"/>
              <w:snapToGrid w:val="0"/>
              <w:spacing w:line="240" w:lineRule="auto"/>
              <w:ind w:firstLine="0" w:firstLineChars="0"/>
              <w:jc w:val="center"/>
              <w:textAlignment w:val="baseline"/>
              <w:rPr>
                <w:rFonts w:hint="default" w:ascii="Times New Roman" w:hAnsi="Times New Roman" w:eastAsia="仿宋" w:cs="Times New Roman"/>
                <w:snapToGrid w:val="0"/>
                <w:color w:val="auto"/>
                <w:kern w:val="0"/>
                <w:sz w:val="21"/>
                <w:szCs w:val="21"/>
                <w:highlight w:val="none"/>
                <w:lang w:val="en-US" w:eastAsia="zh-CN" w:bidi="ar-SA"/>
              </w:rPr>
            </w:pPr>
            <w:r>
              <w:rPr>
                <w:rFonts w:hint="eastAsia" w:eastAsia="仿宋" w:cs="Times New Roman"/>
                <w:snapToGrid w:val="0"/>
                <w:color w:val="auto"/>
                <w:kern w:val="0"/>
                <w:sz w:val="21"/>
                <w:szCs w:val="21"/>
                <w:highlight w:val="none"/>
                <w:lang w:val="en-US" w:eastAsia="zh-CN" w:bidi="ar-SA"/>
              </w:rPr>
              <w:t>606m</w:t>
            </w:r>
          </w:p>
        </w:tc>
      </w:tr>
      <w:tr w14:paraId="6AE56F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9" w:hRule="atLeast"/>
          <w:jc w:val="center"/>
        </w:trPr>
        <w:tc>
          <w:tcPr>
            <w:tcW w:w="1517" w:type="dxa"/>
            <w:gridSpan w:val="2"/>
            <w:vAlign w:val="center"/>
          </w:tcPr>
          <w:p w14:paraId="7024AC69">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建设性质</w:t>
            </w:r>
          </w:p>
        </w:tc>
        <w:tc>
          <w:tcPr>
            <w:tcW w:w="2513" w:type="dxa"/>
            <w:vAlign w:val="center"/>
          </w:tcPr>
          <w:p w14:paraId="6461E826">
            <w:pPr>
              <w:widowControl/>
              <w:kinsoku w:val="0"/>
              <w:autoSpaceDE w:val="0"/>
              <w:autoSpaceDN w:val="0"/>
              <w:adjustRightInd w:val="0"/>
              <w:snapToGrid w:val="0"/>
              <w:spacing w:line="240" w:lineRule="auto"/>
              <w:ind w:firstLine="0" w:firstLineChars="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sym w:font="Wingdings 2" w:char="0052"/>
            </w:r>
            <w:r>
              <w:rPr>
                <w:rFonts w:hint="default" w:eastAsia="仿宋" w:cs="Times New Roman"/>
                <w:snapToGrid w:val="0"/>
                <w:color w:val="auto"/>
                <w:kern w:val="0"/>
                <w:sz w:val="21"/>
                <w:szCs w:val="21"/>
                <w:highlight w:val="none"/>
                <w:lang w:val="en-US" w:eastAsia="zh-CN"/>
              </w:rPr>
              <w:t>新建（迁建）</w:t>
            </w:r>
          </w:p>
          <w:p w14:paraId="6845CEC6">
            <w:pPr>
              <w:widowControl/>
              <w:kinsoku w:val="0"/>
              <w:autoSpaceDE w:val="0"/>
              <w:autoSpaceDN w:val="0"/>
              <w:adjustRightInd w:val="0"/>
              <w:snapToGrid w:val="0"/>
              <w:spacing w:line="240" w:lineRule="auto"/>
              <w:ind w:firstLine="0" w:firstLineChars="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sym w:font="Wingdings 2" w:char="00A3"/>
            </w:r>
            <w:r>
              <w:rPr>
                <w:rFonts w:hint="default" w:eastAsia="仿宋" w:cs="Times New Roman"/>
                <w:snapToGrid w:val="0"/>
                <w:color w:val="auto"/>
                <w:kern w:val="0"/>
                <w:sz w:val="21"/>
                <w:szCs w:val="21"/>
                <w:highlight w:val="none"/>
                <w:lang w:val="en-US" w:eastAsia="zh-CN"/>
              </w:rPr>
              <w:t>改建</w:t>
            </w:r>
          </w:p>
          <w:p w14:paraId="12FC3555">
            <w:pPr>
              <w:widowControl/>
              <w:kinsoku w:val="0"/>
              <w:autoSpaceDE w:val="0"/>
              <w:autoSpaceDN w:val="0"/>
              <w:adjustRightInd w:val="0"/>
              <w:snapToGrid w:val="0"/>
              <w:spacing w:line="240" w:lineRule="auto"/>
              <w:ind w:firstLine="0" w:firstLineChars="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sym w:font="Wingdings 2" w:char="00A3"/>
            </w:r>
            <w:r>
              <w:rPr>
                <w:rFonts w:hint="default" w:eastAsia="仿宋" w:cs="Times New Roman"/>
                <w:snapToGrid w:val="0"/>
                <w:color w:val="auto"/>
                <w:kern w:val="0"/>
                <w:sz w:val="21"/>
                <w:szCs w:val="21"/>
                <w:highlight w:val="none"/>
                <w:lang w:val="en-US" w:eastAsia="zh-CN"/>
              </w:rPr>
              <w:t>扩建</w:t>
            </w:r>
          </w:p>
          <w:p w14:paraId="357308A6">
            <w:pPr>
              <w:widowControl/>
              <w:kinsoku w:val="0"/>
              <w:autoSpaceDE w:val="0"/>
              <w:autoSpaceDN w:val="0"/>
              <w:adjustRightInd w:val="0"/>
              <w:snapToGrid w:val="0"/>
              <w:spacing w:line="240" w:lineRule="auto"/>
              <w:ind w:firstLine="0" w:firstLineChars="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sym w:font="Wingdings 2" w:char="00A3"/>
            </w:r>
            <w:r>
              <w:rPr>
                <w:rFonts w:hint="default" w:eastAsia="仿宋" w:cs="Times New Roman"/>
                <w:snapToGrid w:val="0"/>
                <w:color w:val="auto"/>
                <w:kern w:val="0"/>
                <w:sz w:val="21"/>
                <w:szCs w:val="21"/>
                <w:highlight w:val="none"/>
                <w:lang w:val="en-US" w:eastAsia="zh-CN"/>
              </w:rPr>
              <w:t>技术改造</w:t>
            </w:r>
          </w:p>
        </w:tc>
        <w:tc>
          <w:tcPr>
            <w:tcW w:w="2730" w:type="dxa"/>
            <w:vAlign w:val="center"/>
          </w:tcPr>
          <w:p w14:paraId="086CDCC7">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建设项目</w:t>
            </w:r>
          </w:p>
          <w:p w14:paraId="12A5980B">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申报情形</w:t>
            </w:r>
          </w:p>
        </w:tc>
        <w:tc>
          <w:tcPr>
            <w:tcW w:w="3300" w:type="dxa"/>
            <w:vAlign w:val="center"/>
          </w:tcPr>
          <w:p w14:paraId="4BA165B2">
            <w:pPr>
              <w:widowControl/>
              <w:kinsoku w:val="0"/>
              <w:autoSpaceDE w:val="0"/>
              <w:autoSpaceDN w:val="0"/>
              <w:adjustRightInd w:val="0"/>
              <w:snapToGrid w:val="0"/>
              <w:spacing w:line="240" w:lineRule="auto"/>
              <w:ind w:firstLine="0" w:firstLineChars="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sym w:font="Wingdings 2" w:char="0052"/>
            </w:r>
            <w:r>
              <w:rPr>
                <w:rFonts w:hint="default" w:eastAsia="仿宋" w:cs="Times New Roman"/>
                <w:snapToGrid w:val="0"/>
                <w:color w:val="auto"/>
                <w:kern w:val="0"/>
                <w:sz w:val="21"/>
                <w:szCs w:val="21"/>
                <w:highlight w:val="none"/>
                <w:lang w:val="en-US" w:eastAsia="zh-CN"/>
              </w:rPr>
              <w:t>首次申报项目</w:t>
            </w:r>
          </w:p>
          <w:p w14:paraId="4292D3DE">
            <w:pPr>
              <w:widowControl/>
              <w:kinsoku w:val="0"/>
              <w:autoSpaceDE w:val="0"/>
              <w:autoSpaceDN w:val="0"/>
              <w:adjustRightInd w:val="0"/>
              <w:snapToGrid w:val="0"/>
              <w:spacing w:line="240" w:lineRule="auto"/>
              <w:ind w:firstLine="0" w:firstLineChars="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sym w:font="Wingdings 2" w:char="00A3"/>
            </w:r>
            <w:r>
              <w:rPr>
                <w:rFonts w:hint="default" w:eastAsia="仿宋" w:cs="Times New Roman"/>
                <w:snapToGrid w:val="0"/>
                <w:color w:val="auto"/>
                <w:kern w:val="0"/>
                <w:sz w:val="21"/>
                <w:szCs w:val="21"/>
                <w:highlight w:val="none"/>
                <w:lang w:val="en-US" w:eastAsia="zh-CN"/>
              </w:rPr>
              <w:t>不予批准后再次申报项目</w:t>
            </w:r>
          </w:p>
          <w:p w14:paraId="5EA5CAF2">
            <w:pPr>
              <w:widowControl/>
              <w:kinsoku w:val="0"/>
              <w:autoSpaceDE w:val="0"/>
              <w:autoSpaceDN w:val="0"/>
              <w:adjustRightInd w:val="0"/>
              <w:snapToGrid w:val="0"/>
              <w:spacing w:line="240" w:lineRule="auto"/>
              <w:ind w:firstLine="0" w:firstLineChars="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sym w:font="Wingdings 2" w:char="00A3"/>
            </w:r>
            <w:r>
              <w:rPr>
                <w:rFonts w:hint="default" w:eastAsia="仿宋" w:cs="Times New Roman"/>
                <w:snapToGrid w:val="0"/>
                <w:color w:val="auto"/>
                <w:kern w:val="0"/>
                <w:sz w:val="21"/>
                <w:szCs w:val="21"/>
                <w:highlight w:val="none"/>
                <w:lang w:val="en-US" w:eastAsia="zh-CN"/>
              </w:rPr>
              <w:t>超五年重新审核项目</w:t>
            </w:r>
          </w:p>
          <w:p w14:paraId="69BE0FE0">
            <w:pPr>
              <w:widowControl/>
              <w:kinsoku w:val="0"/>
              <w:autoSpaceDE w:val="0"/>
              <w:autoSpaceDN w:val="0"/>
              <w:adjustRightInd w:val="0"/>
              <w:snapToGrid w:val="0"/>
              <w:spacing w:line="240" w:lineRule="auto"/>
              <w:ind w:firstLine="0" w:firstLineChars="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sym w:font="Wingdings 2" w:char="00A3"/>
            </w:r>
            <w:r>
              <w:rPr>
                <w:rFonts w:hint="default" w:eastAsia="仿宋" w:cs="Times New Roman"/>
                <w:snapToGrid w:val="0"/>
                <w:color w:val="auto"/>
                <w:kern w:val="0"/>
                <w:sz w:val="21"/>
                <w:szCs w:val="21"/>
                <w:highlight w:val="none"/>
                <w:lang w:val="en-US" w:eastAsia="zh-CN"/>
              </w:rPr>
              <w:t>重大变动重新报批项目</w:t>
            </w:r>
          </w:p>
        </w:tc>
      </w:tr>
      <w:tr w14:paraId="0A143C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9" w:hRule="atLeast"/>
          <w:jc w:val="center"/>
        </w:trPr>
        <w:tc>
          <w:tcPr>
            <w:tcW w:w="1517" w:type="dxa"/>
            <w:gridSpan w:val="2"/>
            <w:vAlign w:val="center"/>
          </w:tcPr>
          <w:p w14:paraId="5EBB9D59">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t>项目审批</w:t>
            </w:r>
          </w:p>
          <w:p w14:paraId="26CA041C">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t>（核准/备案）部门（选填）</w:t>
            </w:r>
          </w:p>
        </w:tc>
        <w:tc>
          <w:tcPr>
            <w:tcW w:w="2513" w:type="dxa"/>
            <w:vAlign w:val="center"/>
          </w:tcPr>
          <w:p w14:paraId="61C1845C">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常州市金坛区发展和改革局</w:t>
            </w:r>
          </w:p>
        </w:tc>
        <w:tc>
          <w:tcPr>
            <w:tcW w:w="2730" w:type="dxa"/>
            <w:vAlign w:val="center"/>
          </w:tcPr>
          <w:p w14:paraId="6D3C31CB">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t>项目审批（核准/</w:t>
            </w:r>
          </w:p>
          <w:p w14:paraId="6961ACAD">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t>备案）文号（选填</w:t>
            </w:r>
          </w:p>
        </w:tc>
        <w:tc>
          <w:tcPr>
            <w:tcW w:w="3300" w:type="dxa"/>
            <w:vAlign w:val="center"/>
          </w:tcPr>
          <w:p w14:paraId="13BD487A">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坛发改备〔2024〕328号</w:t>
            </w:r>
          </w:p>
        </w:tc>
      </w:tr>
      <w:tr w14:paraId="6A7011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4" w:hRule="atLeast"/>
          <w:jc w:val="center"/>
        </w:trPr>
        <w:tc>
          <w:tcPr>
            <w:tcW w:w="1517" w:type="dxa"/>
            <w:gridSpan w:val="2"/>
            <w:vAlign w:val="center"/>
          </w:tcPr>
          <w:p w14:paraId="2F82663A">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总投资</w:t>
            </w:r>
          </w:p>
          <w:p w14:paraId="3E0BBE8E">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（万元）</w:t>
            </w:r>
          </w:p>
        </w:tc>
        <w:tc>
          <w:tcPr>
            <w:tcW w:w="2513" w:type="dxa"/>
            <w:vAlign w:val="center"/>
          </w:tcPr>
          <w:p w14:paraId="08B707FA">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6000</w:t>
            </w:r>
          </w:p>
        </w:tc>
        <w:tc>
          <w:tcPr>
            <w:tcW w:w="2730" w:type="dxa"/>
            <w:vAlign w:val="center"/>
          </w:tcPr>
          <w:p w14:paraId="0B6B1747">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环保投资（万元）</w:t>
            </w:r>
          </w:p>
        </w:tc>
        <w:tc>
          <w:tcPr>
            <w:tcW w:w="3300" w:type="dxa"/>
            <w:vAlign w:val="center"/>
          </w:tcPr>
          <w:p w14:paraId="06B61772">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66</w:t>
            </w:r>
          </w:p>
        </w:tc>
      </w:tr>
      <w:tr w14:paraId="42D6F6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6" w:hRule="atLeast"/>
          <w:jc w:val="center"/>
        </w:trPr>
        <w:tc>
          <w:tcPr>
            <w:tcW w:w="1517" w:type="dxa"/>
            <w:gridSpan w:val="2"/>
            <w:vAlign w:val="center"/>
          </w:tcPr>
          <w:p w14:paraId="0E644B51">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t>环保投资占比（%）</w:t>
            </w:r>
          </w:p>
        </w:tc>
        <w:tc>
          <w:tcPr>
            <w:tcW w:w="2513" w:type="dxa"/>
            <w:vAlign w:val="center"/>
          </w:tcPr>
          <w:p w14:paraId="1E02D737">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1.1</w:t>
            </w:r>
          </w:p>
        </w:tc>
        <w:tc>
          <w:tcPr>
            <w:tcW w:w="2730" w:type="dxa"/>
            <w:vAlign w:val="center"/>
          </w:tcPr>
          <w:p w14:paraId="1AFD46DC">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施工工期</w:t>
            </w:r>
          </w:p>
        </w:tc>
        <w:tc>
          <w:tcPr>
            <w:tcW w:w="3300" w:type="dxa"/>
            <w:vAlign w:val="center"/>
          </w:tcPr>
          <w:p w14:paraId="044E7D99">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12个月</w:t>
            </w:r>
          </w:p>
        </w:tc>
      </w:tr>
      <w:tr w14:paraId="4EEF89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1" w:hRule="atLeast"/>
          <w:jc w:val="center"/>
        </w:trPr>
        <w:tc>
          <w:tcPr>
            <w:tcW w:w="1517" w:type="dxa"/>
            <w:gridSpan w:val="2"/>
            <w:vAlign w:val="center"/>
          </w:tcPr>
          <w:p w14:paraId="5EF49D87">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是否开工建设</w:t>
            </w:r>
          </w:p>
        </w:tc>
        <w:tc>
          <w:tcPr>
            <w:tcW w:w="8543" w:type="dxa"/>
            <w:gridSpan w:val="3"/>
            <w:vAlign w:val="center"/>
          </w:tcPr>
          <w:p w14:paraId="04848863">
            <w:pPr>
              <w:widowControl/>
              <w:kinsoku w:val="0"/>
              <w:autoSpaceDE w:val="0"/>
              <w:autoSpaceDN w:val="0"/>
              <w:adjustRightInd w:val="0"/>
              <w:snapToGrid w:val="0"/>
              <w:spacing w:line="240" w:lineRule="auto"/>
              <w:ind w:firstLine="0" w:firstLineChars="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1"/>
                <w:szCs w:val="21"/>
                <w:highlight w:val="none"/>
                <w:lang w:val="en-US" w:eastAsia="zh-CN"/>
              </w:rPr>
              <w:sym w:font="Wingdings 2" w:char="0052"/>
            </w:r>
            <w:r>
              <w:rPr>
                <w:rFonts w:hint="default" w:eastAsia="仿宋" w:cs="Times New Roman"/>
                <w:snapToGrid w:val="0"/>
                <w:color w:val="auto"/>
                <w:kern w:val="0"/>
                <w:sz w:val="21"/>
                <w:szCs w:val="21"/>
                <w:highlight w:val="none"/>
                <w:lang w:val="en-US" w:eastAsia="zh-CN"/>
              </w:rPr>
              <w:t>否</w:t>
            </w:r>
          </w:p>
          <w:p w14:paraId="2541AA71">
            <w:pPr>
              <w:widowControl/>
              <w:kinsoku w:val="0"/>
              <w:autoSpaceDE w:val="0"/>
              <w:autoSpaceDN w:val="0"/>
              <w:adjustRightInd w:val="0"/>
              <w:snapToGrid w:val="0"/>
              <w:spacing w:line="240" w:lineRule="auto"/>
              <w:ind w:firstLine="0" w:firstLineChars="0"/>
              <w:jc w:val="both"/>
              <w:textAlignment w:val="baseline"/>
              <w:rPr>
                <w:rFonts w:hint="default" w:eastAsia="仿宋" w:cs="Times New Roman"/>
                <w:snapToGrid w:val="0"/>
                <w:color w:val="auto"/>
                <w:kern w:val="0"/>
                <w:sz w:val="21"/>
                <w:szCs w:val="21"/>
                <w:highlight w:val="none"/>
                <w:u w:val="single"/>
                <w:lang w:val="en-US" w:eastAsia="zh-CN"/>
              </w:rPr>
            </w:pPr>
            <w:r>
              <w:rPr>
                <w:rFonts w:hint="default" w:eastAsia="仿宋" w:cs="Times New Roman"/>
                <w:snapToGrid w:val="0"/>
                <w:color w:val="auto"/>
                <w:kern w:val="0"/>
                <w:sz w:val="21"/>
                <w:szCs w:val="21"/>
                <w:highlight w:val="none"/>
                <w:lang w:val="en-US" w:eastAsia="zh-CN"/>
              </w:rPr>
              <w:sym w:font="Wingdings 2" w:char="00A3"/>
            </w:r>
            <w:r>
              <w:rPr>
                <w:rFonts w:hint="default" w:eastAsia="仿宋" w:cs="Times New Roman"/>
                <w:snapToGrid w:val="0"/>
                <w:color w:val="auto"/>
                <w:kern w:val="0"/>
                <w:sz w:val="21"/>
                <w:szCs w:val="21"/>
                <w:highlight w:val="none"/>
                <w:lang w:val="en-US" w:eastAsia="zh-CN"/>
              </w:rPr>
              <w:t>是</w:t>
            </w:r>
            <w:r>
              <w:rPr>
                <w:rFonts w:hint="eastAsia" w:eastAsia="仿宋" w:cs="Times New Roman"/>
                <w:snapToGrid w:val="0"/>
                <w:color w:val="auto"/>
                <w:kern w:val="0"/>
                <w:sz w:val="21"/>
                <w:szCs w:val="21"/>
                <w:highlight w:val="none"/>
                <w:lang w:val="en-US" w:eastAsia="zh-CN"/>
              </w:rPr>
              <w:t>：</w:t>
            </w:r>
            <w:r>
              <w:rPr>
                <w:rFonts w:hint="eastAsia" w:eastAsia="仿宋" w:cs="Times New Roman"/>
                <w:snapToGrid w:val="0"/>
                <w:color w:val="auto"/>
                <w:kern w:val="0"/>
                <w:sz w:val="21"/>
                <w:szCs w:val="21"/>
                <w:highlight w:val="none"/>
                <w:u w:val="single"/>
                <w:lang w:val="en-US" w:eastAsia="zh-CN"/>
              </w:rPr>
              <w:t xml:space="preserve">                                   </w:t>
            </w:r>
          </w:p>
        </w:tc>
      </w:tr>
      <w:tr w14:paraId="7FFE47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74" w:hRule="atLeast"/>
          <w:jc w:val="center"/>
        </w:trPr>
        <w:tc>
          <w:tcPr>
            <w:tcW w:w="1517" w:type="dxa"/>
            <w:gridSpan w:val="2"/>
            <w:vAlign w:val="center"/>
          </w:tcPr>
          <w:p w14:paraId="7B3410F3">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专项评价设置情况</w:t>
            </w:r>
          </w:p>
        </w:tc>
        <w:tc>
          <w:tcPr>
            <w:tcW w:w="8543" w:type="dxa"/>
            <w:gridSpan w:val="3"/>
            <w:vAlign w:val="center"/>
          </w:tcPr>
          <w:p w14:paraId="345F01F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eastAsia="仿宋" w:cs="Times New Roman"/>
                <w:snapToGrid w:val="0"/>
                <w:color w:val="auto"/>
                <w:kern w:val="0"/>
                <w:sz w:val="21"/>
                <w:szCs w:val="21"/>
                <w:highlight w:val="none"/>
                <w:lang w:val="en-US" w:eastAsia="zh-CN"/>
              </w:rPr>
            </w:pPr>
            <w:r>
              <w:rPr>
                <w:rFonts w:hint="default" w:eastAsia="仿宋" w:cs="Times New Roman"/>
                <w:snapToGrid w:val="0"/>
                <w:color w:val="auto"/>
                <w:kern w:val="0"/>
                <w:sz w:val="24"/>
                <w:szCs w:val="24"/>
                <w:highlight w:val="none"/>
                <w:lang w:val="en-US" w:eastAsia="zh-CN"/>
              </w:rPr>
              <w:t>根据《建设项目环境影响报告表编制技术指南（生态影响类）》（试行），本项目专项评价设置情况见下表</w:t>
            </w:r>
            <w:r>
              <w:rPr>
                <w:rFonts w:hint="default" w:eastAsia="仿宋" w:cs="Times New Roman"/>
                <w:snapToGrid w:val="0"/>
                <w:color w:val="auto"/>
                <w:kern w:val="0"/>
                <w:sz w:val="21"/>
                <w:szCs w:val="21"/>
                <w:highlight w:val="none"/>
                <w:lang w:val="en-US" w:eastAsia="zh-CN"/>
              </w:rPr>
              <w:t>。</w:t>
            </w:r>
          </w:p>
          <w:p w14:paraId="0964A178">
            <w:pPr>
              <w:pStyle w:val="9"/>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 w:cs="Times New Roman"/>
                <w:b/>
                <w:bCs/>
                <w:color w:val="auto"/>
                <w:highlight w:val="none"/>
                <w:lang w:val="en-US" w:eastAsia="zh-CN"/>
              </w:rPr>
            </w:pPr>
            <w:r>
              <w:rPr>
                <w:rFonts w:hint="eastAsia" w:ascii="Times New Roman" w:hAnsi="Times New Roman" w:eastAsia="仿宋" w:cs="Times New Roman"/>
                <w:b/>
                <w:bCs/>
                <w:color w:val="auto"/>
                <w:sz w:val="21"/>
                <w:szCs w:val="20"/>
                <w:highlight w:val="none"/>
                <w:lang w:val="en-US" w:eastAsia="zh-CN"/>
              </w:rPr>
              <w:t>表1-1 专项评价设置情况表</w:t>
            </w:r>
          </w:p>
          <w:tbl>
            <w:tblPr>
              <w:tblStyle w:val="2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9"/>
              <w:gridCol w:w="3732"/>
              <w:gridCol w:w="2122"/>
              <w:gridCol w:w="1179"/>
            </w:tblGrid>
            <w:tr w14:paraId="7FCEF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vAlign w:val="center"/>
                </w:tcPr>
                <w:p w14:paraId="2F9074C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b/>
                      <w:bCs/>
                      <w:snapToGrid w:val="0"/>
                      <w:color w:val="auto"/>
                      <w:kern w:val="0"/>
                      <w:sz w:val="21"/>
                      <w:szCs w:val="21"/>
                      <w:highlight w:val="none"/>
                      <w:vertAlign w:val="baseline"/>
                      <w:lang w:val="en-US" w:eastAsia="zh-CN"/>
                    </w:rPr>
                  </w:pPr>
                  <w:r>
                    <w:rPr>
                      <w:rFonts w:hint="eastAsia" w:eastAsia="仿宋" w:cs="Times New Roman"/>
                      <w:b/>
                      <w:bCs/>
                      <w:snapToGrid w:val="0"/>
                      <w:color w:val="auto"/>
                      <w:kern w:val="0"/>
                      <w:sz w:val="21"/>
                      <w:szCs w:val="21"/>
                      <w:highlight w:val="none"/>
                      <w:vertAlign w:val="baseline"/>
                      <w:lang w:val="en-US" w:eastAsia="zh-CN"/>
                    </w:rPr>
                    <w:t>专项评价的类别</w:t>
                  </w:r>
                </w:p>
              </w:tc>
              <w:tc>
                <w:tcPr>
                  <w:tcW w:w="2244" w:type="pct"/>
                  <w:vAlign w:val="center"/>
                </w:tcPr>
                <w:p w14:paraId="62797D0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b/>
                      <w:bCs/>
                      <w:snapToGrid w:val="0"/>
                      <w:color w:val="auto"/>
                      <w:kern w:val="0"/>
                      <w:sz w:val="21"/>
                      <w:szCs w:val="21"/>
                      <w:highlight w:val="none"/>
                      <w:vertAlign w:val="baseline"/>
                      <w:lang w:val="en-US" w:eastAsia="zh-CN"/>
                    </w:rPr>
                  </w:pPr>
                  <w:r>
                    <w:rPr>
                      <w:rFonts w:hint="eastAsia" w:eastAsia="仿宋" w:cs="Times New Roman"/>
                      <w:b/>
                      <w:bCs/>
                      <w:snapToGrid w:val="0"/>
                      <w:color w:val="auto"/>
                      <w:kern w:val="0"/>
                      <w:sz w:val="21"/>
                      <w:szCs w:val="21"/>
                      <w:highlight w:val="none"/>
                      <w:vertAlign w:val="baseline"/>
                      <w:lang w:val="en-US" w:eastAsia="zh-CN"/>
                    </w:rPr>
                    <w:t>涉及项目类别</w:t>
                  </w:r>
                </w:p>
              </w:tc>
              <w:tc>
                <w:tcPr>
                  <w:tcW w:w="1276" w:type="pct"/>
                  <w:vAlign w:val="center"/>
                </w:tcPr>
                <w:p w14:paraId="22C03F7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b/>
                      <w:bCs/>
                      <w:snapToGrid w:val="0"/>
                      <w:color w:val="auto"/>
                      <w:kern w:val="0"/>
                      <w:sz w:val="21"/>
                      <w:szCs w:val="21"/>
                      <w:highlight w:val="none"/>
                      <w:vertAlign w:val="baseline"/>
                      <w:lang w:val="en-US" w:eastAsia="zh-CN"/>
                    </w:rPr>
                  </w:pPr>
                  <w:r>
                    <w:rPr>
                      <w:rFonts w:hint="eastAsia" w:eastAsia="仿宋" w:cs="Times New Roman"/>
                      <w:b/>
                      <w:bCs/>
                      <w:snapToGrid w:val="0"/>
                      <w:color w:val="auto"/>
                      <w:kern w:val="0"/>
                      <w:sz w:val="21"/>
                      <w:szCs w:val="21"/>
                      <w:highlight w:val="none"/>
                      <w:vertAlign w:val="baseline"/>
                      <w:lang w:val="en-US" w:eastAsia="zh-CN"/>
                    </w:rPr>
                    <w:t>项目对照情况</w:t>
                  </w:r>
                </w:p>
              </w:tc>
              <w:tc>
                <w:tcPr>
                  <w:tcW w:w="709" w:type="pct"/>
                  <w:vAlign w:val="center"/>
                </w:tcPr>
                <w:p w14:paraId="06B566A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b/>
                      <w:bCs/>
                      <w:snapToGrid w:val="0"/>
                      <w:color w:val="auto"/>
                      <w:kern w:val="0"/>
                      <w:sz w:val="21"/>
                      <w:szCs w:val="21"/>
                      <w:highlight w:val="none"/>
                      <w:vertAlign w:val="baseline"/>
                      <w:lang w:val="en-US" w:eastAsia="zh-CN"/>
                    </w:rPr>
                  </w:pPr>
                  <w:r>
                    <w:rPr>
                      <w:rFonts w:hint="eastAsia" w:eastAsia="仿宋" w:cs="Times New Roman"/>
                      <w:b/>
                      <w:bCs/>
                      <w:snapToGrid w:val="0"/>
                      <w:color w:val="auto"/>
                      <w:kern w:val="0"/>
                      <w:sz w:val="21"/>
                      <w:szCs w:val="21"/>
                      <w:highlight w:val="none"/>
                      <w:vertAlign w:val="baseline"/>
                      <w:lang w:val="en-US" w:eastAsia="zh-CN"/>
                    </w:rPr>
                    <w:t>本项目专项设置情况</w:t>
                  </w:r>
                </w:p>
              </w:tc>
            </w:tr>
            <w:tr w14:paraId="4F866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vAlign w:val="center"/>
                </w:tcPr>
                <w:p w14:paraId="6EB1AFC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地表水</w:t>
                  </w:r>
                </w:p>
              </w:tc>
              <w:tc>
                <w:tcPr>
                  <w:tcW w:w="2244" w:type="pct"/>
                  <w:vAlign w:val="center"/>
                </w:tcPr>
                <w:p w14:paraId="6904F1F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水力发电：引水式发电、涉及调峰发电的项目；</w:t>
                  </w:r>
                </w:p>
                <w:p w14:paraId="6A2378D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人工湖、人工湿地：全部；</w:t>
                  </w:r>
                </w:p>
                <w:p w14:paraId="2EB684A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水库：全部；</w:t>
                  </w:r>
                </w:p>
                <w:p w14:paraId="4A43C0C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引水工程：全部（配套的管线工程等除外）；</w:t>
                  </w:r>
                </w:p>
                <w:p w14:paraId="4475164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防洪除涝工程：包含水库的项目；</w:t>
                  </w:r>
                </w:p>
                <w:p w14:paraId="666E384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snapToGrid w:val="0"/>
                      <w:color w:val="auto"/>
                      <w:kern w:val="0"/>
                      <w:sz w:val="21"/>
                      <w:szCs w:val="21"/>
                      <w:highlight w:val="none"/>
                      <w:vertAlign w:val="baseline"/>
                      <w:lang w:val="en-US" w:eastAsia="zh-CN"/>
                    </w:rPr>
                  </w:pPr>
                  <w:r>
                    <w:rPr>
                      <w:rFonts w:hint="eastAsia" w:ascii="仿宋" w:hAnsi="仿宋" w:eastAsia="仿宋" w:cs="仿宋"/>
                      <w:color w:val="auto"/>
                      <w:sz w:val="21"/>
                      <w:szCs w:val="21"/>
                    </w:rPr>
                    <w:t>河湖整治：涉及清淤且底泥存在重金属污染的项目。</w:t>
                  </w:r>
                </w:p>
              </w:tc>
              <w:tc>
                <w:tcPr>
                  <w:tcW w:w="1276" w:type="pct"/>
                  <w:vAlign w:val="center"/>
                </w:tcPr>
                <w:p w14:paraId="49E3B1C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本项目为</w:t>
                  </w:r>
                  <w:r>
                    <w:rPr>
                      <w:rFonts w:hint="eastAsia" w:eastAsia="仿宋" w:cs="Times New Roman"/>
                      <w:snapToGrid w:val="0"/>
                      <w:color w:val="auto"/>
                      <w:kern w:val="0"/>
                      <w:sz w:val="21"/>
                      <w:szCs w:val="21"/>
                      <w:highlight w:val="none"/>
                      <w:lang w:val="en-US" w:eastAsia="zh-CN"/>
                    </w:rPr>
                    <w:t>桥梁</w:t>
                  </w:r>
                  <w:r>
                    <w:rPr>
                      <w:rFonts w:hint="eastAsia" w:eastAsia="仿宋" w:cs="Times New Roman"/>
                      <w:snapToGrid w:val="0"/>
                      <w:color w:val="auto"/>
                      <w:kern w:val="0"/>
                      <w:sz w:val="21"/>
                      <w:szCs w:val="21"/>
                      <w:highlight w:val="none"/>
                      <w:vertAlign w:val="baseline"/>
                      <w:lang w:val="en-US" w:eastAsia="zh-CN"/>
                    </w:rPr>
                    <w:t>项目，不属于地表水专项评价项目类别。</w:t>
                  </w:r>
                </w:p>
              </w:tc>
              <w:tc>
                <w:tcPr>
                  <w:tcW w:w="709" w:type="pct"/>
                  <w:vAlign w:val="center"/>
                </w:tcPr>
                <w:p w14:paraId="0B5E90C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不设置</w:t>
                  </w:r>
                </w:p>
              </w:tc>
            </w:tr>
            <w:tr w14:paraId="654D5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vAlign w:val="center"/>
                </w:tcPr>
                <w:p w14:paraId="227659A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地下水</w:t>
                  </w:r>
                </w:p>
              </w:tc>
              <w:tc>
                <w:tcPr>
                  <w:tcW w:w="2244" w:type="pct"/>
                  <w:vAlign w:val="center"/>
                </w:tcPr>
                <w:p w14:paraId="149D255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陆地石油和天然气开采：全部；</w:t>
                  </w:r>
                </w:p>
                <w:p w14:paraId="5066A8C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地下水（含矿泉水）开采：全部；</w:t>
                  </w:r>
                </w:p>
                <w:p w14:paraId="32CBBBB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snapToGrid w:val="0"/>
                      <w:color w:val="auto"/>
                      <w:kern w:val="0"/>
                      <w:sz w:val="21"/>
                      <w:szCs w:val="21"/>
                      <w:highlight w:val="none"/>
                      <w:vertAlign w:val="baseline"/>
                      <w:lang w:val="en-US" w:eastAsia="zh-CN"/>
                    </w:rPr>
                  </w:pPr>
                  <w:r>
                    <w:rPr>
                      <w:rFonts w:hint="eastAsia" w:ascii="仿宋" w:hAnsi="仿宋" w:eastAsia="仿宋" w:cs="仿宋"/>
                      <w:color w:val="auto"/>
                      <w:sz w:val="21"/>
                      <w:szCs w:val="21"/>
                    </w:rPr>
                    <w:t>水利、水电、交通等：含穿越可溶岩地层隧道的项目。</w:t>
                  </w:r>
                </w:p>
              </w:tc>
              <w:tc>
                <w:tcPr>
                  <w:tcW w:w="1276" w:type="pct"/>
                  <w:vAlign w:val="center"/>
                </w:tcPr>
                <w:p w14:paraId="388308F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本项目为</w:t>
                  </w:r>
                  <w:r>
                    <w:rPr>
                      <w:rFonts w:hint="eastAsia" w:eastAsia="仿宋" w:cs="Times New Roman"/>
                      <w:snapToGrid w:val="0"/>
                      <w:color w:val="auto"/>
                      <w:kern w:val="0"/>
                      <w:sz w:val="21"/>
                      <w:szCs w:val="21"/>
                      <w:highlight w:val="none"/>
                      <w:lang w:val="en-US" w:eastAsia="zh-CN"/>
                    </w:rPr>
                    <w:t>桥梁</w:t>
                  </w:r>
                  <w:r>
                    <w:rPr>
                      <w:rFonts w:hint="eastAsia" w:eastAsia="仿宋" w:cs="Times New Roman"/>
                      <w:snapToGrid w:val="0"/>
                      <w:color w:val="auto"/>
                      <w:kern w:val="0"/>
                      <w:sz w:val="21"/>
                      <w:szCs w:val="21"/>
                      <w:highlight w:val="none"/>
                      <w:vertAlign w:val="baseline"/>
                      <w:lang w:val="en-US" w:eastAsia="zh-CN"/>
                    </w:rPr>
                    <w:t>项目，不涉及隧道，不属于地下水专项评价项目类别。</w:t>
                  </w:r>
                </w:p>
              </w:tc>
              <w:tc>
                <w:tcPr>
                  <w:tcW w:w="709" w:type="pct"/>
                  <w:vAlign w:val="center"/>
                </w:tcPr>
                <w:p w14:paraId="324E6AE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不设置</w:t>
                  </w:r>
                </w:p>
              </w:tc>
            </w:tr>
            <w:tr w14:paraId="07019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vAlign w:val="center"/>
                </w:tcPr>
                <w:p w14:paraId="50591A9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生态</w:t>
                  </w:r>
                </w:p>
              </w:tc>
              <w:tc>
                <w:tcPr>
                  <w:tcW w:w="2244" w:type="pct"/>
                  <w:vAlign w:val="center"/>
                </w:tcPr>
                <w:p w14:paraId="380BB09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snapToGrid w:val="0"/>
                      <w:color w:val="auto"/>
                      <w:kern w:val="0"/>
                      <w:sz w:val="21"/>
                      <w:szCs w:val="21"/>
                      <w:highlight w:val="none"/>
                      <w:vertAlign w:val="baseline"/>
                      <w:lang w:val="en-US" w:eastAsia="zh-CN"/>
                    </w:rPr>
                  </w:pPr>
                  <w:r>
                    <w:rPr>
                      <w:rFonts w:hint="eastAsia" w:ascii="仿宋" w:hAnsi="仿宋" w:eastAsia="仿宋" w:cs="仿宋"/>
                      <w:color w:val="auto"/>
                      <w:sz w:val="21"/>
                      <w:szCs w:val="21"/>
                    </w:rPr>
                    <w:t>涉及环境敏感区（不包括饮用水水源保护区，以居住、医疗卫生、文化教育、科研、行政办公为主要功能的区域，以及文物保护单位）的项目。</w:t>
                  </w:r>
                </w:p>
              </w:tc>
              <w:tc>
                <w:tcPr>
                  <w:tcW w:w="1276" w:type="pct"/>
                  <w:vAlign w:val="center"/>
                </w:tcPr>
                <w:p w14:paraId="4F3C39B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本项目为</w:t>
                  </w:r>
                  <w:r>
                    <w:rPr>
                      <w:rFonts w:hint="eastAsia" w:eastAsia="仿宋" w:cs="Times New Roman"/>
                      <w:snapToGrid w:val="0"/>
                      <w:color w:val="auto"/>
                      <w:kern w:val="0"/>
                      <w:sz w:val="21"/>
                      <w:szCs w:val="21"/>
                      <w:highlight w:val="none"/>
                      <w:lang w:val="en-US" w:eastAsia="zh-CN"/>
                    </w:rPr>
                    <w:t>桥梁</w:t>
                  </w:r>
                  <w:r>
                    <w:rPr>
                      <w:rFonts w:hint="eastAsia" w:eastAsia="仿宋" w:cs="Times New Roman"/>
                      <w:snapToGrid w:val="0"/>
                      <w:color w:val="auto"/>
                      <w:kern w:val="0"/>
                      <w:sz w:val="21"/>
                      <w:szCs w:val="21"/>
                      <w:highlight w:val="none"/>
                      <w:vertAlign w:val="baseline"/>
                      <w:lang w:val="en-US" w:eastAsia="zh-CN"/>
                    </w:rPr>
                    <w:t>项目，《建设项目环境影响评价分类管理名录》针对该项目类别未列出敏感区，不属于生态专项评价项目类别。</w:t>
                  </w:r>
                </w:p>
              </w:tc>
              <w:tc>
                <w:tcPr>
                  <w:tcW w:w="709" w:type="pct"/>
                  <w:vAlign w:val="center"/>
                </w:tcPr>
                <w:p w14:paraId="6B3DA3A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不设置</w:t>
                  </w:r>
                </w:p>
              </w:tc>
            </w:tr>
            <w:tr w14:paraId="28D33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vAlign w:val="center"/>
                </w:tcPr>
                <w:p w14:paraId="14D9E46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大气</w:t>
                  </w:r>
                </w:p>
              </w:tc>
              <w:tc>
                <w:tcPr>
                  <w:tcW w:w="2244" w:type="pct"/>
                  <w:vAlign w:val="center"/>
                </w:tcPr>
                <w:p w14:paraId="0333818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油气、液体化工码头：全部；</w:t>
                  </w:r>
                </w:p>
                <w:p w14:paraId="2A5CA0D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snapToGrid w:val="0"/>
                      <w:color w:val="auto"/>
                      <w:kern w:val="0"/>
                      <w:sz w:val="21"/>
                      <w:szCs w:val="21"/>
                      <w:highlight w:val="none"/>
                      <w:vertAlign w:val="baseline"/>
                      <w:lang w:val="en-US" w:eastAsia="zh-CN"/>
                    </w:rPr>
                  </w:pPr>
                  <w:r>
                    <w:rPr>
                      <w:rFonts w:hint="eastAsia" w:ascii="仿宋" w:hAnsi="仿宋" w:eastAsia="仿宋" w:cs="仿宋"/>
                      <w:color w:val="auto"/>
                      <w:sz w:val="21"/>
                      <w:szCs w:val="21"/>
                    </w:rPr>
                    <w:t>干散货（含煤炭、矿石）、件杂、多用途、通用码头：涉及粉尘、挥发性有机物排放的项目。</w:t>
                  </w:r>
                </w:p>
              </w:tc>
              <w:tc>
                <w:tcPr>
                  <w:tcW w:w="1276" w:type="pct"/>
                  <w:vAlign w:val="center"/>
                </w:tcPr>
                <w:p w14:paraId="1251D3A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本项目为</w:t>
                  </w:r>
                  <w:r>
                    <w:rPr>
                      <w:rFonts w:hint="eastAsia" w:eastAsia="仿宋" w:cs="Times New Roman"/>
                      <w:snapToGrid w:val="0"/>
                      <w:color w:val="auto"/>
                      <w:kern w:val="0"/>
                      <w:sz w:val="21"/>
                      <w:szCs w:val="21"/>
                      <w:highlight w:val="none"/>
                      <w:lang w:val="en-US" w:eastAsia="zh-CN"/>
                    </w:rPr>
                    <w:t>桥梁</w:t>
                  </w:r>
                  <w:r>
                    <w:rPr>
                      <w:rFonts w:hint="eastAsia" w:eastAsia="仿宋" w:cs="Times New Roman"/>
                      <w:snapToGrid w:val="0"/>
                      <w:color w:val="auto"/>
                      <w:kern w:val="0"/>
                      <w:sz w:val="21"/>
                      <w:szCs w:val="21"/>
                      <w:highlight w:val="none"/>
                      <w:vertAlign w:val="baseline"/>
                      <w:lang w:val="en-US" w:eastAsia="zh-CN"/>
                    </w:rPr>
                    <w:t>项目，不属于大气专项评价项目类别。</w:t>
                  </w:r>
                </w:p>
              </w:tc>
              <w:tc>
                <w:tcPr>
                  <w:tcW w:w="709" w:type="pct"/>
                  <w:vAlign w:val="center"/>
                </w:tcPr>
                <w:p w14:paraId="2B4201A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不设置</w:t>
                  </w:r>
                </w:p>
              </w:tc>
            </w:tr>
            <w:tr w14:paraId="261CD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vAlign w:val="center"/>
                </w:tcPr>
                <w:p w14:paraId="47E574F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噪声</w:t>
                  </w:r>
                </w:p>
              </w:tc>
              <w:tc>
                <w:tcPr>
                  <w:tcW w:w="2244" w:type="pct"/>
                  <w:vAlign w:val="center"/>
                </w:tcPr>
                <w:p w14:paraId="09D00BB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snapToGrid w:val="0"/>
                      <w:color w:val="auto"/>
                      <w:kern w:val="0"/>
                      <w:sz w:val="21"/>
                      <w:szCs w:val="21"/>
                      <w:highlight w:val="none"/>
                      <w:vertAlign w:val="baseline"/>
                      <w:lang w:val="en-US" w:eastAsia="zh-CN"/>
                    </w:rPr>
                  </w:pPr>
                  <w:r>
                    <w:rPr>
                      <w:rFonts w:hint="eastAsia" w:ascii="仿宋" w:hAnsi="仿宋" w:eastAsia="仿宋" w:cs="仿宋"/>
                      <w:color w:val="auto"/>
                      <w:sz w:val="21"/>
                      <w:szCs w:val="21"/>
                    </w:rPr>
                    <w:t>公路、铁路、机场等交通运输业涉及环境敏感区（以居住、医疗卫生、文化教育、科研、行政办公为主要功能的区域）的项目；</w:t>
                  </w:r>
                  <w:r>
                    <w:rPr>
                      <w:rFonts w:hint="eastAsia" w:ascii="仿宋" w:hAnsi="仿宋" w:eastAsia="仿宋" w:cs="仿宋"/>
                      <w:color w:val="auto"/>
                      <w:sz w:val="21"/>
                      <w:szCs w:val="21"/>
                      <w:lang w:eastAsia="zh-CN"/>
                    </w:rPr>
                    <w:t>桥梁</w:t>
                  </w:r>
                  <w:r>
                    <w:rPr>
                      <w:rFonts w:hint="eastAsia" w:ascii="仿宋" w:hAnsi="仿宋" w:eastAsia="仿宋" w:cs="仿宋"/>
                      <w:color w:val="auto"/>
                      <w:sz w:val="21"/>
                      <w:szCs w:val="21"/>
                    </w:rPr>
                    <w:t>（不含维护，不含支路、人行天桥、人行地道）：全部。</w:t>
                  </w:r>
                </w:p>
              </w:tc>
              <w:tc>
                <w:tcPr>
                  <w:tcW w:w="1276" w:type="pct"/>
                  <w:vAlign w:val="center"/>
                </w:tcPr>
                <w:p w14:paraId="60CAB17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本项目为</w:t>
                  </w:r>
                  <w:r>
                    <w:rPr>
                      <w:rFonts w:hint="eastAsia" w:eastAsia="仿宋" w:cs="Times New Roman"/>
                      <w:snapToGrid w:val="0"/>
                      <w:color w:val="auto"/>
                      <w:kern w:val="0"/>
                      <w:sz w:val="21"/>
                      <w:szCs w:val="21"/>
                      <w:highlight w:val="none"/>
                      <w:lang w:val="en-US" w:eastAsia="zh-CN"/>
                    </w:rPr>
                    <w:t>城市道路</w:t>
                  </w:r>
                  <w:r>
                    <w:rPr>
                      <w:rFonts w:hint="eastAsia" w:eastAsia="仿宋" w:cs="Times New Roman"/>
                      <w:snapToGrid w:val="0"/>
                      <w:color w:val="auto"/>
                      <w:kern w:val="0"/>
                      <w:sz w:val="21"/>
                      <w:szCs w:val="21"/>
                      <w:highlight w:val="none"/>
                      <w:vertAlign w:val="baseline"/>
                      <w:lang w:val="en-US" w:eastAsia="zh-CN"/>
                    </w:rPr>
                    <w:t>项目，无机动车通行，不属于噪声专项评价项目类别。</w:t>
                  </w:r>
                </w:p>
              </w:tc>
              <w:tc>
                <w:tcPr>
                  <w:tcW w:w="709" w:type="pct"/>
                  <w:vAlign w:val="center"/>
                </w:tcPr>
                <w:p w14:paraId="002AAD6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不设置</w:t>
                  </w:r>
                </w:p>
              </w:tc>
            </w:tr>
            <w:tr w14:paraId="1B7B5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pct"/>
                  <w:vAlign w:val="center"/>
                </w:tcPr>
                <w:p w14:paraId="2B394FF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环境风险</w:t>
                  </w:r>
                </w:p>
              </w:tc>
              <w:tc>
                <w:tcPr>
                  <w:tcW w:w="2244" w:type="pct"/>
                  <w:vAlign w:val="center"/>
                </w:tcPr>
                <w:p w14:paraId="3B93313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石油和天然气开采：全部；</w:t>
                  </w:r>
                </w:p>
                <w:p w14:paraId="26DE2AC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color w:val="auto"/>
                      <w:sz w:val="21"/>
                      <w:szCs w:val="21"/>
                    </w:rPr>
                  </w:pPr>
                  <w:r>
                    <w:rPr>
                      <w:rFonts w:hint="eastAsia" w:ascii="仿宋" w:hAnsi="仿宋" w:eastAsia="仿宋" w:cs="仿宋"/>
                      <w:color w:val="auto"/>
                      <w:sz w:val="21"/>
                      <w:szCs w:val="21"/>
                    </w:rPr>
                    <w:t>油气、液体化工码头：全部；</w:t>
                  </w:r>
                </w:p>
                <w:p w14:paraId="75EC7D0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both"/>
                    <w:textAlignment w:val="baseline"/>
                    <w:rPr>
                      <w:rFonts w:hint="eastAsia" w:ascii="仿宋" w:hAnsi="仿宋" w:eastAsia="仿宋" w:cs="仿宋"/>
                      <w:snapToGrid w:val="0"/>
                      <w:color w:val="auto"/>
                      <w:kern w:val="0"/>
                      <w:sz w:val="21"/>
                      <w:szCs w:val="21"/>
                      <w:highlight w:val="none"/>
                      <w:vertAlign w:val="baseline"/>
                      <w:lang w:val="en-US" w:eastAsia="zh-CN"/>
                    </w:rPr>
                  </w:pPr>
                  <w:r>
                    <w:rPr>
                      <w:rFonts w:hint="eastAsia" w:ascii="仿宋" w:hAnsi="仿宋" w:eastAsia="仿宋" w:cs="仿宋"/>
                      <w:color w:val="auto"/>
                      <w:sz w:val="21"/>
                      <w:szCs w:val="21"/>
                    </w:rPr>
                    <w:t>原油、成品油、天然气管线（不含城镇天然气管线、企业厂区内管线），危险化学品输送管线（不含企业厂区内管线）：全部。</w:t>
                  </w:r>
                </w:p>
              </w:tc>
              <w:tc>
                <w:tcPr>
                  <w:tcW w:w="1276" w:type="pct"/>
                  <w:vAlign w:val="center"/>
                </w:tcPr>
                <w:p w14:paraId="320A665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本项目为</w:t>
                  </w:r>
                  <w:r>
                    <w:rPr>
                      <w:rFonts w:hint="eastAsia" w:eastAsia="仿宋" w:cs="Times New Roman"/>
                      <w:snapToGrid w:val="0"/>
                      <w:color w:val="auto"/>
                      <w:kern w:val="0"/>
                      <w:sz w:val="21"/>
                      <w:szCs w:val="21"/>
                      <w:highlight w:val="none"/>
                      <w:lang w:val="en-US" w:eastAsia="zh-CN"/>
                    </w:rPr>
                    <w:t>桥梁</w:t>
                  </w:r>
                  <w:r>
                    <w:rPr>
                      <w:rFonts w:hint="eastAsia" w:eastAsia="仿宋" w:cs="Times New Roman"/>
                      <w:snapToGrid w:val="0"/>
                      <w:color w:val="auto"/>
                      <w:kern w:val="0"/>
                      <w:sz w:val="21"/>
                      <w:szCs w:val="21"/>
                      <w:highlight w:val="none"/>
                      <w:vertAlign w:val="baseline"/>
                      <w:lang w:val="en-US" w:eastAsia="zh-CN"/>
                    </w:rPr>
                    <w:t>项目，不属于环境风险专项评价项目类别。</w:t>
                  </w:r>
                </w:p>
              </w:tc>
              <w:tc>
                <w:tcPr>
                  <w:tcW w:w="709" w:type="pct"/>
                  <w:vAlign w:val="center"/>
                </w:tcPr>
                <w:p w14:paraId="08C2F0F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vertAlign w:val="baseline"/>
                      <w:lang w:val="en-US" w:eastAsia="zh-CN"/>
                    </w:rPr>
                  </w:pPr>
                  <w:r>
                    <w:rPr>
                      <w:rFonts w:hint="eastAsia" w:eastAsia="仿宋" w:cs="Times New Roman"/>
                      <w:snapToGrid w:val="0"/>
                      <w:color w:val="auto"/>
                      <w:kern w:val="0"/>
                      <w:sz w:val="21"/>
                      <w:szCs w:val="21"/>
                      <w:highlight w:val="none"/>
                      <w:vertAlign w:val="baseline"/>
                      <w:lang w:val="en-US" w:eastAsia="zh-CN"/>
                    </w:rPr>
                    <w:t>不设置</w:t>
                  </w:r>
                </w:p>
              </w:tc>
            </w:tr>
          </w:tbl>
          <w:p w14:paraId="76056964">
            <w:pPr>
              <w:pStyle w:val="30"/>
              <w:rPr>
                <w:rFonts w:hint="default" w:eastAsia="仿宋" w:cs="Times New Roman"/>
                <w:snapToGrid w:val="0"/>
                <w:color w:val="auto"/>
                <w:kern w:val="0"/>
                <w:sz w:val="21"/>
                <w:szCs w:val="21"/>
                <w:highlight w:val="none"/>
                <w:lang w:val="en-US" w:eastAsia="zh-CN"/>
              </w:rPr>
            </w:pPr>
            <w:r>
              <w:rPr>
                <w:rFonts w:hint="eastAsia" w:ascii="Times New Roman" w:hAnsi="Times New Roman" w:eastAsia="仿宋" w:cs="Times New Roman"/>
                <w:snapToGrid w:val="0"/>
                <w:color w:val="auto"/>
                <w:kern w:val="0"/>
                <w:sz w:val="21"/>
                <w:szCs w:val="21"/>
                <w:highlight w:val="none"/>
                <w:lang w:val="en-US" w:eastAsia="zh-CN" w:bidi="ar-SA"/>
              </w:rPr>
              <w:t>注：“涉及环境敏感区”是指建设项目位于、穿（跨）越（无害化通过的除外）环境敏感区，或环境影响范围涵盖环境敏感区。环境敏感区是指《建设项目环境影响评价分类管理名录》中针对该类项目所列的敏感区。</w:t>
            </w:r>
          </w:p>
        </w:tc>
      </w:tr>
      <w:tr w14:paraId="50DB5C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7" w:hRule="atLeast"/>
          <w:jc w:val="center"/>
        </w:trPr>
        <w:tc>
          <w:tcPr>
            <w:tcW w:w="1517" w:type="dxa"/>
            <w:gridSpan w:val="2"/>
            <w:vAlign w:val="center"/>
          </w:tcPr>
          <w:p w14:paraId="1C2D18F2">
            <w:pPr>
              <w:widowControl/>
              <w:kinsoku w:val="0"/>
              <w:autoSpaceDE w:val="0"/>
              <w:autoSpaceDN w:val="0"/>
              <w:adjustRightInd w:val="0"/>
              <w:snapToGrid w:val="0"/>
              <w:spacing w:line="240" w:lineRule="auto"/>
              <w:ind w:firstLine="0" w:firstLineChars="0"/>
              <w:jc w:val="center"/>
              <w:textAlignment w:val="baseline"/>
              <w:rPr>
                <w:rFonts w:hint="eastAsia"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规划情况</w:t>
            </w:r>
          </w:p>
        </w:tc>
        <w:tc>
          <w:tcPr>
            <w:tcW w:w="8543" w:type="dxa"/>
            <w:gridSpan w:val="3"/>
            <w:vAlign w:val="center"/>
          </w:tcPr>
          <w:p w14:paraId="02490799">
            <w:pPr>
              <w:widowControl/>
              <w:kinsoku w:val="0"/>
              <w:autoSpaceDE w:val="0"/>
              <w:autoSpaceDN w:val="0"/>
              <w:adjustRightInd w:val="0"/>
              <w:snapToGrid w:val="0"/>
              <w:spacing w:line="240" w:lineRule="auto"/>
              <w:ind w:firstLine="0" w:firstLineChars="0"/>
              <w:jc w:val="left"/>
              <w:textAlignment w:val="baseline"/>
              <w:rPr>
                <w:rFonts w:hint="eastAsia" w:ascii="Times New Roman" w:hAnsi="Times New Roman" w:eastAsia="仿宋" w:cs="Times New Roman"/>
                <w:snapToGrid w:val="0"/>
                <w:color w:val="auto"/>
                <w:kern w:val="0"/>
                <w:sz w:val="21"/>
                <w:szCs w:val="21"/>
                <w:highlight w:val="none"/>
                <w:lang w:eastAsia="zh-CN"/>
              </w:rPr>
            </w:pPr>
            <w:r>
              <w:rPr>
                <w:rFonts w:hint="default" w:ascii="Times New Roman" w:hAnsi="Times New Roman" w:eastAsia="仿宋" w:cs="Times New Roman"/>
                <w:snapToGrid w:val="0"/>
                <w:color w:val="auto"/>
                <w:kern w:val="0"/>
                <w:sz w:val="21"/>
                <w:szCs w:val="21"/>
                <w:highlight w:val="none"/>
              </w:rPr>
              <w:t>规划名称：</w:t>
            </w:r>
            <w:r>
              <w:rPr>
                <w:rFonts w:hint="eastAsia" w:eastAsia="仿宋" w:cs="Times New Roman"/>
                <w:snapToGrid w:val="0"/>
                <w:color w:val="auto"/>
                <w:kern w:val="0"/>
                <w:sz w:val="21"/>
                <w:szCs w:val="21"/>
                <w:highlight w:val="none"/>
                <w:lang w:eastAsia="zh-CN"/>
              </w:rPr>
              <w:t>《常州市国土空间总体规划（2021-2035年）》</w:t>
            </w:r>
          </w:p>
          <w:p w14:paraId="3A4C9B29">
            <w:pPr>
              <w:widowControl/>
              <w:kinsoku w:val="0"/>
              <w:autoSpaceDE w:val="0"/>
              <w:autoSpaceDN w:val="0"/>
              <w:adjustRightInd w:val="0"/>
              <w:snapToGrid w:val="0"/>
              <w:spacing w:line="240" w:lineRule="auto"/>
              <w:ind w:firstLine="0" w:firstLineChars="0"/>
              <w:jc w:val="left"/>
              <w:textAlignment w:val="baseline"/>
              <w:rPr>
                <w:rFonts w:hint="eastAsia" w:eastAsia="仿宋" w:cs="Times New Roman"/>
                <w:snapToGrid w:val="0"/>
                <w:color w:val="auto"/>
                <w:kern w:val="0"/>
                <w:sz w:val="21"/>
                <w:szCs w:val="21"/>
                <w:highlight w:val="none"/>
                <w:lang w:val="en-US" w:eastAsia="zh-CN"/>
              </w:rPr>
            </w:pPr>
            <w:r>
              <w:rPr>
                <w:rFonts w:hint="default" w:ascii="Times New Roman" w:hAnsi="Times New Roman" w:eastAsia="仿宋" w:cs="Times New Roman"/>
                <w:snapToGrid w:val="0"/>
                <w:color w:val="auto"/>
                <w:kern w:val="0"/>
                <w:sz w:val="21"/>
                <w:szCs w:val="21"/>
                <w:highlight w:val="none"/>
              </w:rPr>
              <w:t>审批机关：</w:t>
            </w:r>
            <w:r>
              <w:rPr>
                <w:rFonts w:hint="eastAsia" w:eastAsia="仿宋" w:cs="Times New Roman"/>
                <w:snapToGrid w:val="0"/>
                <w:color w:val="auto"/>
                <w:kern w:val="0"/>
                <w:sz w:val="21"/>
                <w:szCs w:val="21"/>
                <w:highlight w:val="none"/>
                <w:lang w:val="en-US" w:eastAsia="zh-CN"/>
              </w:rPr>
              <w:t>江苏省人民政府</w:t>
            </w:r>
          </w:p>
          <w:p w14:paraId="4F9AAE7A">
            <w:pPr>
              <w:widowControl/>
              <w:kinsoku w:val="0"/>
              <w:autoSpaceDE w:val="0"/>
              <w:autoSpaceDN w:val="0"/>
              <w:adjustRightInd w:val="0"/>
              <w:snapToGrid w:val="0"/>
              <w:spacing w:line="240" w:lineRule="auto"/>
              <w:ind w:firstLine="0" w:firstLineChars="0"/>
              <w:jc w:val="left"/>
              <w:textAlignment w:val="baseline"/>
              <w:rPr>
                <w:rFonts w:hint="eastAsia" w:eastAsia="仿宋" w:cs="Times New Roman"/>
                <w:snapToGrid w:val="0"/>
                <w:color w:val="auto"/>
                <w:kern w:val="0"/>
                <w:sz w:val="21"/>
                <w:szCs w:val="21"/>
                <w:highlight w:val="none"/>
                <w:lang w:val="en-US" w:eastAsia="zh-CN"/>
              </w:rPr>
            </w:pPr>
            <w:r>
              <w:rPr>
                <w:rFonts w:hint="default" w:ascii="Times New Roman" w:hAnsi="Times New Roman" w:eastAsia="仿宋" w:cs="Times New Roman"/>
                <w:snapToGrid w:val="0"/>
                <w:color w:val="auto"/>
                <w:kern w:val="0"/>
                <w:sz w:val="21"/>
                <w:szCs w:val="21"/>
                <w:highlight w:val="none"/>
              </w:rPr>
              <w:t>审批文件名称及文号：</w:t>
            </w:r>
            <w:r>
              <w:rPr>
                <w:rFonts w:hint="eastAsia" w:eastAsia="仿宋" w:cs="Times New Roman"/>
                <w:snapToGrid w:val="0"/>
                <w:color w:val="auto"/>
                <w:kern w:val="0"/>
                <w:sz w:val="21"/>
                <w:szCs w:val="21"/>
                <w:highlight w:val="none"/>
                <w:lang w:val="en-US" w:eastAsia="zh-CN"/>
              </w:rPr>
              <w:t>/</w:t>
            </w:r>
          </w:p>
          <w:p w14:paraId="567B94BE">
            <w:pPr>
              <w:widowControl/>
              <w:kinsoku w:val="0"/>
              <w:autoSpaceDE w:val="0"/>
              <w:autoSpaceDN w:val="0"/>
              <w:adjustRightInd w:val="0"/>
              <w:snapToGrid w:val="0"/>
              <w:spacing w:line="240" w:lineRule="auto"/>
              <w:ind w:firstLine="0" w:firstLineChars="0"/>
              <w:jc w:val="left"/>
              <w:textAlignment w:val="baseline"/>
              <w:rPr>
                <w:rFonts w:hint="eastAsia" w:ascii="Times New Roman" w:hAnsi="Times New Roman" w:eastAsia="仿宋" w:cs="Times New Roman"/>
                <w:snapToGrid w:val="0"/>
                <w:color w:val="auto"/>
                <w:kern w:val="0"/>
                <w:sz w:val="21"/>
                <w:szCs w:val="21"/>
                <w:highlight w:val="none"/>
                <w:lang w:eastAsia="zh-CN"/>
              </w:rPr>
            </w:pPr>
            <w:r>
              <w:rPr>
                <w:rFonts w:hint="default" w:ascii="Times New Roman" w:hAnsi="Times New Roman" w:eastAsia="仿宋" w:cs="Times New Roman"/>
                <w:snapToGrid w:val="0"/>
                <w:color w:val="auto"/>
                <w:kern w:val="0"/>
                <w:sz w:val="21"/>
                <w:szCs w:val="21"/>
                <w:highlight w:val="none"/>
              </w:rPr>
              <w:t>规划名称：</w:t>
            </w:r>
            <w:r>
              <w:rPr>
                <w:rFonts w:hint="eastAsia" w:eastAsia="仿宋" w:cs="Times New Roman"/>
                <w:snapToGrid w:val="0"/>
                <w:color w:val="auto"/>
                <w:kern w:val="0"/>
                <w:sz w:val="21"/>
                <w:szCs w:val="21"/>
                <w:highlight w:val="none"/>
                <w:lang w:eastAsia="zh-CN"/>
              </w:rPr>
              <w:t>《常州市“两湖”创新区生态环境保护规划（2022-2035年）》</w:t>
            </w:r>
          </w:p>
          <w:p w14:paraId="3AB69934">
            <w:pPr>
              <w:widowControl/>
              <w:kinsoku w:val="0"/>
              <w:autoSpaceDE w:val="0"/>
              <w:autoSpaceDN w:val="0"/>
              <w:adjustRightInd w:val="0"/>
              <w:snapToGrid w:val="0"/>
              <w:spacing w:line="240" w:lineRule="auto"/>
              <w:ind w:firstLine="0" w:firstLineChars="0"/>
              <w:jc w:val="left"/>
              <w:textAlignment w:val="baseline"/>
              <w:rPr>
                <w:rFonts w:hint="default" w:ascii="Times New Roman" w:hAnsi="Times New Roman" w:eastAsia="仿宋" w:cs="Times New Roman"/>
                <w:snapToGrid w:val="0"/>
                <w:color w:val="auto"/>
                <w:kern w:val="0"/>
                <w:sz w:val="21"/>
                <w:szCs w:val="21"/>
                <w:highlight w:val="none"/>
                <w:lang w:val="en-US" w:eastAsia="zh-CN"/>
              </w:rPr>
            </w:pPr>
            <w:r>
              <w:rPr>
                <w:rFonts w:hint="default" w:ascii="Times New Roman" w:hAnsi="Times New Roman" w:eastAsia="仿宋" w:cs="Times New Roman"/>
                <w:snapToGrid w:val="0"/>
                <w:color w:val="auto"/>
                <w:kern w:val="0"/>
                <w:sz w:val="21"/>
                <w:szCs w:val="21"/>
                <w:highlight w:val="none"/>
              </w:rPr>
              <w:t>审批机关：</w:t>
            </w:r>
            <w:r>
              <w:rPr>
                <w:rFonts w:hint="eastAsia" w:eastAsia="仿宋" w:cs="Times New Roman"/>
                <w:snapToGrid w:val="0"/>
                <w:color w:val="auto"/>
                <w:kern w:val="0"/>
                <w:sz w:val="21"/>
                <w:szCs w:val="21"/>
                <w:highlight w:val="none"/>
                <w:lang w:val="en-US" w:eastAsia="zh-CN"/>
              </w:rPr>
              <w:t>常州市人民政府</w:t>
            </w:r>
          </w:p>
          <w:p w14:paraId="425B6461">
            <w:pPr>
              <w:widowControl/>
              <w:kinsoku w:val="0"/>
              <w:autoSpaceDE w:val="0"/>
              <w:autoSpaceDN w:val="0"/>
              <w:adjustRightInd w:val="0"/>
              <w:snapToGrid w:val="0"/>
              <w:spacing w:line="240" w:lineRule="auto"/>
              <w:ind w:firstLine="0" w:firstLineChars="0"/>
              <w:jc w:val="left"/>
              <w:textAlignment w:val="baseline"/>
              <w:rPr>
                <w:rFonts w:hint="eastAsia" w:eastAsia="仿宋" w:cs="Times New Roman"/>
                <w:snapToGrid w:val="0"/>
                <w:color w:val="auto"/>
                <w:kern w:val="0"/>
                <w:sz w:val="21"/>
                <w:szCs w:val="21"/>
                <w:highlight w:val="none"/>
                <w:lang w:val="en-US" w:eastAsia="zh-CN"/>
              </w:rPr>
            </w:pPr>
            <w:r>
              <w:rPr>
                <w:rFonts w:hint="default" w:ascii="Times New Roman" w:hAnsi="Times New Roman" w:eastAsia="仿宋" w:cs="Times New Roman"/>
                <w:snapToGrid w:val="0"/>
                <w:color w:val="auto"/>
                <w:kern w:val="0"/>
                <w:sz w:val="21"/>
                <w:szCs w:val="21"/>
                <w:highlight w:val="none"/>
              </w:rPr>
              <w:t>审批文件名称及文号：</w:t>
            </w:r>
            <w:r>
              <w:rPr>
                <w:rFonts w:hint="eastAsia" w:eastAsia="仿宋" w:cs="Times New Roman"/>
                <w:snapToGrid w:val="0"/>
                <w:color w:val="auto"/>
                <w:kern w:val="0"/>
                <w:sz w:val="21"/>
                <w:szCs w:val="21"/>
                <w:highlight w:val="none"/>
                <w:lang w:val="en-US" w:eastAsia="zh-CN"/>
              </w:rPr>
              <w:t>/</w:t>
            </w:r>
          </w:p>
          <w:p w14:paraId="2D6E8CEC">
            <w:pPr>
              <w:widowControl/>
              <w:kinsoku w:val="0"/>
              <w:autoSpaceDE w:val="0"/>
              <w:autoSpaceDN w:val="0"/>
              <w:adjustRightInd w:val="0"/>
              <w:snapToGrid w:val="0"/>
              <w:spacing w:line="240" w:lineRule="auto"/>
              <w:ind w:firstLine="0" w:firstLineChars="0"/>
              <w:jc w:val="left"/>
              <w:textAlignment w:val="baseline"/>
              <w:rPr>
                <w:rFonts w:hint="eastAsia" w:ascii="Times New Roman" w:hAnsi="Times New Roman" w:eastAsia="仿宋" w:cs="Times New Roman"/>
                <w:snapToGrid w:val="0"/>
                <w:color w:val="auto"/>
                <w:kern w:val="0"/>
                <w:sz w:val="21"/>
                <w:szCs w:val="21"/>
                <w:highlight w:val="none"/>
                <w:lang w:eastAsia="zh-CN"/>
              </w:rPr>
            </w:pPr>
            <w:r>
              <w:rPr>
                <w:rFonts w:hint="default" w:ascii="Times New Roman" w:hAnsi="Times New Roman" w:eastAsia="仿宋" w:cs="Times New Roman"/>
                <w:snapToGrid w:val="0"/>
                <w:color w:val="auto"/>
                <w:kern w:val="0"/>
                <w:sz w:val="21"/>
                <w:szCs w:val="21"/>
                <w:highlight w:val="none"/>
              </w:rPr>
              <w:t>规划名称：</w:t>
            </w:r>
            <w:r>
              <w:rPr>
                <w:rFonts w:hint="eastAsia" w:eastAsia="仿宋" w:cs="Times New Roman"/>
                <w:snapToGrid w:val="0"/>
                <w:color w:val="auto"/>
                <w:kern w:val="0"/>
                <w:sz w:val="21"/>
                <w:szCs w:val="21"/>
                <w:highlight w:val="none"/>
                <w:lang w:eastAsia="zh-CN"/>
              </w:rPr>
              <w:t>《常州市金坛区国土空间生态保护和修复规划（2021-2035）》</w:t>
            </w:r>
          </w:p>
          <w:p w14:paraId="7F300D15">
            <w:pPr>
              <w:widowControl/>
              <w:kinsoku w:val="0"/>
              <w:autoSpaceDE w:val="0"/>
              <w:autoSpaceDN w:val="0"/>
              <w:adjustRightInd w:val="0"/>
              <w:snapToGrid w:val="0"/>
              <w:spacing w:line="240" w:lineRule="auto"/>
              <w:ind w:firstLine="0" w:firstLineChars="0"/>
              <w:jc w:val="left"/>
              <w:textAlignment w:val="baseline"/>
              <w:rPr>
                <w:rFonts w:hint="default" w:ascii="Times New Roman" w:hAnsi="Times New Roman" w:eastAsia="仿宋" w:cs="Times New Roman"/>
                <w:snapToGrid w:val="0"/>
                <w:color w:val="auto"/>
                <w:kern w:val="0"/>
                <w:sz w:val="21"/>
                <w:szCs w:val="21"/>
                <w:highlight w:val="none"/>
                <w:lang w:val="en-US" w:eastAsia="zh-CN"/>
              </w:rPr>
            </w:pPr>
            <w:r>
              <w:rPr>
                <w:rFonts w:hint="default" w:ascii="Times New Roman" w:hAnsi="Times New Roman" w:eastAsia="仿宋" w:cs="Times New Roman"/>
                <w:snapToGrid w:val="0"/>
                <w:color w:val="auto"/>
                <w:kern w:val="0"/>
                <w:sz w:val="21"/>
                <w:szCs w:val="21"/>
                <w:highlight w:val="none"/>
              </w:rPr>
              <w:t>审批机关：</w:t>
            </w:r>
            <w:r>
              <w:rPr>
                <w:rFonts w:hint="eastAsia" w:eastAsia="仿宋" w:cs="Times New Roman"/>
                <w:snapToGrid w:val="0"/>
                <w:color w:val="auto"/>
                <w:kern w:val="0"/>
                <w:sz w:val="21"/>
                <w:szCs w:val="21"/>
                <w:highlight w:val="none"/>
                <w:lang w:val="en-US" w:eastAsia="zh-CN"/>
              </w:rPr>
              <w:t>常州市金坛区人民政府</w:t>
            </w:r>
          </w:p>
          <w:p w14:paraId="40C72CCA">
            <w:pPr>
              <w:widowControl/>
              <w:kinsoku w:val="0"/>
              <w:autoSpaceDE w:val="0"/>
              <w:autoSpaceDN w:val="0"/>
              <w:adjustRightInd w:val="0"/>
              <w:snapToGrid w:val="0"/>
              <w:spacing w:line="240" w:lineRule="auto"/>
              <w:ind w:firstLine="0" w:firstLineChars="0"/>
              <w:jc w:val="left"/>
              <w:textAlignment w:val="baseline"/>
              <w:rPr>
                <w:rFonts w:hint="default"/>
                <w:lang w:val="en-US" w:eastAsia="zh-CN"/>
              </w:rPr>
            </w:pPr>
            <w:r>
              <w:rPr>
                <w:rFonts w:hint="default" w:ascii="Times New Roman" w:hAnsi="Times New Roman" w:eastAsia="仿宋" w:cs="Times New Roman"/>
                <w:snapToGrid w:val="0"/>
                <w:color w:val="auto"/>
                <w:kern w:val="0"/>
                <w:sz w:val="21"/>
                <w:szCs w:val="21"/>
                <w:highlight w:val="none"/>
              </w:rPr>
              <w:t>审批文件名称及文号：</w:t>
            </w:r>
            <w:r>
              <w:rPr>
                <w:rFonts w:hint="eastAsia" w:eastAsia="仿宋" w:cs="Times New Roman"/>
                <w:snapToGrid w:val="0"/>
                <w:color w:val="auto"/>
                <w:kern w:val="0"/>
                <w:sz w:val="21"/>
                <w:szCs w:val="21"/>
                <w:highlight w:val="none"/>
                <w:lang w:val="en-US" w:eastAsia="zh-CN"/>
              </w:rPr>
              <w:t>/</w:t>
            </w:r>
          </w:p>
        </w:tc>
      </w:tr>
      <w:tr w14:paraId="627CE3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62" w:hRule="atLeast"/>
          <w:jc w:val="center"/>
        </w:trPr>
        <w:tc>
          <w:tcPr>
            <w:tcW w:w="1517" w:type="dxa"/>
            <w:gridSpan w:val="2"/>
            <w:vAlign w:val="center"/>
          </w:tcPr>
          <w:p w14:paraId="47E37088">
            <w:pPr>
              <w:widowControl/>
              <w:kinsoku w:val="0"/>
              <w:autoSpaceDE w:val="0"/>
              <w:autoSpaceDN w:val="0"/>
              <w:adjustRightInd w:val="0"/>
              <w:snapToGrid w:val="0"/>
              <w:spacing w:line="240" w:lineRule="auto"/>
              <w:ind w:firstLine="0" w:firstLineChars="0"/>
              <w:jc w:val="center"/>
              <w:textAlignment w:val="baseline"/>
              <w:rPr>
                <w:rFonts w:hint="default" w:eastAsia="仿宋" w:cs="Times New Roman"/>
                <w:snapToGrid w:val="0"/>
                <w:color w:val="auto"/>
                <w:kern w:val="0"/>
                <w:sz w:val="21"/>
                <w:szCs w:val="21"/>
                <w:highlight w:val="none"/>
                <w:lang w:val="en-US" w:eastAsia="zh-CN"/>
              </w:rPr>
            </w:pPr>
            <w:r>
              <w:rPr>
                <w:rFonts w:hint="eastAsia" w:eastAsia="仿宋" w:cs="Times New Roman"/>
                <w:snapToGrid w:val="0"/>
                <w:color w:val="auto"/>
                <w:kern w:val="0"/>
                <w:sz w:val="21"/>
                <w:szCs w:val="21"/>
                <w:highlight w:val="none"/>
                <w:lang w:val="en-US" w:eastAsia="zh-CN"/>
              </w:rPr>
              <w:t>规划环境影响评价情况</w:t>
            </w:r>
          </w:p>
        </w:tc>
        <w:tc>
          <w:tcPr>
            <w:tcW w:w="8543" w:type="dxa"/>
            <w:gridSpan w:val="3"/>
            <w:vAlign w:val="center"/>
          </w:tcPr>
          <w:p w14:paraId="0325FBC2">
            <w:pPr>
              <w:widowControl/>
              <w:kinsoku w:val="0"/>
              <w:autoSpaceDE w:val="0"/>
              <w:autoSpaceDN w:val="0"/>
              <w:adjustRightInd w:val="0"/>
              <w:snapToGrid w:val="0"/>
              <w:spacing w:line="240" w:lineRule="auto"/>
              <w:ind w:firstLine="0" w:firstLineChars="0"/>
              <w:jc w:val="center"/>
              <w:textAlignment w:val="baseline"/>
              <w:rPr>
                <w:rFonts w:hint="eastAsia" w:eastAsia="仿宋"/>
                <w:color w:val="auto"/>
                <w:highlight w:val="none"/>
                <w:lang w:val="en-US" w:eastAsia="zh-CN"/>
              </w:rPr>
            </w:pPr>
            <w:r>
              <w:rPr>
                <w:rFonts w:hint="eastAsia" w:eastAsia="仿宋" w:cs="Times New Roman"/>
                <w:snapToGrid w:val="0"/>
                <w:color w:val="auto"/>
                <w:kern w:val="0"/>
                <w:sz w:val="21"/>
                <w:szCs w:val="21"/>
                <w:highlight w:val="none"/>
                <w:lang w:val="en-US" w:eastAsia="zh-CN"/>
              </w:rPr>
              <w:t>无</w:t>
            </w:r>
          </w:p>
        </w:tc>
      </w:tr>
      <w:tr w14:paraId="53A6F9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9" w:hRule="atLeast"/>
          <w:jc w:val="center"/>
        </w:trPr>
        <w:tc>
          <w:tcPr>
            <w:tcW w:w="694" w:type="dxa"/>
            <w:vAlign w:val="center"/>
          </w:tcPr>
          <w:p w14:paraId="78F7F1EF">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snapToGrid w:val="0"/>
                <w:color w:val="auto"/>
                <w:kern w:val="0"/>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bidi="ar-SA"/>
              </w:rPr>
              <w:t>规划及规划环境影响评价符合性分析</w:t>
            </w:r>
          </w:p>
        </w:tc>
        <w:tc>
          <w:tcPr>
            <w:tcW w:w="9366" w:type="dxa"/>
            <w:gridSpan w:val="4"/>
            <w:vAlign w:val="center"/>
          </w:tcPr>
          <w:p w14:paraId="3128A4EF">
            <w:pPr>
              <w:keepNext w:val="0"/>
              <w:keepLines w:val="0"/>
              <w:pageBreakBefore w:val="0"/>
              <w:widowControl/>
              <w:kinsoku w:val="0"/>
              <w:wordWrap/>
              <w:overflowPunct/>
              <w:topLinePunct w:val="0"/>
              <w:autoSpaceDE w:val="0"/>
              <w:autoSpaceDN w:val="0"/>
              <w:bidi w:val="0"/>
              <w:adjustRightInd/>
              <w:snapToGrid/>
              <w:spacing w:line="360" w:lineRule="auto"/>
              <w:ind w:firstLine="0" w:firstLineChars="0"/>
              <w:jc w:val="left"/>
              <w:textAlignment w:val="baseline"/>
              <w:rPr>
                <w:rFonts w:hint="default" w:ascii="Times New Roman" w:hAnsi="Times New Roman" w:eastAsia="仿宋" w:cs="Times New Roman"/>
                <w:b/>
                <w:bCs/>
                <w:color w:val="auto"/>
                <w:sz w:val="22"/>
                <w:szCs w:val="21"/>
                <w:highlight w:val="none"/>
                <w:lang w:val="en-US" w:eastAsia="zh-CN"/>
              </w:rPr>
            </w:pPr>
            <w:r>
              <w:rPr>
                <w:rFonts w:hint="default" w:ascii="Times New Roman" w:hAnsi="Times New Roman" w:eastAsia="仿宋" w:cs="Times New Roman"/>
                <w:b/>
                <w:bCs/>
                <w:color w:val="auto"/>
                <w:sz w:val="22"/>
                <w:szCs w:val="21"/>
                <w:highlight w:val="none"/>
                <w:lang w:val="en-US" w:eastAsia="zh-CN"/>
              </w:rPr>
              <w:t>规划相符性分析</w:t>
            </w:r>
          </w:p>
          <w:p w14:paraId="54BCC40E">
            <w:pPr>
              <w:pStyle w:val="9"/>
              <w:keepNext w:val="0"/>
              <w:keepLines w:val="0"/>
              <w:pageBreakBefore w:val="0"/>
              <w:wordWrap/>
              <w:overflowPunct/>
              <w:topLinePunct w:val="0"/>
              <w:bidi w:val="0"/>
              <w:rPr>
                <w:rFonts w:hint="eastAsia" w:eastAsia="仿宋" w:cs="Times New Roman"/>
                <w:snapToGrid w:val="0"/>
                <w:color w:val="auto"/>
                <w:kern w:val="0"/>
                <w:sz w:val="24"/>
                <w:szCs w:val="24"/>
                <w:highlight w:val="none"/>
                <w:lang w:eastAsia="zh-CN"/>
              </w:rPr>
            </w:pPr>
            <w:r>
              <w:rPr>
                <w:rFonts w:hint="eastAsia" w:eastAsia="仿宋" w:cs="Times New Roman"/>
                <w:snapToGrid w:val="0"/>
                <w:color w:val="auto"/>
                <w:kern w:val="0"/>
                <w:sz w:val="24"/>
                <w:szCs w:val="24"/>
                <w:highlight w:val="none"/>
                <w:lang w:eastAsia="zh-CN"/>
              </w:rPr>
              <w:t>《常州市国土空间总体规划（2021-2035 年）》中提出“推进综合交通体系区域一体化和城乡一体化，优化市政设施布局，提升城市综合承载能力和保障水平，构建韧性可靠的城乡安全体系。”</w:t>
            </w:r>
          </w:p>
          <w:p w14:paraId="0C82E953">
            <w:pPr>
              <w:pStyle w:val="9"/>
              <w:keepNext w:val="0"/>
              <w:keepLines w:val="0"/>
              <w:pageBreakBefore w:val="0"/>
              <w:wordWrap/>
              <w:overflowPunct/>
              <w:topLinePunct w:val="0"/>
              <w:bidi w:val="0"/>
              <w:rPr>
                <w:rFonts w:hint="eastAsia" w:eastAsia="仿宋" w:cs="Times New Roman"/>
                <w:snapToGrid w:val="0"/>
                <w:color w:val="auto"/>
                <w:kern w:val="0"/>
                <w:sz w:val="24"/>
                <w:szCs w:val="24"/>
                <w:highlight w:val="none"/>
                <w:lang w:eastAsia="zh-CN"/>
              </w:rPr>
            </w:pPr>
            <w:r>
              <w:rPr>
                <w:rFonts w:hint="eastAsia" w:eastAsia="仿宋" w:cs="Times New Roman"/>
                <w:snapToGrid w:val="0"/>
                <w:color w:val="auto"/>
                <w:kern w:val="0"/>
                <w:sz w:val="24"/>
                <w:szCs w:val="24"/>
                <w:highlight w:val="none"/>
                <w:lang w:eastAsia="zh-CN"/>
              </w:rPr>
              <w:t>本项目是为了确保区域活动的有序进行和公共安全，在紧急情况下能够迅速、有效地疏散人流，保障人民群众的生命安全，有利于提升城市综合保障水平的重点项目，已被列入《常州市国土空间总体规划（2021-2035 年）》重点项目建设清单，</w:t>
            </w:r>
            <w:r>
              <w:rPr>
                <w:rFonts w:hint="eastAsia" w:eastAsia="仿宋" w:cs="Times New Roman"/>
                <w:snapToGrid w:val="0"/>
                <w:color w:val="auto"/>
                <w:kern w:val="0"/>
                <w:sz w:val="24"/>
                <w:szCs w:val="24"/>
                <w:highlight w:val="none"/>
                <w:lang w:val="en-US" w:eastAsia="zh-CN"/>
              </w:rPr>
              <w:t>具体情况见下图</w:t>
            </w:r>
            <w:r>
              <w:rPr>
                <w:rFonts w:hint="eastAsia" w:eastAsia="仿宋" w:cs="Times New Roman"/>
                <w:snapToGrid w:val="0"/>
                <w:color w:val="auto"/>
                <w:kern w:val="0"/>
                <w:sz w:val="24"/>
                <w:szCs w:val="24"/>
                <w:highlight w:val="none"/>
                <w:lang w:eastAsia="zh-CN"/>
              </w:rPr>
              <w:t>。</w:t>
            </w:r>
          </w:p>
          <w:p w14:paraId="7851325A">
            <w:pPr>
              <w:pStyle w:val="10"/>
              <w:numPr>
                <w:ilvl w:val="0"/>
                <w:numId w:val="0"/>
              </w:numPr>
              <w:rPr>
                <w:rFonts w:hint="eastAsia"/>
                <w:lang w:eastAsia="zh-CN"/>
              </w:rPr>
            </w:pPr>
            <w:r>
              <w:drawing>
                <wp:inline distT="0" distB="0" distL="114300" distR="114300">
                  <wp:extent cx="5514975" cy="5514975"/>
                  <wp:effectExtent l="0" t="0" r="9525" b="952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4"/>
                          <a:stretch>
                            <a:fillRect/>
                          </a:stretch>
                        </pic:blipFill>
                        <pic:spPr>
                          <a:xfrm>
                            <a:off x="0" y="0"/>
                            <a:ext cx="5514975" cy="5514975"/>
                          </a:xfrm>
                          <a:prstGeom prst="rect">
                            <a:avLst/>
                          </a:prstGeom>
                          <a:noFill/>
                          <a:ln>
                            <a:noFill/>
                          </a:ln>
                        </pic:spPr>
                      </pic:pic>
                    </a:graphicData>
                  </a:graphic>
                </wp:inline>
              </w:drawing>
            </w:r>
          </w:p>
          <w:p w14:paraId="3056D2F6">
            <w:pPr>
              <w:widowControl/>
              <w:ind w:left="0" w:leftChars="0" w:firstLine="0" w:firstLineChars="0"/>
              <w:jc w:val="center"/>
              <w:rPr>
                <w:rFonts w:hint="default" w:ascii="Times New Roman" w:hAnsi="Times New Roman" w:eastAsia="仿宋" w:cs="Times New Roman"/>
                <w:b/>
                <w:bCs/>
                <w:color w:val="auto"/>
                <w:kern w:val="0"/>
                <w:sz w:val="24"/>
                <w:highlight w:val="none"/>
                <w:lang w:val="en-US" w:eastAsia="zh-CN" w:bidi="ar"/>
              </w:rPr>
            </w:pPr>
            <w:r>
              <w:rPr>
                <w:rFonts w:hint="eastAsia" w:ascii="Times New Roman" w:hAnsi="Times New Roman" w:eastAsia="仿宋" w:cs="Times New Roman"/>
                <w:b/>
                <w:bCs/>
                <w:color w:val="auto"/>
                <w:kern w:val="0"/>
                <w:sz w:val="24"/>
                <w:highlight w:val="none"/>
                <w:lang w:val="en-US" w:eastAsia="zh-CN" w:bidi="ar"/>
              </w:rPr>
              <w:t>图1-1 项目与《常州市国土空间总体规划（2021-2035 年）》衔接示意图</w:t>
            </w:r>
          </w:p>
          <w:p w14:paraId="51A11B3D">
            <w:pPr>
              <w:pStyle w:val="9"/>
              <w:keepNext w:val="0"/>
              <w:keepLines w:val="0"/>
              <w:pageBreakBefore w:val="0"/>
              <w:wordWrap/>
              <w:overflowPunct/>
              <w:topLinePunct w:val="0"/>
              <w:bidi w:val="0"/>
              <w:rPr>
                <w:rFonts w:hint="default" w:eastAsia="仿宋" w:cs="Times New Roman"/>
                <w:snapToGrid w:val="0"/>
                <w:color w:val="auto"/>
                <w:kern w:val="0"/>
                <w:sz w:val="24"/>
                <w:szCs w:val="24"/>
                <w:highlight w:val="none"/>
                <w:lang w:val="en-US" w:eastAsia="zh-CN"/>
              </w:rPr>
            </w:pPr>
            <w:r>
              <w:rPr>
                <w:rFonts w:hint="eastAsia" w:eastAsia="仿宋" w:cs="Times New Roman"/>
                <w:snapToGrid w:val="0"/>
                <w:color w:val="auto"/>
                <w:kern w:val="0"/>
                <w:sz w:val="24"/>
                <w:szCs w:val="24"/>
                <w:highlight w:val="none"/>
                <w:lang w:eastAsia="zh-CN"/>
              </w:rPr>
              <w:t>《常州市“两湖”创新区生态环境保护规划（2022-2035年）》</w:t>
            </w:r>
            <w:r>
              <w:rPr>
                <w:rFonts w:hint="eastAsia" w:eastAsia="仿宋" w:cs="Times New Roman"/>
                <w:snapToGrid w:val="0"/>
                <w:color w:val="auto"/>
                <w:kern w:val="0"/>
                <w:sz w:val="24"/>
                <w:szCs w:val="24"/>
                <w:highlight w:val="none"/>
                <w:lang w:val="en-US" w:eastAsia="zh-CN"/>
              </w:rPr>
              <w:t>中提出了“价值提升，水乡特色。以湖为基，以河为脉、以水为魂，挖掘文化底蕴，彰显江南水乡特质，着力提升“两湖”生态服务功能，促进区域生态价值的转化与增值。”的基本原则，要实现城乡统筹高质量发展，奠定人与自然和谐共生的生态基石。</w:t>
            </w:r>
          </w:p>
          <w:p w14:paraId="74F331A8">
            <w:pPr>
              <w:pStyle w:val="9"/>
              <w:keepNext w:val="0"/>
              <w:keepLines w:val="0"/>
              <w:pageBreakBefore w:val="0"/>
              <w:wordWrap/>
              <w:overflowPunct/>
              <w:topLinePunct w:val="0"/>
              <w:bidi w:val="0"/>
              <w:rPr>
                <w:rFonts w:hint="default" w:eastAsia="仿宋" w:cs="Times New Roman"/>
                <w:snapToGrid w:val="0"/>
                <w:color w:val="auto"/>
                <w:kern w:val="0"/>
                <w:sz w:val="24"/>
                <w:szCs w:val="24"/>
                <w:highlight w:val="none"/>
                <w:lang w:val="en-US" w:eastAsia="zh-CN"/>
              </w:rPr>
            </w:pPr>
            <w:r>
              <w:rPr>
                <w:rFonts w:hint="eastAsia" w:eastAsia="仿宋" w:cs="Times New Roman"/>
                <w:snapToGrid w:val="0"/>
                <w:color w:val="auto"/>
                <w:kern w:val="0"/>
                <w:sz w:val="24"/>
                <w:szCs w:val="24"/>
                <w:highlight w:val="none"/>
                <w:lang w:val="en-US" w:eastAsia="zh-CN"/>
              </w:rPr>
              <w:t>本项目为应急疏散通道工程，同时也是环长荡湖骑行路线的重要组成部分，符合第二节第二点交通领域中“集约利用土地等资源，推动各类交通运输方式深度融合，推动绿色交通骨架建设。核心区居民出行应以“公交＋慢行”为主导，规划“安全、连续、便捷、舒适”的高品质步行和自行车交通系统，非核心区以“快轨＋快速干道”为主导、快捷出行的绿色交通系统。”的要求，工程建设可以有效衔接环长荡湖慢行断点与骑行盲点，形成串联内外的清晰环线，提升整体慢行体验打造层次清晰的多功能环湖步道，提升环湖区域居民绿色出行的便捷性、安全性与舒适性。</w:t>
            </w:r>
          </w:p>
          <w:p w14:paraId="0F8B0C46">
            <w:pPr>
              <w:pStyle w:val="9"/>
              <w:keepNext w:val="0"/>
              <w:keepLines w:val="0"/>
              <w:pageBreakBefore w:val="0"/>
              <w:wordWrap/>
              <w:overflowPunct/>
              <w:topLinePunct w:val="0"/>
              <w:bidi w:val="0"/>
              <w:rPr>
                <w:rFonts w:hint="eastAsia" w:eastAsia="仿宋" w:cs="Times New Roman"/>
                <w:color w:val="auto"/>
                <w:highlight w:val="none"/>
                <w:lang w:val="en-US" w:eastAsia="zh-CN"/>
              </w:rPr>
            </w:pPr>
            <w:r>
              <w:rPr>
                <w:rFonts w:hint="eastAsia" w:eastAsia="仿宋" w:cs="Times New Roman"/>
                <w:snapToGrid w:val="0"/>
                <w:color w:val="auto"/>
                <w:kern w:val="0"/>
                <w:sz w:val="24"/>
                <w:szCs w:val="24"/>
                <w:highlight w:val="none"/>
                <w:lang w:eastAsia="zh-CN"/>
              </w:rPr>
              <w:t>《常州市金坛区国土空间生态保护和修复规划（2021-2035）》</w:t>
            </w:r>
            <w:r>
              <w:rPr>
                <w:rFonts w:hint="eastAsia" w:eastAsia="仿宋" w:cs="Times New Roman"/>
                <w:color w:val="auto"/>
                <w:sz w:val="24"/>
                <w:szCs w:val="24"/>
                <w:highlight w:val="none"/>
                <w:lang w:val="en-US" w:eastAsia="zh-CN"/>
              </w:rPr>
              <w:t>中：</w:t>
            </w:r>
          </w:p>
          <w:p w14:paraId="0173E8B1">
            <w:pPr>
              <w:pStyle w:val="9"/>
              <w:keepNext w:val="0"/>
              <w:keepLines w:val="0"/>
              <w:pageBreakBefore w:val="0"/>
              <w:wordWrap/>
              <w:overflowPunct/>
              <w:topLinePunct w:val="0"/>
              <w:bidi w:val="0"/>
              <w:rPr>
                <w:rFonts w:hint="eastAsia" w:ascii="Times New Roman" w:hAnsi="Times New Roman" w:eastAsia="仿宋" w:cs="Times New Roman"/>
                <w:color w:val="auto"/>
                <w:highlight w:val="none"/>
                <w:lang w:val="en-US" w:eastAsia="zh-CN"/>
              </w:rPr>
            </w:pPr>
            <w:r>
              <w:rPr>
                <w:rFonts w:hint="eastAsia" w:ascii="Times New Roman" w:hAnsi="Times New Roman" w:eastAsia="仿宋" w:cs="Times New Roman"/>
                <w:color w:val="auto"/>
                <w:highlight w:val="none"/>
                <w:lang w:val="en-US" w:eastAsia="zh-CN"/>
              </w:rPr>
              <w:t>一、规划范围</w:t>
            </w:r>
          </w:p>
          <w:p w14:paraId="5E5C0C2D">
            <w:pPr>
              <w:pStyle w:val="9"/>
              <w:keepNext w:val="0"/>
              <w:keepLines w:val="0"/>
              <w:pageBreakBefore w:val="0"/>
              <w:wordWrap/>
              <w:overflowPunct/>
              <w:topLinePunct w:val="0"/>
              <w:bidi w:val="0"/>
              <w:rPr>
                <w:rFonts w:hint="eastAsia" w:eastAsia="仿宋" w:cs="Times New Roman"/>
                <w:color w:val="auto"/>
                <w:highlight w:val="none"/>
                <w:lang w:val="en-US" w:eastAsia="zh-CN"/>
              </w:rPr>
            </w:pPr>
            <w:r>
              <w:rPr>
                <w:rFonts w:hint="eastAsia" w:eastAsia="仿宋" w:cs="Times New Roman"/>
                <w:color w:val="auto"/>
                <w:highlight w:val="none"/>
                <w:lang w:val="en-US" w:eastAsia="zh-CN"/>
              </w:rPr>
              <w:t>常州市</w:t>
            </w:r>
            <w:r>
              <w:rPr>
                <w:rFonts w:hint="default" w:ascii="Times New Roman" w:hAnsi="Times New Roman" w:eastAsia="仿宋" w:cs="Times New Roman"/>
                <w:color w:val="auto"/>
                <w:highlight w:val="none"/>
                <w:lang w:val="en-US" w:eastAsia="zh-CN"/>
              </w:rPr>
              <w:t>金坛</w:t>
            </w:r>
            <w:r>
              <w:rPr>
                <w:rFonts w:hint="eastAsia" w:eastAsia="仿宋" w:cs="Times New Roman"/>
                <w:color w:val="auto"/>
                <w:highlight w:val="none"/>
                <w:lang w:val="en-US" w:eastAsia="zh-CN"/>
              </w:rPr>
              <w:t>区行政区</w:t>
            </w:r>
            <w:r>
              <w:rPr>
                <w:rFonts w:hint="default" w:ascii="Times New Roman" w:hAnsi="Times New Roman" w:eastAsia="仿宋" w:cs="Times New Roman"/>
                <w:color w:val="auto"/>
                <w:highlight w:val="none"/>
                <w:lang w:val="en-US" w:eastAsia="zh-CN"/>
              </w:rPr>
              <w:t>域</w:t>
            </w:r>
            <w:r>
              <w:rPr>
                <w:rFonts w:hint="eastAsia" w:eastAsia="仿宋" w:cs="Times New Roman"/>
                <w:color w:val="auto"/>
                <w:highlight w:val="none"/>
                <w:lang w:val="en-US" w:eastAsia="zh-CN"/>
              </w:rPr>
              <w:t>范围内的全部国土空间</w:t>
            </w:r>
            <w:r>
              <w:rPr>
                <w:rFonts w:hint="default" w:ascii="Times New Roman" w:hAnsi="Times New Roman" w:eastAsia="仿宋" w:cs="Times New Roman"/>
                <w:color w:val="auto"/>
                <w:highlight w:val="none"/>
                <w:lang w:val="en-US" w:eastAsia="zh-CN"/>
              </w:rPr>
              <w:t>，面积97</w:t>
            </w:r>
            <w:r>
              <w:rPr>
                <w:rFonts w:hint="eastAsia" w:eastAsia="仿宋" w:cs="Times New Roman"/>
                <w:color w:val="auto"/>
                <w:highlight w:val="none"/>
                <w:lang w:val="en-US" w:eastAsia="zh-CN"/>
              </w:rPr>
              <w:t>5</w:t>
            </w:r>
            <w:r>
              <w:rPr>
                <w:rFonts w:hint="default" w:ascii="Times New Roman" w:hAnsi="Times New Roman" w:eastAsia="仿宋" w:cs="Times New Roman"/>
                <w:color w:val="auto"/>
                <w:highlight w:val="none"/>
                <w:lang w:val="en-US" w:eastAsia="zh-CN"/>
              </w:rPr>
              <w:t>.</w:t>
            </w:r>
            <w:r>
              <w:rPr>
                <w:rFonts w:hint="eastAsia" w:eastAsia="仿宋" w:cs="Times New Roman"/>
                <w:color w:val="auto"/>
                <w:highlight w:val="none"/>
                <w:lang w:val="en-US" w:eastAsia="zh-CN"/>
              </w:rPr>
              <w:t>68</w:t>
            </w:r>
            <w:r>
              <w:rPr>
                <w:rFonts w:hint="default" w:ascii="Times New Roman" w:hAnsi="Times New Roman" w:eastAsia="仿宋" w:cs="Times New Roman"/>
                <w:color w:val="auto"/>
                <w:highlight w:val="none"/>
                <w:lang w:val="en-US" w:eastAsia="zh-CN"/>
              </w:rPr>
              <w:t>平方公里</w:t>
            </w:r>
            <w:r>
              <w:rPr>
                <w:rFonts w:hint="eastAsia" w:eastAsia="仿宋" w:cs="Times New Roman"/>
                <w:color w:val="auto"/>
                <w:highlight w:val="none"/>
                <w:lang w:val="en-US" w:eastAsia="zh-CN"/>
              </w:rPr>
              <w:t>。</w:t>
            </w:r>
          </w:p>
          <w:p w14:paraId="59B4EB0C">
            <w:pPr>
              <w:pStyle w:val="9"/>
              <w:keepNext w:val="0"/>
              <w:keepLines w:val="0"/>
              <w:pageBreakBefore w:val="0"/>
              <w:wordWrap/>
              <w:overflowPunct/>
              <w:topLinePunct w:val="0"/>
              <w:bidi w:val="0"/>
              <w:rPr>
                <w:rFonts w:hint="eastAsia" w:ascii="Times New Roman" w:hAnsi="Times New Roman" w:eastAsia="仿宋" w:cs="Times New Roman"/>
                <w:color w:val="auto"/>
                <w:highlight w:val="none"/>
                <w:lang w:val="en-US" w:eastAsia="zh-CN"/>
              </w:rPr>
            </w:pPr>
            <w:r>
              <w:rPr>
                <w:rFonts w:hint="eastAsia" w:ascii="Times New Roman" w:hAnsi="Times New Roman" w:eastAsia="仿宋" w:cs="Times New Roman"/>
                <w:color w:val="auto"/>
                <w:highlight w:val="none"/>
                <w:lang w:val="en-US" w:eastAsia="zh-CN"/>
              </w:rPr>
              <w:t>二、规划期限</w:t>
            </w:r>
          </w:p>
          <w:p w14:paraId="1D7DD429">
            <w:pPr>
              <w:pStyle w:val="9"/>
              <w:keepNext w:val="0"/>
              <w:keepLines w:val="0"/>
              <w:pageBreakBefore w:val="0"/>
              <w:wordWrap/>
              <w:overflowPunct/>
              <w:topLinePunct w:val="0"/>
              <w:bidi w:val="0"/>
              <w:rPr>
                <w:rFonts w:hint="default" w:ascii="Times New Roman" w:hAnsi="Times New Roman" w:eastAsia="仿宋" w:cs="Times New Roman"/>
                <w:color w:val="auto"/>
                <w:highlight w:val="none"/>
                <w:lang w:val="en-US" w:eastAsia="zh-CN"/>
              </w:rPr>
            </w:pPr>
            <w:r>
              <w:rPr>
                <w:rFonts w:hint="default" w:ascii="Times New Roman" w:hAnsi="Times New Roman" w:eastAsia="仿宋" w:cs="Times New Roman"/>
                <w:color w:val="auto"/>
                <w:highlight w:val="none"/>
                <w:lang w:val="en-US" w:eastAsia="zh-CN"/>
              </w:rPr>
              <w:t>规划期为2021-2035年，规划基准年为2020年，规划近期为2021-2025年，规划中远期为2026-2035年。</w:t>
            </w:r>
          </w:p>
          <w:p w14:paraId="19BCF6E3">
            <w:pPr>
              <w:pStyle w:val="9"/>
              <w:keepNext w:val="0"/>
              <w:keepLines w:val="0"/>
              <w:pageBreakBefore w:val="0"/>
              <w:wordWrap/>
              <w:overflowPunct/>
              <w:topLinePunct w:val="0"/>
              <w:bidi w:val="0"/>
              <w:rPr>
                <w:rFonts w:hint="default" w:ascii="Times New Roman" w:hAnsi="Times New Roman" w:eastAsia="仿宋" w:cs="Times New Roman"/>
                <w:color w:val="auto"/>
                <w:highlight w:val="none"/>
                <w:lang w:val="en-US" w:eastAsia="zh-CN"/>
              </w:rPr>
            </w:pPr>
            <w:r>
              <w:rPr>
                <w:rFonts w:hint="eastAsia" w:eastAsia="仿宋" w:cs="Times New Roman"/>
                <w:color w:val="auto"/>
                <w:highlight w:val="none"/>
                <w:lang w:val="en-US" w:eastAsia="zh-CN"/>
              </w:rPr>
              <w:t>三</w:t>
            </w:r>
            <w:r>
              <w:rPr>
                <w:rFonts w:hint="default" w:ascii="Times New Roman" w:hAnsi="Times New Roman" w:eastAsia="仿宋" w:cs="Times New Roman"/>
                <w:color w:val="auto"/>
                <w:highlight w:val="none"/>
                <w:lang w:val="en-US" w:eastAsia="zh-CN"/>
              </w:rPr>
              <w:t>、</w:t>
            </w:r>
            <w:r>
              <w:rPr>
                <w:rFonts w:hint="eastAsia" w:eastAsia="仿宋" w:cs="Times New Roman"/>
                <w:color w:val="auto"/>
                <w:highlight w:val="none"/>
                <w:lang w:val="en-US" w:eastAsia="zh-CN"/>
              </w:rPr>
              <w:t>规划相符性</w:t>
            </w:r>
          </w:p>
          <w:p w14:paraId="01D6498C">
            <w:pPr>
              <w:pStyle w:val="9"/>
              <w:keepNext w:val="0"/>
              <w:keepLines w:val="0"/>
              <w:pageBreakBefore w:val="0"/>
              <w:wordWrap/>
              <w:overflowPunct/>
              <w:topLinePunct w:val="0"/>
              <w:bidi w:val="0"/>
              <w:rPr>
                <w:rFonts w:hint="default" w:ascii="Times New Roman" w:hAnsi="Times New Roman" w:eastAsia="仿宋" w:cs="Times New Roman"/>
                <w:color w:val="auto"/>
                <w:highlight w:val="none"/>
                <w:lang w:val="en-US" w:eastAsia="zh-CN"/>
              </w:rPr>
            </w:pPr>
            <w:r>
              <w:rPr>
                <w:rFonts w:hint="eastAsia" w:eastAsia="仿宋" w:cs="Times New Roman"/>
                <w:snapToGrid w:val="0"/>
                <w:color w:val="auto"/>
                <w:kern w:val="0"/>
                <w:sz w:val="24"/>
                <w:szCs w:val="24"/>
                <w:highlight w:val="none"/>
                <w:lang w:eastAsia="zh-CN"/>
              </w:rPr>
              <w:t>《常州市金坛区国土空间生态保护和修复规划（2021-2035）》</w:t>
            </w:r>
            <w:r>
              <w:rPr>
                <w:rFonts w:hint="eastAsia" w:eastAsia="仿宋" w:cs="Times New Roman"/>
                <w:snapToGrid w:val="0"/>
                <w:color w:val="auto"/>
                <w:kern w:val="0"/>
                <w:sz w:val="24"/>
                <w:szCs w:val="24"/>
                <w:highlight w:val="none"/>
                <w:lang w:val="en-US" w:eastAsia="zh-CN"/>
              </w:rPr>
              <w:t>中国土空间生态保护和修复重点区域表中第三点指出，长荡湖湿地生态保护和修复重点区应“</w:t>
            </w:r>
            <w:r>
              <w:rPr>
                <w:rFonts w:hint="eastAsia" w:eastAsia="仿宋" w:cs="Times New Roman"/>
                <w:color w:val="auto"/>
                <w:highlight w:val="none"/>
                <w:lang w:val="en-US" w:eastAsia="zh-CN"/>
              </w:rPr>
              <w:t>加强环湖周边湿地保护，实施退圩退房、还湖还湿，建设滨水风景廊道和消涨带植物护坡，恢复退化湿地植被；加强长荡湖水环境治理，控制外部污染，开展湖体清淤和入湖河道清淤，提高水环境质量；加强生物多样性保护，开展水生生物增殖放流，建设千亩保种试验区。”</w:t>
            </w:r>
          </w:p>
          <w:p w14:paraId="347DA115">
            <w:pPr>
              <w:pStyle w:val="9"/>
              <w:keepNext w:val="0"/>
              <w:keepLines w:val="0"/>
              <w:pageBreakBefore w:val="0"/>
              <w:wordWrap/>
              <w:overflowPunct/>
              <w:topLinePunct w:val="0"/>
              <w:bidi w:val="0"/>
              <w:rPr>
                <w:rFonts w:hint="default"/>
                <w:color w:val="auto"/>
                <w:highlight w:val="none"/>
                <w:lang w:val="en-US" w:eastAsia="zh-CN"/>
              </w:rPr>
            </w:pPr>
            <w:r>
              <w:rPr>
                <w:rFonts w:hint="default" w:ascii="Times New Roman" w:hAnsi="Times New Roman" w:eastAsia="仿宋" w:cs="Times New Roman"/>
                <w:color w:val="auto"/>
                <w:highlight w:val="none"/>
                <w:lang w:val="en-US" w:eastAsia="zh-CN"/>
              </w:rPr>
              <w:t>本项目</w:t>
            </w:r>
            <w:r>
              <w:rPr>
                <w:rFonts w:hint="eastAsia" w:ascii="Times New Roman" w:hAnsi="Times New Roman" w:eastAsia="仿宋" w:cs="Times New Roman"/>
                <w:color w:val="auto"/>
                <w:highlight w:val="none"/>
                <w:lang w:val="en-US" w:eastAsia="zh-CN"/>
              </w:rPr>
              <w:t>施工</w:t>
            </w:r>
            <w:r>
              <w:rPr>
                <w:rFonts w:hint="default" w:ascii="Times New Roman" w:hAnsi="Times New Roman" w:eastAsia="仿宋" w:cs="Times New Roman"/>
                <w:color w:val="auto"/>
                <w:highlight w:val="none"/>
                <w:lang w:val="en-US" w:eastAsia="zh-CN"/>
              </w:rPr>
              <w:t>地点为江苏省常州市金坛区河海大道与丹桂南路交叉口以南、长荡湖北岸</w:t>
            </w:r>
            <w:r>
              <w:rPr>
                <w:rFonts w:hint="eastAsia" w:ascii="Times New Roman" w:hAnsi="Times New Roman" w:eastAsia="仿宋" w:cs="Times New Roman"/>
                <w:color w:val="auto"/>
                <w:highlight w:val="none"/>
                <w:lang w:val="en-US" w:eastAsia="zh-CN"/>
              </w:rPr>
              <w:t>，</w:t>
            </w:r>
            <w:r>
              <w:rPr>
                <w:rFonts w:hint="eastAsia" w:eastAsia="仿宋" w:cs="Times New Roman"/>
                <w:color w:val="auto"/>
                <w:highlight w:val="none"/>
                <w:lang w:val="en-US" w:eastAsia="zh-CN"/>
              </w:rPr>
              <w:t>位于规划区域内，根据常州市金坛区2022年度国土变更调查结果，项目所在陆域现为农田。建设项目为长荡湖体育休闲房车营地—应急疏散通道项目，项目属于滨水风景廊道的重要组成部分，同时可配合附近体育休闲房车营地实现退圩退房、还湖还湿，恢复退化湿地植被的功能，为房车营地的运营提供安全保障。</w:t>
            </w:r>
          </w:p>
        </w:tc>
      </w:tr>
      <w:tr w14:paraId="4FB5B5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9" w:hRule="atLeast"/>
          <w:jc w:val="center"/>
        </w:trPr>
        <w:tc>
          <w:tcPr>
            <w:tcW w:w="694" w:type="dxa"/>
            <w:vAlign w:val="center"/>
          </w:tcPr>
          <w:p w14:paraId="0CBC708B">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其他</w:t>
            </w:r>
          </w:p>
          <w:p w14:paraId="50034784">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p w14:paraId="0F93A6DA">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性分</w:t>
            </w:r>
          </w:p>
          <w:p w14:paraId="34F21EFF">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default"/>
                <w:color w:val="auto"/>
                <w:highlight w:val="none"/>
                <w:lang w:val="en-US" w:eastAsia="zh-CN"/>
              </w:rPr>
            </w:pPr>
            <w:r>
              <w:rPr>
                <w:rFonts w:hint="eastAsia" w:ascii="Times New Roman" w:hAnsi="Times New Roman" w:eastAsia="仿宋" w:cs="Times New Roman"/>
                <w:color w:val="auto"/>
                <w:sz w:val="21"/>
                <w:szCs w:val="21"/>
                <w:highlight w:val="none"/>
                <w:lang w:val="en-US" w:eastAsia="zh-CN" w:bidi="ar-SA"/>
              </w:rPr>
              <w:t>析</w:t>
            </w:r>
          </w:p>
        </w:tc>
        <w:tc>
          <w:tcPr>
            <w:tcW w:w="9366" w:type="dxa"/>
            <w:gridSpan w:val="4"/>
          </w:tcPr>
          <w:p w14:paraId="02259EE7">
            <w:pPr>
              <w:pStyle w:val="9"/>
              <w:ind w:left="0" w:leftChars="0" w:firstLine="0" w:firstLineChars="0"/>
              <w:rPr>
                <w:rFonts w:hint="default" w:ascii="Times New Roman" w:hAnsi="Times New Roman" w:eastAsia="仿宋" w:cs="Times New Roman"/>
                <w:b/>
                <w:bCs/>
                <w:color w:val="auto"/>
                <w:highlight w:val="none"/>
                <w:lang w:val="en-US" w:eastAsia="zh-CN"/>
              </w:rPr>
            </w:pPr>
            <w:r>
              <w:rPr>
                <w:rFonts w:hint="eastAsia" w:eastAsia="仿宋" w:cs="Times New Roman"/>
                <w:b/>
                <w:bCs/>
                <w:color w:val="auto"/>
                <w:highlight w:val="none"/>
                <w:lang w:val="en-US" w:eastAsia="zh-CN"/>
              </w:rPr>
              <w:t>一、产业政策符合性分析</w:t>
            </w:r>
          </w:p>
          <w:p w14:paraId="5F2B68B3">
            <w:pPr>
              <w:widowControl/>
              <w:ind w:firstLine="480" w:firstLineChars="200"/>
              <w:jc w:val="left"/>
              <w:rPr>
                <w:rFonts w:ascii="Times New Roman" w:hAnsi="Times New Roman" w:eastAsia="仿宋" w:cs="Times New Roman"/>
                <w:color w:val="auto"/>
                <w:sz w:val="24"/>
                <w:highlight w:val="none"/>
              </w:rPr>
            </w:pPr>
            <w:r>
              <w:rPr>
                <w:rFonts w:ascii="Times New Roman" w:hAnsi="Times New Roman" w:eastAsia="仿宋" w:cs="Times New Roman"/>
                <w:color w:val="auto"/>
                <w:kern w:val="0"/>
                <w:sz w:val="24"/>
                <w:highlight w:val="none"/>
                <w:lang w:bidi="ar"/>
              </w:rPr>
              <w:t>本项目产业政策相符性分析具体见表1-</w:t>
            </w:r>
            <w:r>
              <w:rPr>
                <w:rFonts w:hint="eastAsia" w:eastAsia="仿宋" w:cs="Times New Roman"/>
                <w:color w:val="auto"/>
                <w:kern w:val="0"/>
                <w:sz w:val="24"/>
                <w:highlight w:val="none"/>
                <w:lang w:val="en-US" w:eastAsia="zh-CN" w:bidi="ar"/>
              </w:rPr>
              <w:t>2</w:t>
            </w:r>
            <w:r>
              <w:rPr>
                <w:rFonts w:hint="default" w:ascii="Times New Roman" w:hAnsi="Times New Roman" w:eastAsia="仿宋" w:cs="Times New Roman"/>
                <w:color w:val="auto"/>
                <w:kern w:val="0"/>
                <w:sz w:val="24"/>
                <w:highlight w:val="none"/>
                <w:lang w:bidi="ar"/>
              </w:rPr>
              <w:t>。</w:t>
            </w:r>
          </w:p>
          <w:p w14:paraId="076C9EE5">
            <w:pPr>
              <w:widowControl/>
              <w:ind w:left="0" w:leftChars="0" w:firstLine="0" w:firstLineChars="0"/>
              <w:jc w:val="center"/>
              <w:rPr>
                <w:rFonts w:ascii="Times New Roman" w:hAnsi="Times New Roman" w:eastAsia="仿宋" w:cs="Times New Roman"/>
                <w:color w:val="auto"/>
                <w:sz w:val="24"/>
                <w:highlight w:val="none"/>
              </w:rPr>
            </w:pPr>
            <w:r>
              <w:rPr>
                <w:rFonts w:hint="default" w:ascii="Times New Roman" w:hAnsi="Times New Roman" w:eastAsia="仿宋" w:cs="Times New Roman"/>
                <w:b/>
                <w:bCs/>
                <w:color w:val="auto"/>
                <w:kern w:val="0"/>
                <w:sz w:val="24"/>
                <w:highlight w:val="none"/>
                <w:lang w:bidi="ar"/>
              </w:rPr>
              <w:t>表</w:t>
            </w:r>
            <w:r>
              <w:rPr>
                <w:rFonts w:ascii="Times New Roman" w:hAnsi="Times New Roman" w:eastAsia="仿宋" w:cs="Times New Roman"/>
                <w:b/>
                <w:bCs/>
                <w:color w:val="auto"/>
                <w:kern w:val="0"/>
                <w:sz w:val="24"/>
                <w:highlight w:val="none"/>
                <w:lang w:bidi="ar"/>
              </w:rPr>
              <w:t>1-</w:t>
            </w:r>
            <w:r>
              <w:rPr>
                <w:rFonts w:hint="eastAsia" w:eastAsia="仿宋" w:cs="Times New Roman"/>
                <w:b/>
                <w:bCs/>
                <w:color w:val="auto"/>
                <w:kern w:val="0"/>
                <w:sz w:val="24"/>
                <w:highlight w:val="none"/>
                <w:lang w:val="en-US" w:eastAsia="zh-CN" w:bidi="ar"/>
              </w:rPr>
              <w:t>2</w:t>
            </w:r>
            <w:r>
              <w:rPr>
                <w:rFonts w:ascii="Times New Roman" w:hAnsi="Times New Roman" w:eastAsia="仿宋" w:cs="Times New Roman"/>
                <w:b/>
                <w:bCs/>
                <w:color w:val="auto"/>
                <w:kern w:val="0"/>
                <w:sz w:val="24"/>
                <w:highlight w:val="none"/>
                <w:lang w:bidi="ar"/>
              </w:rPr>
              <w:t xml:space="preserve"> </w:t>
            </w:r>
            <w:r>
              <w:rPr>
                <w:rFonts w:hint="default" w:ascii="Times New Roman" w:hAnsi="Times New Roman" w:eastAsia="仿宋" w:cs="Times New Roman"/>
                <w:b/>
                <w:bCs/>
                <w:color w:val="auto"/>
                <w:kern w:val="0"/>
                <w:sz w:val="24"/>
                <w:highlight w:val="none"/>
                <w:lang w:bidi="ar"/>
              </w:rPr>
              <w:t>本项目产业政策相符性分析</w:t>
            </w:r>
          </w:p>
          <w:tbl>
            <w:tblPr>
              <w:tblStyle w:val="24"/>
              <w:tblW w:w="78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6261"/>
              <w:gridCol w:w="868"/>
            </w:tblGrid>
            <w:tr w14:paraId="4C90B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3C251F13">
                  <w:pPr>
                    <w:pStyle w:val="9"/>
                    <w:keepNext w:val="0"/>
                    <w:keepLines w:val="0"/>
                    <w:pageBreakBefore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判断类型</w:t>
                  </w:r>
                </w:p>
              </w:tc>
              <w:tc>
                <w:tcPr>
                  <w:tcW w:w="6261" w:type="dxa"/>
                  <w:vAlign w:val="center"/>
                </w:tcPr>
                <w:p w14:paraId="7C436422">
                  <w:pPr>
                    <w:pStyle w:val="9"/>
                    <w:keepNext w:val="0"/>
                    <w:keepLines w:val="0"/>
                    <w:pageBreakBefore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对照简析</w:t>
                  </w:r>
                </w:p>
              </w:tc>
              <w:tc>
                <w:tcPr>
                  <w:tcW w:w="868" w:type="dxa"/>
                  <w:vAlign w:val="center"/>
                </w:tcPr>
                <w:p w14:paraId="5D91E300">
                  <w:pPr>
                    <w:pStyle w:val="9"/>
                    <w:keepNext w:val="0"/>
                    <w:keepLines w:val="0"/>
                    <w:pageBreakBefore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是否满足要求</w:t>
                  </w:r>
                </w:p>
              </w:tc>
            </w:tr>
            <w:tr w14:paraId="0032C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Merge w:val="restart"/>
                  <w:vAlign w:val="center"/>
                </w:tcPr>
                <w:p w14:paraId="656667B2">
                  <w:pPr>
                    <w:pStyle w:val="9"/>
                    <w:keepNext w:val="0"/>
                    <w:keepLines w:val="0"/>
                    <w:pageBreakBefore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产业政策</w:t>
                  </w:r>
                </w:p>
              </w:tc>
              <w:tc>
                <w:tcPr>
                  <w:tcW w:w="6261" w:type="dxa"/>
                  <w:vAlign w:val="center"/>
                </w:tcPr>
                <w:p w14:paraId="456899A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仿宋" w:cs="Times New Roman"/>
                      <w:color w:val="auto"/>
                      <w:sz w:val="21"/>
                      <w:szCs w:val="21"/>
                      <w:highlight w:val="none"/>
                    </w:rPr>
                  </w:pPr>
                  <w:r>
                    <w:rPr>
                      <w:rFonts w:hint="default" w:ascii="Times New Roman" w:hAnsi="Times New Roman" w:eastAsia="仿宋" w:cs="Times New Roman"/>
                      <w:color w:val="auto"/>
                      <w:kern w:val="2"/>
                      <w:sz w:val="21"/>
                      <w:szCs w:val="21"/>
                      <w:highlight w:val="none"/>
                      <w:lang w:val="en-US" w:eastAsia="zh-CN" w:bidi="ar-SA"/>
                    </w:rPr>
                    <w:t>本项目属于</w:t>
                  </w:r>
                  <w:r>
                    <w:rPr>
                      <w:rFonts w:hint="eastAsia" w:eastAsia="仿宋" w:cs="Times New Roman"/>
                      <w:color w:val="auto"/>
                      <w:kern w:val="2"/>
                      <w:sz w:val="21"/>
                      <w:szCs w:val="21"/>
                      <w:highlight w:val="none"/>
                      <w:lang w:val="en-US" w:eastAsia="zh-CN" w:bidi="ar-SA"/>
                    </w:rPr>
                    <w:t>桥梁</w:t>
                  </w:r>
                  <w:r>
                    <w:rPr>
                      <w:rFonts w:hint="default" w:ascii="Times New Roman" w:hAnsi="Times New Roman" w:eastAsia="仿宋" w:cs="Times New Roman"/>
                      <w:color w:val="auto"/>
                      <w:kern w:val="2"/>
                      <w:sz w:val="21"/>
                      <w:szCs w:val="21"/>
                      <w:highlight w:val="none"/>
                      <w:lang w:val="en-US" w:eastAsia="zh-CN" w:bidi="ar-SA"/>
                    </w:rPr>
                    <w:t>项目，不属于《产业结构调整指导目录（</w:t>
                  </w:r>
                  <w:r>
                    <w:rPr>
                      <w:rFonts w:hint="eastAsia" w:eastAsia="仿宋" w:cs="Times New Roman"/>
                      <w:color w:val="auto"/>
                      <w:kern w:val="2"/>
                      <w:sz w:val="21"/>
                      <w:szCs w:val="21"/>
                      <w:highlight w:val="none"/>
                      <w:lang w:val="en-US" w:eastAsia="zh-CN" w:bidi="ar-SA"/>
                    </w:rPr>
                    <w:t>2024</w:t>
                  </w:r>
                  <w:r>
                    <w:rPr>
                      <w:rFonts w:hint="default" w:ascii="Times New Roman" w:hAnsi="Times New Roman" w:eastAsia="仿宋" w:cs="Times New Roman"/>
                      <w:color w:val="auto"/>
                      <w:kern w:val="2"/>
                      <w:sz w:val="21"/>
                      <w:szCs w:val="21"/>
                      <w:highlight w:val="none"/>
                      <w:lang w:val="en-US" w:eastAsia="zh-CN" w:bidi="ar-SA"/>
                    </w:rPr>
                    <w:t>年本）》中限制和淘汰类项目</w:t>
                  </w:r>
                </w:p>
              </w:tc>
              <w:tc>
                <w:tcPr>
                  <w:tcW w:w="868" w:type="dxa"/>
                  <w:vAlign w:val="center"/>
                </w:tcPr>
                <w:p w14:paraId="0971D5CA">
                  <w:pPr>
                    <w:pStyle w:val="9"/>
                    <w:keepNext w:val="0"/>
                    <w:keepLines w:val="0"/>
                    <w:pageBreakBefore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是</w:t>
                  </w:r>
                </w:p>
              </w:tc>
            </w:tr>
            <w:tr w14:paraId="29C09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Merge w:val="continue"/>
                  <w:vAlign w:val="center"/>
                </w:tcPr>
                <w:p w14:paraId="29EFCF04">
                  <w:pPr>
                    <w:pStyle w:val="9"/>
                    <w:keepNext w:val="0"/>
                    <w:keepLines w:val="0"/>
                    <w:pageBreakBefore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ascii="Times New Roman" w:hAnsi="Times New Roman" w:eastAsia="仿宋" w:cs="Times New Roman"/>
                      <w:color w:val="auto"/>
                      <w:sz w:val="21"/>
                      <w:szCs w:val="21"/>
                      <w:highlight w:val="none"/>
                    </w:rPr>
                  </w:pPr>
                </w:p>
              </w:tc>
              <w:tc>
                <w:tcPr>
                  <w:tcW w:w="6261" w:type="dxa"/>
                  <w:vAlign w:val="center"/>
                </w:tcPr>
                <w:p w14:paraId="765C327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仿宋" w:cs="Times New Roman"/>
                      <w:color w:val="auto"/>
                      <w:sz w:val="21"/>
                      <w:szCs w:val="21"/>
                      <w:highlight w:val="none"/>
                    </w:rPr>
                  </w:pPr>
                  <w:r>
                    <w:rPr>
                      <w:rFonts w:ascii="Times New Roman" w:hAnsi="Times New Roman" w:eastAsia="仿宋" w:cs="Times New Roman"/>
                      <w:color w:val="auto"/>
                      <w:kern w:val="0"/>
                      <w:sz w:val="21"/>
                      <w:szCs w:val="21"/>
                      <w:highlight w:val="none"/>
                      <w:lang w:bidi="ar"/>
                    </w:rPr>
                    <w:t>本项目属于</w:t>
                  </w:r>
                  <w:r>
                    <w:rPr>
                      <w:rFonts w:hint="eastAsia" w:eastAsia="仿宋" w:cs="Times New Roman"/>
                      <w:color w:val="auto"/>
                      <w:kern w:val="2"/>
                      <w:sz w:val="21"/>
                      <w:szCs w:val="21"/>
                      <w:highlight w:val="none"/>
                      <w:lang w:val="en-US" w:eastAsia="zh-CN" w:bidi="ar-SA"/>
                    </w:rPr>
                    <w:t>桥梁</w:t>
                  </w:r>
                  <w:r>
                    <w:rPr>
                      <w:rFonts w:ascii="Times New Roman" w:hAnsi="Times New Roman" w:eastAsia="仿宋" w:cs="Times New Roman"/>
                      <w:color w:val="auto"/>
                      <w:kern w:val="0"/>
                      <w:sz w:val="21"/>
                      <w:szCs w:val="21"/>
                      <w:highlight w:val="none"/>
                      <w:lang w:bidi="ar"/>
                    </w:rPr>
                    <w:t>项目，不属于《江苏省产业结构调</w:t>
                  </w:r>
                  <w:r>
                    <w:rPr>
                      <w:rFonts w:hint="default" w:ascii="Times New Roman" w:hAnsi="Times New Roman" w:eastAsia="仿宋" w:cs="Times New Roman"/>
                      <w:color w:val="auto"/>
                      <w:kern w:val="0"/>
                      <w:sz w:val="21"/>
                      <w:szCs w:val="21"/>
                      <w:highlight w:val="none"/>
                      <w:lang w:bidi="ar"/>
                    </w:rPr>
                    <w:t>整限制、淘汰和禁止目录（</w:t>
                  </w:r>
                  <w:r>
                    <w:rPr>
                      <w:rFonts w:ascii="Times New Roman" w:hAnsi="Times New Roman" w:eastAsia="仿宋" w:cs="Times New Roman"/>
                      <w:color w:val="auto"/>
                      <w:kern w:val="0"/>
                      <w:sz w:val="21"/>
                      <w:szCs w:val="21"/>
                      <w:highlight w:val="none"/>
                      <w:lang w:bidi="ar"/>
                    </w:rPr>
                    <w:t>2018</w:t>
                  </w:r>
                  <w:r>
                    <w:rPr>
                      <w:rFonts w:hint="default" w:ascii="Times New Roman" w:hAnsi="Times New Roman" w:eastAsia="仿宋" w:cs="Times New Roman"/>
                      <w:color w:val="auto"/>
                      <w:kern w:val="0"/>
                      <w:sz w:val="21"/>
                      <w:szCs w:val="21"/>
                      <w:highlight w:val="none"/>
                      <w:lang w:bidi="ar"/>
                    </w:rPr>
                    <w:t>年本）》中的限制、淘汰及禁止类</w:t>
                  </w:r>
                </w:p>
              </w:tc>
              <w:tc>
                <w:tcPr>
                  <w:tcW w:w="868" w:type="dxa"/>
                  <w:vAlign w:val="center"/>
                </w:tcPr>
                <w:p w14:paraId="529F5C8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是</w:t>
                  </w:r>
                </w:p>
              </w:tc>
            </w:tr>
            <w:tr w14:paraId="2C6B0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Merge w:val="continue"/>
                  <w:vAlign w:val="center"/>
                </w:tcPr>
                <w:p w14:paraId="21B876F0">
                  <w:pPr>
                    <w:pStyle w:val="9"/>
                    <w:keepNext w:val="0"/>
                    <w:keepLines w:val="0"/>
                    <w:pageBreakBefore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ascii="Times New Roman" w:hAnsi="Times New Roman" w:eastAsia="仿宋" w:cs="Times New Roman"/>
                      <w:color w:val="auto"/>
                      <w:sz w:val="21"/>
                      <w:szCs w:val="21"/>
                      <w:highlight w:val="none"/>
                    </w:rPr>
                  </w:pPr>
                </w:p>
              </w:tc>
              <w:tc>
                <w:tcPr>
                  <w:tcW w:w="6261" w:type="dxa"/>
                  <w:vAlign w:val="center"/>
                </w:tcPr>
                <w:p w14:paraId="1890EF2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仿宋" w:cs="Times New Roman"/>
                      <w:color w:val="auto"/>
                      <w:sz w:val="21"/>
                      <w:szCs w:val="21"/>
                      <w:highlight w:val="none"/>
                    </w:rPr>
                  </w:pPr>
                  <w:r>
                    <w:rPr>
                      <w:rFonts w:ascii="Times New Roman" w:hAnsi="Times New Roman" w:eastAsia="仿宋" w:cs="Times New Roman"/>
                      <w:color w:val="auto"/>
                      <w:kern w:val="0"/>
                      <w:sz w:val="21"/>
                      <w:szCs w:val="21"/>
                      <w:highlight w:val="none"/>
                      <w:lang w:bidi="ar"/>
                    </w:rPr>
                    <w:t>本项目属于</w:t>
                  </w:r>
                  <w:r>
                    <w:rPr>
                      <w:rFonts w:hint="eastAsia" w:eastAsia="仿宋" w:cs="Times New Roman"/>
                      <w:color w:val="auto"/>
                      <w:kern w:val="2"/>
                      <w:sz w:val="21"/>
                      <w:szCs w:val="21"/>
                      <w:highlight w:val="none"/>
                      <w:lang w:val="en-US" w:eastAsia="zh-CN" w:bidi="ar-SA"/>
                    </w:rPr>
                    <w:t>桥梁</w:t>
                  </w:r>
                  <w:r>
                    <w:rPr>
                      <w:rFonts w:ascii="Times New Roman" w:hAnsi="Times New Roman" w:eastAsia="仿宋" w:cs="Times New Roman"/>
                      <w:color w:val="auto"/>
                      <w:kern w:val="0"/>
                      <w:sz w:val="21"/>
                      <w:szCs w:val="21"/>
                      <w:highlight w:val="none"/>
                      <w:lang w:bidi="ar"/>
                    </w:rPr>
                    <w:t>项目，不属于《江苏省工业和信息</w:t>
                  </w:r>
                  <w:r>
                    <w:rPr>
                      <w:rFonts w:hint="default" w:ascii="Times New Roman" w:hAnsi="Times New Roman" w:eastAsia="仿宋" w:cs="Times New Roman"/>
                      <w:color w:val="auto"/>
                      <w:kern w:val="0"/>
                      <w:sz w:val="21"/>
                      <w:szCs w:val="21"/>
                      <w:highlight w:val="none"/>
                      <w:lang w:bidi="ar"/>
                    </w:rPr>
                    <w:t>产业结构调整限制淘汰目录和能耗限额》（</w:t>
                  </w:r>
                  <w:r>
                    <w:rPr>
                      <w:rFonts w:ascii="Times New Roman" w:hAnsi="Times New Roman" w:eastAsia="仿宋" w:cs="Times New Roman"/>
                      <w:color w:val="auto"/>
                      <w:kern w:val="0"/>
                      <w:sz w:val="21"/>
                      <w:szCs w:val="21"/>
                      <w:highlight w:val="none"/>
                      <w:lang w:bidi="ar"/>
                    </w:rPr>
                    <w:t>2015</w:t>
                  </w:r>
                  <w:r>
                    <w:rPr>
                      <w:rFonts w:hint="default" w:ascii="Times New Roman" w:hAnsi="Times New Roman" w:eastAsia="仿宋" w:cs="Times New Roman"/>
                      <w:color w:val="auto"/>
                      <w:kern w:val="0"/>
                      <w:sz w:val="21"/>
                      <w:szCs w:val="21"/>
                      <w:highlight w:val="none"/>
                      <w:lang w:bidi="ar"/>
                    </w:rPr>
                    <w:t>年本）中限制类目录中的项目，不涉及淘汰类目录中的落后工艺装备和产品</w:t>
                  </w:r>
                </w:p>
              </w:tc>
              <w:tc>
                <w:tcPr>
                  <w:tcW w:w="868" w:type="dxa"/>
                  <w:vAlign w:val="center"/>
                </w:tcPr>
                <w:p w14:paraId="322D2A4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是</w:t>
                  </w:r>
                </w:p>
              </w:tc>
            </w:tr>
            <w:tr w14:paraId="2F511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Merge w:val="continue"/>
                  <w:vAlign w:val="center"/>
                </w:tcPr>
                <w:p w14:paraId="23B26520">
                  <w:pPr>
                    <w:pStyle w:val="9"/>
                    <w:keepNext w:val="0"/>
                    <w:keepLines w:val="0"/>
                    <w:pageBreakBefore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ascii="Times New Roman" w:hAnsi="Times New Roman" w:eastAsia="仿宋" w:cs="Times New Roman"/>
                      <w:color w:val="auto"/>
                      <w:sz w:val="21"/>
                      <w:szCs w:val="21"/>
                      <w:highlight w:val="none"/>
                    </w:rPr>
                  </w:pPr>
                </w:p>
              </w:tc>
              <w:tc>
                <w:tcPr>
                  <w:tcW w:w="6261" w:type="dxa"/>
                  <w:vAlign w:val="center"/>
                </w:tcPr>
                <w:p w14:paraId="01A4CD4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仿宋" w:cs="Times New Roman"/>
                      <w:color w:val="auto"/>
                      <w:sz w:val="21"/>
                      <w:szCs w:val="21"/>
                      <w:highlight w:val="none"/>
                    </w:rPr>
                  </w:pPr>
                  <w:r>
                    <w:rPr>
                      <w:rFonts w:hint="default" w:ascii="Times New Roman" w:hAnsi="Times New Roman" w:eastAsia="仿宋" w:cs="Times New Roman"/>
                      <w:color w:val="auto"/>
                      <w:kern w:val="0"/>
                      <w:sz w:val="21"/>
                      <w:szCs w:val="21"/>
                      <w:highlight w:val="none"/>
                      <w:lang w:bidi="ar"/>
                    </w:rPr>
                    <w:t>本项目属于</w:t>
                  </w:r>
                  <w:r>
                    <w:rPr>
                      <w:rFonts w:hint="eastAsia" w:eastAsia="仿宋" w:cs="Times New Roman"/>
                      <w:color w:val="auto"/>
                      <w:kern w:val="2"/>
                      <w:sz w:val="21"/>
                      <w:szCs w:val="21"/>
                      <w:highlight w:val="none"/>
                      <w:lang w:val="en-US" w:eastAsia="zh-CN" w:bidi="ar-SA"/>
                    </w:rPr>
                    <w:t>桥梁</w:t>
                  </w:r>
                  <w:r>
                    <w:rPr>
                      <w:rFonts w:hint="default" w:ascii="Times New Roman" w:hAnsi="Times New Roman" w:eastAsia="仿宋" w:cs="Times New Roman"/>
                      <w:color w:val="auto"/>
                      <w:kern w:val="0"/>
                      <w:sz w:val="21"/>
                      <w:szCs w:val="21"/>
                      <w:highlight w:val="none"/>
                      <w:lang w:bidi="ar"/>
                    </w:rPr>
                    <w:t>项目，不属于</w:t>
                  </w:r>
                  <w:r>
                    <w:rPr>
                      <w:rFonts w:hint="default" w:ascii="Times New Roman" w:hAnsi="Times New Roman" w:eastAsia="仿宋" w:cs="Times New Roman"/>
                      <w:color w:val="auto"/>
                      <w:kern w:val="0"/>
                      <w:sz w:val="21"/>
                      <w:szCs w:val="21"/>
                      <w:highlight w:val="none"/>
                      <w:lang w:val="en-US" w:eastAsia="zh-CN" w:bidi="ar"/>
                    </w:rPr>
                    <w:t>《长江经济带发展负面清单指南》（试行，2022年版）江苏省实施细则（苏长江办发[2022]55号）</w:t>
                  </w:r>
                  <w:r>
                    <w:rPr>
                      <w:rFonts w:hint="default" w:ascii="Times New Roman" w:hAnsi="Times New Roman" w:eastAsia="仿宋" w:cs="Times New Roman"/>
                      <w:color w:val="auto"/>
                      <w:kern w:val="0"/>
                      <w:sz w:val="21"/>
                      <w:szCs w:val="21"/>
                      <w:highlight w:val="none"/>
                      <w:lang w:bidi="ar"/>
                    </w:rPr>
                    <w:t>中的禁止类项目；不属于《市场准入负面清单（</w:t>
                  </w:r>
                  <w:r>
                    <w:rPr>
                      <w:rFonts w:ascii="Times New Roman" w:hAnsi="Times New Roman" w:eastAsia="仿宋" w:cs="Times New Roman"/>
                      <w:color w:val="auto"/>
                      <w:kern w:val="0"/>
                      <w:sz w:val="21"/>
                      <w:szCs w:val="21"/>
                      <w:highlight w:val="none"/>
                      <w:lang w:bidi="ar"/>
                    </w:rPr>
                    <w:t>202</w:t>
                  </w:r>
                  <w:r>
                    <w:rPr>
                      <w:rFonts w:hint="default" w:ascii="Times New Roman" w:hAnsi="Times New Roman" w:eastAsia="仿宋" w:cs="Times New Roman"/>
                      <w:color w:val="auto"/>
                      <w:kern w:val="0"/>
                      <w:sz w:val="21"/>
                      <w:szCs w:val="21"/>
                      <w:highlight w:val="none"/>
                      <w:lang w:val="en-US" w:eastAsia="zh-CN" w:bidi="ar"/>
                    </w:rPr>
                    <w:t>2</w:t>
                  </w:r>
                  <w:r>
                    <w:rPr>
                      <w:rFonts w:hint="default" w:ascii="Times New Roman" w:hAnsi="Times New Roman" w:eastAsia="仿宋" w:cs="Times New Roman"/>
                      <w:color w:val="auto"/>
                      <w:kern w:val="0"/>
                      <w:sz w:val="21"/>
                      <w:szCs w:val="21"/>
                      <w:highlight w:val="none"/>
                      <w:lang w:bidi="ar"/>
                    </w:rPr>
                    <w:t>年版）》中的禁止类项目</w:t>
                  </w:r>
                </w:p>
              </w:tc>
              <w:tc>
                <w:tcPr>
                  <w:tcW w:w="868" w:type="dxa"/>
                  <w:vAlign w:val="center"/>
                </w:tcPr>
                <w:p w14:paraId="3C626DF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是</w:t>
                  </w:r>
                </w:p>
              </w:tc>
            </w:tr>
            <w:tr w14:paraId="0537C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Merge w:val="continue"/>
                  <w:vAlign w:val="center"/>
                </w:tcPr>
                <w:p w14:paraId="7AFB7FD7">
                  <w:pPr>
                    <w:pStyle w:val="9"/>
                    <w:keepNext w:val="0"/>
                    <w:keepLines w:val="0"/>
                    <w:pageBreakBefore w:val="0"/>
                    <w:kinsoku/>
                    <w:wordWrap/>
                    <w:overflowPunct/>
                    <w:topLinePunct w:val="0"/>
                    <w:autoSpaceDE/>
                    <w:autoSpaceDN/>
                    <w:bidi w:val="0"/>
                    <w:adjustRightInd w:val="0"/>
                    <w:snapToGrid w:val="0"/>
                    <w:spacing w:before="0" w:after="0" w:line="240" w:lineRule="auto"/>
                    <w:ind w:right="0" w:firstLine="0" w:firstLineChars="0"/>
                    <w:jc w:val="center"/>
                    <w:textAlignment w:val="auto"/>
                    <w:rPr>
                      <w:rFonts w:ascii="Times New Roman" w:hAnsi="Times New Roman" w:eastAsia="仿宋" w:cs="Times New Roman"/>
                      <w:color w:val="auto"/>
                      <w:sz w:val="21"/>
                      <w:szCs w:val="21"/>
                      <w:highlight w:val="none"/>
                    </w:rPr>
                  </w:pPr>
                </w:p>
              </w:tc>
              <w:tc>
                <w:tcPr>
                  <w:tcW w:w="6261" w:type="dxa"/>
                  <w:vAlign w:val="center"/>
                </w:tcPr>
                <w:p w14:paraId="17DDFE1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lang w:val="en-US" w:eastAsia="zh-CN"/>
                    </w:rPr>
                    <w:t>本项目已于202</w:t>
                  </w:r>
                  <w:r>
                    <w:rPr>
                      <w:rFonts w:hint="eastAsia" w:eastAsia="仿宋" w:cs="Times New Roman"/>
                      <w:color w:val="auto"/>
                      <w:sz w:val="21"/>
                      <w:szCs w:val="21"/>
                      <w:highlight w:val="none"/>
                      <w:lang w:val="en-US" w:eastAsia="zh-CN"/>
                    </w:rPr>
                    <w:t>3</w:t>
                  </w:r>
                  <w:r>
                    <w:rPr>
                      <w:rFonts w:hint="default" w:ascii="Times New Roman" w:hAnsi="Times New Roman" w:eastAsia="仿宋" w:cs="Times New Roman"/>
                      <w:color w:val="auto"/>
                      <w:sz w:val="21"/>
                      <w:szCs w:val="21"/>
                      <w:highlight w:val="none"/>
                      <w:lang w:val="en-US" w:eastAsia="zh-CN"/>
                    </w:rPr>
                    <w:t>年</w:t>
                  </w:r>
                  <w:r>
                    <w:rPr>
                      <w:rFonts w:hint="eastAsia" w:eastAsia="仿宋" w:cs="Times New Roman"/>
                      <w:color w:val="auto"/>
                      <w:sz w:val="21"/>
                      <w:szCs w:val="21"/>
                      <w:highlight w:val="none"/>
                      <w:lang w:val="en-US" w:eastAsia="zh-CN"/>
                    </w:rPr>
                    <w:t>11</w:t>
                  </w:r>
                  <w:r>
                    <w:rPr>
                      <w:rFonts w:hint="default" w:ascii="Times New Roman" w:hAnsi="Times New Roman" w:eastAsia="仿宋" w:cs="Times New Roman"/>
                      <w:color w:val="auto"/>
                      <w:sz w:val="21"/>
                      <w:szCs w:val="21"/>
                      <w:highlight w:val="none"/>
                      <w:lang w:val="en-US" w:eastAsia="zh-CN"/>
                    </w:rPr>
                    <w:t>月2日取得常州市金坛区发展和改革局出具的项目批复（备案证号：坛发改备〔2024〕328号，项目代码：</w:t>
                  </w:r>
                  <w:r>
                    <w:rPr>
                      <w:rFonts w:hint="eastAsia" w:eastAsia="仿宋" w:cs="Times New Roman"/>
                      <w:color w:val="auto"/>
                      <w:sz w:val="21"/>
                      <w:szCs w:val="21"/>
                      <w:highlight w:val="none"/>
                      <w:lang w:val="en-US" w:eastAsia="zh-CN"/>
                    </w:rPr>
                    <w:t>2406-320413-04-01-252581</w:t>
                  </w:r>
                  <w:r>
                    <w:rPr>
                      <w:rFonts w:hint="default"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kern w:val="0"/>
                      <w:sz w:val="21"/>
                      <w:szCs w:val="21"/>
                      <w:highlight w:val="none"/>
                      <w:lang w:bidi="ar"/>
                    </w:rPr>
                    <w:t>，符合区域产业政策</w:t>
                  </w:r>
                </w:p>
              </w:tc>
              <w:tc>
                <w:tcPr>
                  <w:tcW w:w="868" w:type="dxa"/>
                  <w:vAlign w:val="center"/>
                </w:tcPr>
                <w:p w14:paraId="3B4D08B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是</w:t>
                  </w:r>
                </w:p>
              </w:tc>
            </w:tr>
          </w:tbl>
          <w:p w14:paraId="4E44C46E">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default" w:ascii="Times New Roman" w:hAnsi="Times New Roman" w:eastAsia="仿宋" w:cs="Times New Roman"/>
                <w:b/>
                <w:bCs/>
                <w:color w:val="auto"/>
                <w:highlight w:val="none"/>
                <w:lang w:val="en-US" w:eastAsia="zh-CN"/>
              </w:rPr>
            </w:pPr>
            <w:r>
              <w:rPr>
                <w:rFonts w:hint="default" w:ascii="Times New Roman" w:hAnsi="Times New Roman" w:eastAsia="仿宋" w:cs="Times New Roman"/>
                <w:color w:val="auto"/>
                <w:kern w:val="0"/>
                <w:sz w:val="24"/>
                <w:highlight w:val="none"/>
              </w:rPr>
              <w:t>由上表可知，本项目符合国家及地方产业政策。</w:t>
            </w:r>
          </w:p>
          <w:p w14:paraId="2B3D3318">
            <w:pPr>
              <w:pStyle w:val="9"/>
              <w:ind w:left="0" w:leftChars="0" w:firstLine="0" w:firstLineChars="0"/>
              <w:rPr>
                <w:rFonts w:hint="eastAsia" w:ascii="Times New Roman" w:hAnsi="Times New Roman" w:eastAsia="仿宋" w:cs="Times New Roman"/>
                <w:b/>
                <w:bCs/>
                <w:color w:val="auto"/>
                <w:highlight w:val="none"/>
                <w:lang w:val="en-US" w:eastAsia="zh-CN"/>
              </w:rPr>
            </w:pPr>
            <w:r>
              <w:rPr>
                <w:rFonts w:hint="eastAsia" w:eastAsia="仿宋" w:cs="Times New Roman"/>
                <w:b/>
                <w:bCs/>
                <w:color w:val="auto"/>
                <w:highlight w:val="none"/>
                <w:lang w:val="en-US" w:eastAsia="zh-CN"/>
              </w:rPr>
              <w:t>二、</w:t>
            </w:r>
            <w:r>
              <w:rPr>
                <w:rFonts w:hint="eastAsia" w:ascii="Times New Roman" w:hAnsi="Times New Roman" w:eastAsia="仿宋" w:cs="Times New Roman"/>
                <w:b/>
                <w:bCs/>
                <w:color w:val="auto"/>
                <w:highlight w:val="none"/>
                <w:lang w:val="en-US" w:eastAsia="zh-CN"/>
              </w:rPr>
              <w:t>“三线一单”相符性分析</w:t>
            </w:r>
          </w:p>
          <w:p w14:paraId="1008F560">
            <w:pPr>
              <w:pStyle w:val="9"/>
              <w:rPr>
                <w:rFonts w:hint="eastAsia" w:ascii="Times New Roman" w:hAnsi="Times New Roman" w:eastAsia="仿宋" w:cs="Times New Roman"/>
                <w:color w:val="auto"/>
                <w:highlight w:val="none"/>
                <w:lang w:val="en-US" w:eastAsia="zh-CN"/>
              </w:rPr>
            </w:pPr>
            <w:r>
              <w:rPr>
                <w:rFonts w:hint="eastAsia" w:ascii="Times New Roman" w:hAnsi="Times New Roman" w:eastAsia="仿宋" w:cs="Times New Roman"/>
                <w:color w:val="auto"/>
                <w:highlight w:val="none"/>
                <w:lang w:val="en-US" w:eastAsia="zh-CN"/>
              </w:rPr>
              <w:t>根据《关于以改善环境质量为核心加强环境影响评价管理的通知》（环环评[2016]150号）规定：“为适应以改善环境质量为核心的环境管理要求，切实加强环境影响评价（以下简称环评）管理，落实“生态保护红线、环境质量底线、资源利用上线和环境准入负面清单”（以下简称“三线一单”）约束，建立项目环评审批与规划环评、现有项目环境管理、区域环境质量联动机制（以下简称“三挂钩”机制），更好地发挥环评制度从源头防范环境污染和生态破坏的作用，加快推进改善环境质量”。</w:t>
            </w:r>
          </w:p>
          <w:p w14:paraId="4886F4DE">
            <w:pPr>
              <w:pStyle w:val="9"/>
              <w:rPr>
                <w:rFonts w:hint="eastAsia" w:ascii="Times New Roman" w:hAnsi="Times New Roman" w:eastAsia="仿宋" w:cs="Times New Roman"/>
                <w:color w:val="auto"/>
                <w:highlight w:val="none"/>
                <w:lang w:val="en-US" w:eastAsia="zh-CN"/>
              </w:rPr>
            </w:pPr>
            <w:r>
              <w:rPr>
                <w:rFonts w:hint="eastAsia" w:ascii="Times New Roman" w:hAnsi="Times New Roman" w:eastAsia="仿宋" w:cs="Times New Roman"/>
                <w:color w:val="auto"/>
                <w:highlight w:val="none"/>
                <w:lang w:val="en-US" w:eastAsia="zh-CN"/>
              </w:rPr>
              <w:t>本项目“三线一单”相符性分析见下表1-</w:t>
            </w:r>
            <w:r>
              <w:rPr>
                <w:rFonts w:hint="eastAsia" w:eastAsia="仿宋" w:cs="Times New Roman"/>
                <w:color w:val="auto"/>
                <w:highlight w:val="none"/>
                <w:lang w:val="en-US" w:eastAsia="zh-CN"/>
              </w:rPr>
              <w:t>3。</w:t>
            </w:r>
          </w:p>
          <w:p w14:paraId="45349D61">
            <w:pPr>
              <w:pStyle w:val="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color w:val="auto"/>
                <w:highlight w:val="none"/>
                <w:lang w:val="en-US" w:eastAsia="zh-CN"/>
              </w:rPr>
            </w:pPr>
            <w:r>
              <w:rPr>
                <w:rFonts w:hint="default" w:ascii="Times New Roman" w:hAnsi="Times New Roman" w:eastAsia="仿宋" w:cs="Times New Roman"/>
                <w:b/>
                <w:bCs/>
                <w:color w:val="auto"/>
                <w:highlight w:val="none"/>
                <w:lang w:val="en-US" w:eastAsia="zh-CN"/>
              </w:rPr>
              <w:t>表1-</w:t>
            </w:r>
            <w:r>
              <w:rPr>
                <w:rFonts w:hint="eastAsia" w:eastAsia="仿宋" w:cs="Times New Roman"/>
                <w:b/>
                <w:bCs/>
                <w:color w:val="auto"/>
                <w:highlight w:val="none"/>
                <w:lang w:val="en-US" w:eastAsia="zh-CN"/>
              </w:rPr>
              <w:t xml:space="preserve">3 </w:t>
            </w:r>
            <w:r>
              <w:rPr>
                <w:rFonts w:hint="default" w:ascii="Times New Roman" w:hAnsi="Times New Roman" w:eastAsia="仿宋" w:cs="Times New Roman"/>
                <w:b/>
                <w:bCs/>
                <w:color w:val="auto"/>
                <w:highlight w:val="none"/>
                <w:lang w:val="en-US" w:eastAsia="zh-CN"/>
              </w:rPr>
              <w:t>“三线一单”相符性判定</w:t>
            </w:r>
          </w:p>
          <w:tbl>
            <w:tblPr>
              <w:tblStyle w:val="2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6836"/>
              <w:gridCol w:w="1168"/>
            </w:tblGrid>
            <w:tr w14:paraId="3FB50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Align w:val="center"/>
                </w:tcPr>
                <w:p w14:paraId="74023766">
                  <w:pPr>
                    <w:pStyle w:val="30"/>
                    <w:numPr>
                      <w:ilvl w:val="255"/>
                      <w:numId w:val="0"/>
                    </w:numPr>
                    <w:ind w:left="0" w:leftChars="0" w:firstLine="0" w:firstLineChars="0"/>
                    <w:jc w:val="center"/>
                    <w:rPr>
                      <w:rFonts w:hint="default" w:ascii="Times New Roman" w:hAnsi="Times New Roman" w:eastAsia="仿宋" w:cs="Times New Roman"/>
                      <w:b/>
                      <w:bCs/>
                      <w:color w:val="auto"/>
                      <w:sz w:val="21"/>
                      <w:szCs w:val="21"/>
                      <w:highlight w:val="none"/>
                      <w:lang w:val="en-US" w:eastAsia="zh-CN" w:bidi="ar-SA"/>
                    </w:rPr>
                  </w:pPr>
                  <w:r>
                    <w:rPr>
                      <w:rFonts w:hint="default" w:ascii="Times New Roman" w:hAnsi="Times New Roman" w:eastAsia="仿宋" w:cs="Times New Roman"/>
                      <w:b/>
                      <w:bCs/>
                      <w:color w:val="auto"/>
                      <w:sz w:val="21"/>
                      <w:szCs w:val="21"/>
                      <w:highlight w:val="none"/>
                    </w:rPr>
                    <w:t>内容</w:t>
                  </w:r>
                </w:p>
              </w:tc>
              <w:tc>
                <w:tcPr>
                  <w:tcW w:w="3739" w:type="pct"/>
                  <w:vAlign w:val="center"/>
                </w:tcPr>
                <w:p w14:paraId="1340B600">
                  <w:pPr>
                    <w:pStyle w:val="30"/>
                    <w:numPr>
                      <w:ilvl w:val="255"/>
                      <w:numId w:val="0"/>
                    </w:numPr>
                    <w:ind w:left="0" w:leftChars="0" w:firstLine="0" w:firstLineChars="0"/>
                    <w:jc w:val="center"/>
                    <w:rPr>
                      <w:rFonts w:hint="eastAsia" w:ascii="Times New Roman" w:hAnsi="Times New Roman" w:eastAsia="仿宋" w:cs="Times New Roman"/>
                      <w:b/>
                      <w:bCs/>
                      <w:color w:val="auto"/>
                      <w:sz w:val="21"/>
                      <w:szCs w:val="21"/>
                      <w:highlight w:val="none"/>
                      <w:lang w:val="en-US" w:eastAsia="zh-CN" w:bidi="ar-SA"/>
                    </w:rPr>
                  </w:pPr>
                  <w:r>
                    <w:rPr>
                      <w:rFonts w:hint="eastAsia" w:ascii="Times New Roman" w:hAnsi="Times New Roman" w:eastAsia="仿宋" w:cs="Times New Roman"/>
                      <w:b/>
                      <w:bCs/>
                      <w:color w:val="auto"/>
                      <w:sz w:val="21"/>
                      <w:szCs w:val="21"/>
                      <w:highlight w:val="none"/>
                      <w:lang w:val="en-US" w:eastAsia="zh-CN"/>
                    </w:rPr>
                    <w:t>对照简析</w:t>
                  </w:r>
                </w:p>
              </w:tc>
              <w:tc>
                <w:tcPr>
                  <w:tcW w:w="639" w:type="pct"/>
                  <w:vAlign w:val="center"/>
                </w:tcPr>
                <w:p w14:paraId="3F390B0A">
                  <w:pPr>
                    <w:pStyle w:val="30"/>
                    <w:numPr>
                      <w:ilvl w:val="255"/>
                      <w:numId w:val="0"/>
                    </w:numPr>
                    <w:ind w:left="0" w:leftChars="0" w:firstLine="0" w:firstLineChars="0"/>
                    <w:jc w:val="center"/>
                    <w:rPr>
                      <w:rFonts w:hint="default" w:ascii="Times New Roman" w:hAnsi="Times New Roman" w:eastAsia="仿宋" w:cs="Times New Roman"/>
                      <w:b/>
                      <w:bCs/>
                      <w:color w:val="auto"/>
                      <w:sz w:val="21"/>
                      <w:szCs w:val="21"/>
                      <w:highlight w:val="none"/>
                      <w:lang w:val="en-US" w:eastAsia="zh-CN" w:bidi="ar-SA"/>
                    </w:rPr>
                  </w:pPr>
                  <w:r>
                    <w:rPr>
                      <w:rFonts w:hint="eastAsia" w:ascii="Times New Roman" w:hAnsi="Times New Roman" w:eastAsia="仿宋" w:cs="Times New Roman"/>
                      <w:b/>
                      <w:bCs/>
                      <w:color w:val="auto"/>
                      <w:sz w:val="21"/>
                      <w:szCs w:val="21"/>
                      <w:highlight w:val="none"/>
                      <w:lang w:val="en-US" w:eastAsia="zh-CN"/>
                    </w:rPr>
                    <w:t>是否满足要求</w:t>
                  </w:r>
                </w:p>
              </w:tc>
            </w:tr>
            <w:tr w14:paraId="09DDB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Align w:val="center"/>
                </w:tcPr>
                <w:p w14:paraId="76A38318">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default" w:ascii="Times New Roman" w:hAnsi="Times New Roman" w:eastAsia="仿宋" w:cs="Times New Roman"/>
                      <w:color w:val="auto"/>
                      <w:sz w:val="21"/>
                      <w:szCs w:val="21"/>
                      <w:highlight w:val="none"/>
                    </w:rPr>
                    <w:t>生态保护红线</w:t>
                  </w:r>
                </w:p>
              </w:tc>
              <w:tc>
                <w:tcPr>
                  <w:tcW w:w="3739" w:type="pct"/>
                  <w:vAlign w:val="center"/>
                </w:tcPr>
                <w:p w14:paraId="73D00E8E">
                  <w:pPr>
                    <w:pStyle w:val="30"/>
                    <w:numPr>
                      <w:ilvl w:val="255"/>
                      <w:numId w:val="0"/>
                    </w:numPr>
                    <w:ind w:left="0" w:leftChars="0" w:firstLine="0" w:firstLineChars="0"/>
                    <w:jc w:val="both"/>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根据《自然资源部 生态环境部 国家林业和草原局关于加强生态保护红线管理的通知（试行）》（自然资发〔2022〕142号），本项目为《常州市国土空间总体规划（2021-2035年）》重点建设项目，符合第一项第6条“必须且无法避让、符合县级以上国土空间规划的线性基础设施、通讯和防洪、供水设施建设和船舶航行、航道疏浚清淤等活动；已有的合法水利、交通运输等设施运行维护改造”，可在生态保护红线内在符合法律法规的前提下，进行对生态功能不造成破坏的有限人为活动。</w:t>
                  </w:r>
                </w:p>
                <w:p w14:paraId="05E27218">
                  <w:pPr>
                    <w:pStyle w:val="30"/>
                    <w:numPr>
                      <w:ilvl w:val="255"/>
                      <w:numId w:val="0"/>
                    </w:numPr>
                    <w:ind w:left="0" w:leftChars="0" w:firstLine="0" w:firstLineChars="0"/>
                    <w:jc w:val="both"/>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rPr>
                    <w:t>根据《省政府关于印发江苏省生态空间管控区域规划的通知》（苏政发[2020]1号）及《省政府关于印发江苏省国家级生态保护红线规划的通知》（苏政发[2018]74号），本项目为</w:t>
                  </w:r>
                  <w:r>
                    <w:rPr>
                      <w:rFonts w:hint="eastAsia" w:eastAsia="仿宋" w:cs="Times New Roman"/>
                      <w:snapToGrid w:val="0"/>
                      <w:color w:val="auto"/>
                      <w:kern w:val="0"/>
                      <w:sz w:val="21"/>
                      <w:szCs w:val="21"/>
                      <w:highlight w:val="none"/>
                      <w:lang w:val="en-US" w:eastAsia="zh-CN"/>
                    </w:rPr>
                    <w:t>桥梁</w:t>
                  </w:r>
                  <w:r>
                    <w:rPr>
                      <w:rFonts w:hint="eastAsia" w:ascii="Times New Roman" w:hAnsi="Times New Roman" w:eastAsia="仿宋" w:cs="Times New Roman"/>
                      <w:color w:val="auto"/>
                      <w:sz w:val="21"/>
                      <w:szCs w:val="21"/>
                      <w:highlight w:val="none"/>
                      <w:lang w:val="en-US" w:eastAsia="zh-CN"/>
                    </w:rPr>
                    <w:t>项目，位于</w:t>
                  </w:r>
                  <w:r>
                    <w:rPr>
                      <w:rFonts w:hint="eastAsia" w:eastAsia="仿宋" w:cs="Times New Roman"/>
                      <w:color w:val="auto"/>
                      <w:sz w:val="21"/>
                      <w:szCs w:val="21"/>
                      <w:highlight w:val="none"/>
                      <w:lang w:val="en-US" w:eastAsia="zh-CN"/>
                    </w:rPr>
                    <w:t>江苏省常州市金坛区河海大道与丹桂南路交叉口以南、长荡湖北岸</w:t>
                  </w:r>
                  <w:r>
                    <w:rPr>
                      <w:rFonts w:hint="eastAsia" w:ascii="Times New Roman" w:hAnsi="Times New Roman" w:eastAsia="仿宋" w:cs="Times New Roman"/>
                      <w:color w:val="auto"/>
                      <w:sz w:val="21"/>
                      <w:szCs w:val="21"/>
                      <w:highlight w:val="none"/>
                      <w:lang w:val="en-US" w:eastAsia="zh-CN"/>
                    </w:rPr>
                    <w:t>，位于长荡湖重要渔业水域，紧邻金坛长荡湖国家湿地公园（试点），位于生态空间管控区域的保护区范围内，但不在国家级生态保护红线范围内。本项目建设活动占地小，水污染小，不影响水域连通性，不影响区域湿地生态系统保护及渔业资源保护的生态功能，因此本项目与《江苏省生态空间管控区域规划》和《江苏省国家级生态保护红线规划》相符</w:t>
                  </w:r>
                  <w:r>
                    <w:rPr>
                      <w:rFonts w:hint="default" w:ascii="Times New Roman" w:hAnsi="Times New Roman" w:eastAsia="仿宋" w:cs="Times New Roman"/>
                      <w:color w:val="auto"/>
                      <w:sz w:val="21"/>
                      <w:szCs w:val="21"/>
                      <w:highlight w:val="none"/>
                    </w:rPr>
                    <w:t>。</w:t>
                  </w:r>
                </w:p>
              </w:tc>
              <w:tc>
                <w:tcPr>
                  <w:tcW w:w="639" w:type="pct"/>
                  <w:vAlign w:val="center"/>
                </w:tcPr>
                <w:p w14:paraId="249E0241">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是，详见1.4.1</w:t>
                  </w:r>
                </w:p>
              </w:tc>
            </w:tr>
            <w:tr w14:paraId="491B1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Align w:val="center"/>
                </w:tcPr>
                <w:p w14:paraId="397D5446">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default" w:ascii="Times New Roman" w:hAnsi="Times New Roman" w:eastAsia="仿宋" w:cs="Times New Roman"/>
                      <w:color w:val="auto"/>
                      <w:sz w:val="21"/>
                      <w:szCs w:val="21"/>
                      <w:highlight w:val="none"/>
                    </w:rPr>
                    <w:t>资源利用上线</w:t>
                  </w:r>
                </w:p>
              </w:tc>
              <w:tc>
                <w:tcPr>
                  <w:tcW w:w="3739" w:type="pct"/>
                  <w:vAlign w:val="center"/>
                </w:tcPr>
                <w:p w14:paraId="2D0B3B27">
                  <w:pPr>
                    <w:keepNext w:val="0"/>
                    <w:keepLines w:val="0"/>
                    <w:pageBreakBefore w:val="0"/>
                    <w:widowControl w:val="0"/>
                    <w:suppressLineNumbers w:val="0"/>
                    <w:kinsoku/>
                    <w:wordWrap/>
                    <w:overflowPunct/>
                    <w:topLinePunct w:val="0"/>
                    <w:autoSpaceDE/>
                    <w:autoSpaceDN/>
                    <w:bidi w:val="0"/>
                    <w:adjustRightInd w:val="0"/>
                    <w:snapToGrid/>
                    <w:spacing w:before="0" w:beforeLines="0" w:beforeAutospacing="0" w:after="0" w:afterLines="0" w:afterAutospacing="0" w:line="240" w:lineRule="auto"/>
                    <w:ind w:left="0" w:leftChars="0" w:right="0" w:firstLine="0" w:firstLineChars="0"/>
                    <w:jc w:val="both"/>
                    <w:textAlignment w:val="auto"/>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kern w:val="0"/>
                      <w:sz w:val="21"/>
                      <w:szCs w:val="21"/>
                      <w:highlight w:val="none"/>
                      <w:lang w:val="en-US" w:eastAsia="zh-CN" w:bidi="ar-SA"/>
                    </w:rPr>
                    <w:t>本项目施工过程中电力资源由就近电网分散供电，项目用水量较少且项目所在地水资源丰富，不会突破当地资源利用上线。本项目</w:t>
                  </w:r>
                  <w:r>
                    <w:rPr>
                      <w:rFonts w:hint="eastAsia" w:eastAsia="仿宋" w:cs="Times New Roman"/>
                      <w:color w:val="auto"/>
                      <w:kern w:val="0"/>
                      <w:sz w:val="21"/>
                      <w:szCs w:val="21"/>
                      <w:highlight w:val="none"/>
                      <w:lang w:val="en-US" w:eastAsia="zh-CN" w:bidi="ar-SA"/>
                    </w:rPr>
                    <w:t>运营</w:t>
                  </w:r>
                  <w:r>
                    <w:rPr>
                      <w:rFonts w:hint="eastAsia" w:ascii="Times New Roman" w:hAnsi="Times New Roman" w:eastAsia="仿宋" w:cs="Times New Roman"/>
                      <w:color w:val="auto"/>
                      <w:kern w:val="0"/>
                      <w:sz w:val="21"/>
                      <w:szCs w:val="21"/>
                      <w:highlight w:val="none"/>
                      <w:lang w:val="en-US" w:eastAsia="zh-CN" w:bidi="ar-SA"/>
                    </w:rPr>
                    <w:t>过程</w:t>
                  </w:r>
                  <w:r>
                    <w:rPr>
                      <w:rFonts w:hint="eastAsia" w:eastAsia="仿宋" w:cs="Times New Roman"/>
                      <w:color w:val="auto"/>
                      <w:kern w:val="0"/>
                      <w:sz w:val="21"/>
                      <w:szCs w:val="21"/>
                      <w:highlight w:val="none"/>
                      <w:lang w:val="en-US" w:eastAsia="zh-CN" w:bidi="ar-SA"/>
                    </w:rPr>
                    <w:t>仅有照明用电</w:t>
                  </w:r>
                  <w:r>
                    <w:rPr>
                      <w:rFonts w:hint="eastAsia" w:ascii="Times New Roman" w:hAnsi="Times New Roman" w:eastAsia="仿宋" w:cs="Times New Roman"/>
                      <w:color w:val="auto"/>
                      <w:kern w:val="0"/>
                      <w:sz w:val="21"/>
                      <w:szCs w:val="21"/>
                      <w:highlight w:val="none"/>
                      <w:lang w:val="en-US" w:eastAsia="zh-CN" w:bidi="ar-SA"/>
                    </w:rPr>
                    <w:t>，符合资源利用上限要求。</w:t>
                  </w:r>
                </w:p>
              </w:tc>
              <w:tc>
                <w:tcPr>
                  <w:tcW w:w="639" w:type="pct"/>
                  <w:vAlign w:val="center"/>
                </w:tcPr>
                <w:p w14:paraId="387DD89E">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是</w:t>
                  </w:r>
                </w:p>
              </w:tc>
            </w:tr>
            <w:tr w14:paraId="3361C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Align w:val="center"/>
                </w:tcPr>
                <w:p w14:paraId="0AB7D64A">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default" w:ascii="Times New Roman" w:hAnsi="Times New Roman" w:eastAsia="仿宋" w:cs="Times New Roman"/>
                      <w:color w:val="auto"/>
                      <w:sz w:val="21"/>
                      <w:szCs w:val="21"/>
                      <w:highlight w:val="none"/>
                    </w:rPr>
                    <w:t>环境质量底线</w:t>
                  </w:r>
                </w:p>
              </w:tc>
              <w:tc>
                <w:tcPr>
                  <w:tcW w:w="3739" w:type="pct"/>
                  <w:vAlign w:val="center"/>
                </w:tcPr>
                <w:p w14:paraId="0D289BE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根据《2023年常州市生态环境状况公报》可知，本项目所在区域环境质量不达标，应加快大气环境质量限期达标规划的实施与建设</w:t>
                  </w:r>
                  <w:r>
                    <w:rPr>
                      <w:rFonts w:hint="eastAsia"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lang w:val="en-US" w:eastAsia="zh-CN"/>
                    </w:rPr>
                    <w:t>根据《常州市地表水（环境）功能区划》</w:t>
                  </w:r>
                  <w:r>
                    <w:rPr>
                      <w:rFonts w:hint="eastAsia" w:eastAsia="仿宋" w:cs="Times New Roman"/>
                      <w:color w:val="auto"/>
                      <w:sz w:val="21"/>
                      <w:szCs w:val="21"/>
                      <w:highlight w:val="none"/>
                      <w:lang w:val="en-US" w:eastAsia="zh-CN"/>
                    </w:rPr>
                    <w:t>（2021-2030）</w:t>
                  </w:r>
                  <w:r>
                    <w:rPr>
                      <w:rFonts w:hint="default" w:ascii="Times New Roman" w:hAnsi="Times New Roman" w:eastAsia="仿宋" w:cs="Times New Roman"/>
                      <w:color w:val="auto"/>
                      <w:sz w:val="21"/>
                      <w:szCs w:val="21"/>
                      <w:highlight w:val="none"/>
                      <w:lang w:val="en-US" w:eastAsia="zh-CN"/>
                    </w:rPr>
                    <w:t>，长荡湖水质执行《地表水环境质量标准》（GB3838-2002）中Ⅲ类水质标准</w:t>
                  </w:r>
                  <w:r>
                    <w:rPr>
                      <w:rFonts w:hint="eastAsia" w:eastAsia="仿宋" w:cs="Times New Roman"/>
                      <w:color w:val="auto"/>
                      <w:sz w:val="21"/>
                      <w:szCs w:val="21"/>
                      <w:highlight w:val="none"/>
                      <w:lang w:val="en-US" w:eastAsia="zh-CN"/>
                    </w:rPr>
                    <w:t>，</w:t>
                  </w:r>
                  <w:r>
                    <w:rPr>
                      <w:rFonts w:hint="eastAsia" w:ascii="Times New Roman" w:hAnsi="Times New Roman" w:eastAsia="仿宋" w:cs="Times New Roman"/>
                      <w:color w:val="auto"/>
                      <w:sz w:val="21"/>
                      <w:szCs w:val="21"/>
                      <w:highlight w:val="none"/>
                      <w:lang w:val="en-US" w:eastAsia="zh-CN"/>
                    </w:rPr>
                    <w:t>根据监测结果，</w:t>
                  </w:r>
                  <w:r>
                    <w:rPr>
                      <w:rFonts w:hint="default" w:ascii="Times New Roman" w:hAnsi="Times New Roman" w:eastAsia="仿宋" w:cs="Times New Roman"/>
                      <w:color w:val="auto"/>
                      <w:sz w:val="21"/>
                      <w:szCs w:val="21"/>
                      <w:highlight w:val="none"/>
                      <w:lang w:val="en-US" w:eastAsia="zh-CN"/>
                    </w:rPr>
                    <w:t>长荡湖湖区水质总体未达到地表Ⅲ类水标准</w:t>
                  </w:r>
                  <w:r>
                    <w:rPr>
                      <w:rFonts w:hint="eastAsia" w:eastAsia="仿宋" w:cs="Times New Roman"/>
                      <w:color w:val="auto"/>
                      <w:sz w:val="21"/>
                      <w:szCs w:val="21"/>
                      <w:highlight w:val="none"/>
                      <w:lang w:val="en-US" w:eastAsia="zh-CN"/>
                    </w:rPr>
                    <w:t>，主要污染物为</w:t>
                  </w:r>
                  <w:r>
                    <w:rPr>
                      <w:rFonts w:hint="eastAsia" w:ascii="Times New Roman" w:hAnsi="Times New Roman" w:eastAsia="仿宋" w:cs="Times New Roman"/>
                      <w:color w:val="auto"/>
                      <w:sz w:val="21"/>
                      <w:szCs w:val="21"/>
                      <w:highlight w:val="none"/>
                      <w:lang w:val="en-US" w:eastAsia="zh-CN"/>
                    </w:rPr>
                    <w:t>COD、</w:t>
                  </w:r>
                  <w:r>
                    <w:rPr>
                      <w:rFonts w:hint="eastAsia" w:eastAsia="仿宋" w:cs="Times New Roman"/>
                      <w:color w:val="auto"/>
                      <w:sz w:val="21"/>
                      <w:szCs w:val="21"/>
                      <w:highlight w:val="none"/>
                      <w:lang w:val="en-US" w:eastAsia="zh-CN"/>
                    </w:rPr>
                    <w:t>氨氮、总磷，其中COD、总磷对应水质类别为</w:t>
                  </w:r>
                  <w:r>
                    <w:rPr>
                      <w:rFonts w:hint="eastAsia" w:ascii="仿宋" w:hAnsi="仿宋" w:eastAsia="仿宋" w:cs="仿宋"/>
                      <w:color w:val="auto"/>
                      <w:sz w:val="21"/>
                      <w:szCs w:val="21"/>
                      <w:highlight w:val="none"/>
                      <w:lang w:val="en-US" w:eastAsia="zh-CN"/>
                    </w:rPr>
                    <w:t>Ⅴ类，氨氮</w:t>
                  </w:r>
                  <w:r>
                    <w:rPr>
                      <w:rFonts w:hint="eastAsia" w:eastAsia="仿宋" w:cs="Times New Roman"/>
                      <w:color w:val="auto"/>
                      <w:sz w:val="21"/>
                      <w:szCs w:val="21"/>
                      <w:highlight w:val="none"/>
                      <w:lang w:val="en-US" w:eastAsia="zh-CN"/>
                    </w:rPr>
                    <w:t>对应水质类别为</w:t>
                  </w:r>
                  <w:r>
                    <w:rPr>
                      <w:rFonts w:hint="default" w:ascii="Times New Roman" w:hAnsi="Times New Roman" w:eastAsia="仿宋" w:cs="Times New Roman"/>
                      <w:color w:val="auto"/>
                      <w:sz w:val="21"/>
                      <w:szCs w:val="21"/>
                      <w:highlight w:val="none"/>
                      <w:lang w:val="en-US" w:eastAsia="zh-CN"/>
                    </w:rPr>
                    <w:t>Ⅳ</w:t>
                  </w:r>
                  <w:r>
                    <w:rPr>
                      <w:rFonts w:hint="eastAsia" w:eastAsia="仿宋" w:cs="Times New Roman"/>
                      <w:color w:val="auto"/>
                      <w:sz w:val="21"/>
                      <w:szCs w:val="21"/>
                      <w:highlight w:val="none"/>
                      <w:lang w:val="en-US" w:eastAsia="zh-CN"/>
                    </w:rPr>
                    <w:t>类</w:t>
                  </w:r>
                  <w:r>
                    <w:rPr>
                      <w:rFonts w:hint="eastAsia" w:ascii="Times New Roman" w:hAnsi="Times New Roman" w:eastAsia="仿宋" w:cs="Times New Roman"/>
                      <w:color w:val="auto"/>
                      <w:sz w:val="21"/>
                      <w:szCs w:val="21"/>
                      <w:highlight w:val="none"/>
                      <w:lang w:val="en-US" w:eastAsia="zh-CN"/>
                    </w:rPr>
                    <w:t>。</w:t>
                  </w:r>
                </w:p>
                <w:p w14:paraId="5CEC052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项目所在地边界</w:t>
                  </w:r>
                  <w:r>
                    <w:rPr>
                      <w:rFonts w:hint="eastAsia" w:eastAsia="仿宋" w:cs="Times New Roman"/>
                      <w:color w:val="auto"/>
                      <w:sz w:val="21"/>
                      <w:szCs w:val="21"/>
                      <w:highlight w:val="none"/>
                      <w:lang w:val="en-US" w:eastAsia="zh-CN"/>
                    </w:rPr>
                    <w:t>及敏感点</w:t>
                  </w:r>
                  <w:r>
                    <w:rPr>
                      <w:rFonts w:hint="eastAsia" w:ascii="Times New Roman" w:hAnsi="Times New Roman" w:eastAsia="仿宋" w:cs="Times New Roman"/>
                      <w:color w:val="auto"/>
                      <w:sz w:val="21"/>
                      <w:szCs w:val="21"/>
                      <w:highlight w:val="none"/>
                      <w:lang w:val="en-US" w:eastAsia="zh-CN"/>
                    </w:rPr>
                    <w:t>昼夜间噪声符合《声环境质量标准》</w:t>
                  </w:r>
                  <w:r>
                    <w:rPr>
                      <w:rFonts w:hint="eastAsia"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lang w:val="en-US" w:eastAsia="zh-CN"/>
                    </w:rPr>
                    <w:t>GB3096-2008</w:t>
                  </w:r>
                  <w:r>
                    <w:rPr>
                      <w:rFonts w:hint="eastAsia" w:eastAsia="仿宋" w:cs="Times New Roman"/>
                      <w:color w:val="auto"/>
                      <w:sz w:val="21"/>
                      <w:szCs w:val="21"/>
                      <w:highlight w:val="none"/>
                      <w:lang w:val="en-US" w:eastAsia="zh-CN"/>
                    </w:rPr>
                    <w:t>）</w:t>
                  </w:r>
                  <w:r>
                    <w:rPr>
                      <w:rFonts w:hint="eastAsia" w:ascii="Times New Roman" w:hAnsi="Times New Roman" w:eastAsia="仿宋" w:cs="Times New Roman"/>
                      <w:color w:val="auto"/>
                      <w:sz w:val="21"/>
                      <w:szCs w:val="21"/>
                      <w:highlight w:val="none"/>
                      <w:lang w:val="en-US" w:eastAsia="zh-CN"/>
                    </w:rPr>
                    <w:t>中</w:t>
                  </w:r>
                  <w:r>
                    <w:rPr>
                      <w:rFonts w:hint="eastAsia" w:eastAsia="仿宋" w:cs="Times New Roman"/>
                      <w:color w:val="auto"/>
                      <w:sz w:val="21"/>
                      <w:szCs w:val="21"/>
                      <w:highlight w:val="none"/>
                      <w:lang w:val="en-US" w:eastAsia="zh-CN"/>
                    </w:rPr>
                    <w:t>1</w:t>
                  </w:r>
                  <w:r>
                    <w:rPr>
                      <w:rFonts w:hint="eastAsia" w:ascii="Times New Roman" w:hAnsi="Times New Roman" w:eastAsia="仿宋" w:cs="Times New Roman"/>
                      <w:color w:val="auto"/>
                      <w:sz w:val="21"/>
                      <w:szCs w:val="21"/>
                      <w:highlight w:val="none"/>
                      <w:lang w:val="en-US" w:eastAsia="zh-CN"/>
                    </w:rPr>
                    <w:t>类标准。</w:t>
                  </w:r>
                </w:p>
                <w:p w14:paraId="2108171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仿宋" w:cs="Times New Roman"/>
                      <w:color w:val="auto"/>
                      <w:sz w:val="21"/>
                      <w:szCs w:val="21"/>
                      <w:highlight w:val="none"/>
                      <w:lang w:val="en-US" w:eastAsia="zh-CN" w:bidi="ar-SA"/>
                    </w:rPr>
                  </w:pPr>
                  <w:r>
                    <w:rPr>
                      <w:rFonts w:hint="default" w:ascii="Times New Roman" w:hAnsi="Times New Roman" w:eastAsia="仿宋" w:cs="Times New Roman"/>
                      <w:color w:val="auto"/>
                      <w:sz w:val="21"/>
                      <w:szCs w:val="21"/>
                      <w:highlight w:val="none"/>
                      <w:lang w:val="en-US" w:eastAsia="zh-CN"/>
                    </w:rPr>
                    <w:t>本项目为</w:t>
                  </w:r>
                  <w:r>
                    <w:rPr>
                      <w:rFonts w:hint="eastAsia" w:eastAsia="仿宋" w:cs="Times New Roman"/>
                      <w:snapToGrid w:val="0"/>
                      <w:color w:val="auto"/>
                      <w:kern w:val="0"/>
                      <w:sz w:val="21"/>
                      <w:szCs w:val="21"/>
                      <w:highlight w:val="none"/>
                      <w:lang w:val="en-US" w:eastAsia="zh-CN"/>
                    </w:rPr>
                    <w:t>桥梁</w:t>
                  </w:r>
                  <w:r>
                    <w:rPr>
                      <w:rFonts w:hint="default" w:ascii="Times New Roman" w:hAnsi="Times New Roman" w:eastAsia="仿宋" w:cs="Times New Roman"/>
                      <w:color w:val="auto"/>
                      <w:sz w:val="21"/>
                      <w:szCs w:val="21"/>
                      <w:highlight w:val="none"/>
                      <w:lang w:val="en-US" w:eastAsia="zh-CN"/>
                    </w:rPr>
                    <w:t>项目</w:t>
                  </w:r>
                  <w:r>
                    <w:rPr>
                      <w:rFonts w:hint="eastAsia" w:ascii="Times New Roman" w:hAnsi="Times New Roman" w:eastAsia="仿宋" w:cs="Times New Roman"/>
                      <w:snapToGrid w:val="0"/>
                      <w:color w:val="auto"/>
                      <w:kern w:val="0"/>
                      <w:sz w:val="21"/>
                      <w:szCs w:val="21"/>
                      <w:highlight w:val="none"/>
                      <w:lang w:val="en-US" w:eastAsia="zh-CN"/>
                    </w:rPr>
                    <w:t>，施工期间会产生废气、废水，废气主要是扬尘和车辆尾气，施工废水经沉淀池沉降后收集用于洒水降尘。</w:t>
                  </w:r>
                  <w:r>
                    <w:rPr>
                      <w:rFonts w:hint="default" w:ascii="Times New Roman" w:hAnsi="Times New Roman" w:eastAsia="仿宋" w:cs="Times New Roman"/>
                      <w:snapToGrid w:val="0"/>
                      <w:color w:val="auto"/>
                      <w:kern w:val="0"/>
                      <w:sz w:val="21"/>
                      <w:szCs w:val="21"/>
                      <w:highlight w:val="none"/>
                      <w:lang w:val="en-US" w:eastAsia="zh-CN"/>
                    </w:rPr>
                    <w:t>本项目运营期不产生废气、废水、</w:t>
                  </w:r>
                  <w:r>
                    <w:rPr>
                      <w:rFonts w:hint="default" w:ascii="Times New Roman" w:hAnsi="Times New Roman" w:eastAsia="仿宋" w:cs="Times New Roman"/>
                      <w:color w:val="auto"/>
                      <w:sz w:val="21"/>
                      <w:szCs w:val="21"/>
                      <w:highlight w:val="none"/>
                      <w:lang w:val="en-US" w:eastAsia="zh-CN"/>
                    </w:rPr>
                    <w:t>固废，符合环境质量底线要求。</w:t>
                  </w:r>
                </w:p>
              </w:tc>
              <w:tc>
                <w:tcPr>
                  <w:tcW w:w="639" w:type="pct"/>
                  <w:vAlign w:val="center"/>
                </w:tcPr>
                <w:p w14:paraId="4A5475DD">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rPr>
                    <w:t>是</w:t>
                  </w:r>
                </w:p>
              </w:tc>
            </w:tr>
            <w:tr w14:paraId="3867C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Align w:val="center"/>
                </w:tcPr>
                <w:p w14:paraId="40AFB239">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default" w:ascii="Times New Roman" w:hAnsi="Times New Roman" w:eastAsia="仿宋" w:cs="Times New Roman"/>
                      <w:color w:val="auto"/>
                      <w:sz w:val="21"/>
                      <w:szCs w:val="21"/>
                      <w:highlight w:val="none"/>
                    </w:rPr>
                    <w:t>负面清单</w:t>
                  </w:r>
                </w:p>
              </w:tc>
              <w:tc>
                <w:tcPr>
                  <w:tcW w:w="3739" w:type="pct"/>
                  <w:vAlign w:val="center"/>
                </w:tcPr>
                <w:p w14:paraId="6ECF17A4">
                  <w:pPr>
                    <w:pStyle w:val="30"/>
                    <w:numPr>
                      <w:ilvl w:val="255"/>
                      <w:numId w:val="0"/>
                    </w:numPr>
                    <w:ind w:left="0" w:leftChars="0" w:firstLine="0" w:firstLineChars="0"/>
                    <w:jc w:val="both"/>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本项目为桥梁项目，符合现行国家产业、行业政策。经查《市场准入负面清单》（2022年版）（发改体改规[2022]397号），本项目不在其禁止准入类和限制准入类中。</w:t>
                  </w:r>
                </w:p>
                <w:p w14:paraId="6B27632E">
                  <w:pPr>
                    <w:pStyle w:val="30"/>
                    <w:numPr>
                      <w:ilvl w:val="255"/>
                      <w:numId w:val="0"/>
                    </w:numPr>
                    <w:ind w:left="0" w:leftChars="0" w:firstLine="0" w:firstLineChars="0"/>
                    <w:jc w:val="both"/>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rPr>
                    <w:t>对照《&lt;长江经济带发展负面清单指南（试行，2022年版）&gt;江苏省实施细则》（苏长江办发[2022]55号），本项目不在其禁止和限制的项目中。</w:t>
                  </w:r>
                </w:p>
              </w:tc>
              <w:tc>
                <w:tcPr>
                  <w:tcW w:w="639" w:type="pct"/>
                  <w:vAlign w:val="center"/>
                </w:tcPr>
                <w:p w14:paraId="1EB6A39F">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是</w:t>
                  </w:r>
                </w:p>
              </w:tc>
            </w:tr>
          </w:tbl>
          <w:p w14:paraId="09CC57BD">
            <w:pPr>
              <w:pStyle w:val="10"/>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kern w:val="2"/>
                <w:sz w:val="24"/>
                <w:szCs w:val="22"/>
                <w:highlight w:val="none"/>
                <w:lang w:val="en-US" w:eastAsia="zh-CN" w:bidi="ar-SA"/>
              </w:rPr>
            </w:pPr>
            <w:r>
              <w:rPr>
                <w:rFonts w:hint="eastAsia" w:eastAsia="仿宋" w:cs="Times New Roman"/>
                <w:color w:val="auto"/>
                <w:kern w:val="2"/>
                <w:sz w:val="24"/>
                <w:szCs w:val="22"/>
                <w:highlight w:val="none"/>
                <w:lang w:val="en-US" w:eastAsia="zh-CN" w:bidi="ar-SA"/>
              </w:rPr>
              <w:t>由上表可知，本项目符合“三线一单”（即生态保护红线、环境质量底线、资源利用上线、环境准入负面清单）管理机制的要求。</w:t>
            </w:r>
          </w:p>
          <w:p w14:paraId="5AE61BC0">
            <w:pPr>
              <w:pStyle w:val="10"/>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仿宋" w:cs="Times New Roman"/>
                <w:color w:val="auto"/>
                <w:kern w:val="2"/>
                <w:sz w:val="24"/>
                <w:szCs w:val="22"/>
                <w:highlight w:val="none"/>
                <w:lang w:val="en-US" w:eastAsia="zh-CN" w:bidi="ar-SA"/>
              </w:rPr>
            </w:pPr>
            <w:r>
              <w:rPr>
                <w:rFonts w:hint="eastAsia" w:ascii="Times New Roman" w:hAnsi="Times New Roman" w:eastAsia="仿宋" w:cs="Times New Roman"/>
                <w:color w:val="auto"/>
                <w:kern w:val="2"/>
                <w:sz w:val="24"/>
                <w:szCs w:val="22"/>
                <w:highlight w:val="none"/>
                <w:lang w:val="en-US" w:eastAsia="zh-CN" w:bidi="ar-SA"/>
              </w:rPr>
              <w:t>根据《关于印发常州市“三线一单”生态环境分区管控实施方案的通知》（常环[2020]95号）</w:t>
            </w:r>
            <w:r>
              <w:rPr>
                <w:rFonts w:hint="eastAsia" w:eastAsia="仿宋" w:cs="Times New Roman"/>
                <w:color w:val="auto"/>
                <w:kern w:val="2"/>
                <w:sz w:val="24"/>
                <w:szCs w:val="22"/>
                <w:highlight w:val="none"/>
                <w:lang w:val="en-US" w:eastAsia="zh-CN" w:bidi="ar-SA"/>
              </w:rPr>
              <w:t>，</w:t>
            </w:r>
            <w:r>
              <w:rPr>
                <w:rFonts w:hint="eastAsia" w:ascii="Times New Roman" w:hAnsi="Times New Roman" w:eastAsia="仿宋" w:cs="Times New Roman"/>
                <w:color w:val="auto"/>
                <w:kern w:val="2"/>
                <w:sz w:val="24"/>
                <w:szCs w:val="22"/>
                <w:highlight w:val="none"/>
                <w:lang w:val="en-US" w:eastAsia="zh-CN" w:bidi="ar-SA"/>
              </w:rPr>
              <w:t>本项目所在地</w:t>
            </w:r>
            <w:r>
              <w:rPr>
                <w:rFonts w:hint="eastAsia" w:eastAsia="仿宋" w:cs="Times New Roman"/>
                <w:color w:val="auto"/>
                <w:kern w:val="2"/>
                <w:sz w:val="24"/>
                <w:szCs w:val="22"/>
                <w:highlight w:val="none"/>
                <w:lang w:val="en-US" w:eastAsia="zh-CN" w:bidi="ar-SA"/>
              </w:rPr>
              <w:t>为</w:t>
            </w:r>
            <w:r>
              <w:rPr>
                <w:rFonts w:hint="default" w:ascii="Times New Roman" w:hAnsi="Times New Roman" w:eastAsia="仿宋" w:cs="Times New Roman"/>
                <w:color w:val="auto"/>
                <w:highlight w:val="none"/>
                <w:lang w:val="en-US" w:eastAsia="zh-CN"/>
              </w:rPr>
              <w:t>江苏省常州市金坛区河海大道与丹桂南路交叉口以南、长荡湖北岸</w:t>
            </w:r>
            <w:r>
              <w:rPr>
                <w:rFonts w:hint="eastAsia" w:eastAsia="仿宋" w:cs="Times New Roman"/>
                <w:color w:val="auto"/>
                <w:kern w:val="2"/>
                <w:sz w:val="24"/>
                <w:szCs w:val="22"/>
                <w:highlight w:val="none"/>
                <w:lang w:val="en-US" w:eastAsia="zh-CN" w:bidi="ar-SA"/>
              </w:rPr>
              <w:t>，位于长荡湖重要渔业水域，属于“优先保护单元”，</w:t>
            </w:r>
            <w:r>
              <w:rPr>
                <w:rFonts w:hint="eastAsia" w:ascii="Times New Roman" w:hAnsi="Times New Roman" w:eastAsia="仿宋" w:cs="Times New Roman"/>
                <w:color w:val="auto"/>
                <w:kern w:val="2"/>
                <w:sz w:val="24"/>
                <w:szCs w:val="22"/>
                <w:highlight w:val="none"/>
                <w:lang w:val="en-US" w:eastAsia="zh-CN" w:bidi="ar-SA"/>
              </w:rPr>
              <w:t>相符性分析见表1-</w:t>
            </w:r>
            <w:r>
              <w:rPr>
                <w:rFonts w:hint="eastAsia" w:eastAsia="仿宋" w:cs="Times New Roman"/>
                <w:color w:val="auto"/>
                <w:kern w:val="2"/>
                <w:sz w:val="24"/>
                <w:szCs w:val="22"/>
                <w:highlight w:val="none"/>
                <w:lang w:val="en-US" w:eastAsia="zh-CN" w:bidi="ar-SA"/>
              </w:rPr>
              <w:t>4</w:t>
            </w:r>
            <w:r>
              <w:rPr>
                <w:rFonts w:hint="eastAsia" w:ascii="Times New Roman" w:hAnsi="Times New Roman" w:eastAsia="仿宋" w:cs="Times New Roman"/>
                <w:color w:val="auto"/>
                <w:kern w:val="2"/>
                <w:sz w:val="24"/>
                <w:szCs w:val="22"/>
                <w:highlight w:val="none"/>
                <w:lang w:val="en-US" w:eastAsia="zh-CN" w:bidi="ar-SA"/>
              </w:rPr>
              <w:t>。</w:t>
            </w:r>
          </w:p>
          <w:p w14:paraId="411F081F">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t>表1-4 与常州市“三线一单”生态环境管控要求相符性预判情况</w:t>
            </w:r>
          </w:p>
          <w:tbl>
            <w:tblPr>
              <w:tblStyle w:val="2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4226"/>
              <w:gridCol w:w="3078"/>
              <w:gridCol w:w="967"/>
            </w:tblGrid>
            <w:tr w14:paraId="691BD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vAlign w:val="center"/>
                </w:tcPr>
                <w:p w14:paraId="1CE52C87">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b/>
                      <w:bCs/>
                      <w:color w:val="auto"/>
                      <w:sz w:val="21"/>
                      <w:szCs w:val="21"/>
                      <w:highlight w:val="none"/>
                      <w:lang w:val="en-US" w:eastAsia="zh-CN" w:bidi="ar-SA"/>
                    </w:rPr>
                  </w:pPr>
                  <w:r>
                    <w:rPr>
                      <w:rFonts w:hint="eastAsia" w:ascii="Times New Roman" w:hAnsi="Times New Roman" w:eastAsia="仿宋" w:cs="Times New Roman"/>
                      <w:b/>
                      <w:bCs/>
                      <w:color w:val="auto"/>
                      <w:sz w:val="21"/>
                      <w:szCs w:val="21"/>
                      <w:highlight w:val="none"/>
                      <w:lang w:val="en-US" w:eastAsia="zh-CN" w:bidi="ar-SA"/>
                    </w:rPr>
                    <w:t>管控</w:t>
                  </w:r>
                </w:p>
                <w:p w14:paraId="449CD615">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b/>
                      <w:bCs/>
                      <w:color w:val="auto"/>
                      <w:sz w:val="21"/>
                      <w:szCs w:val="21"/>
                      <w:highlight w:val="none"/>
                      <w:lang w:val="en-US" w:eastAsia="zh-CN" w:bidi="ar-SA"/>
                    </w:rPr>
                  </w:pPr>
                  <w:r>
                    <w:rPr>
                      <w:rFonts w:hint="eastAsia" w:ascii="Times New Roman" w:hAnsi="Times New Roman" w:eastAsia="仿宋" w:cs="Times New Roman"/>
                      <w:b/>
                      <w:bCs/>
                      <w:color w:val="auto"/>
                      <w:sz w:val="21"/>
                      <w:szCs w:val="21"/>
                      <w:highlight w:val="none"/>
                      <w:lang w:val="en-US" w:eastAsia="zh-CN" w:bidi="ar-SA"/>
                    </w:rPr>
                    <w:t>类别</w:t>
                  </w:r>
                </w:p>
              </w:tc>
              <w:tc>
                <w:tcPr>
                  <w:tcW w:w="2312" w:type="pct"/>
                  <w:vAlign w:val="center"/>
                </w:tcPr>
                <w:p w14:paraId="7A022E14">
                  <w:pPr>
                    <w:pStyle w:val="10"/>
                    <w:widowControl w:val="0"/>
                    <w:numPr>
                      <w:ilvl w:val="0"/>
                      <w:numId w:val="0"/>
                    </w:numPr>
                    <w:spacing w:line="360" w:lineRule="auto"/>
                    <w:jc w:val="center"/>
                    <w:rPr>
                      <w:rFonts w:hint="eastAsia" w:ascii="Times New Roman" w:hAnsi="Times New Roman" w:eastAsia="仿宋" w:cs="Times New Roman"/>
                      <w:b/>
                      <w:bCs/>
                      <w:color w:val="auto"/>
                      <w:sz w:val="21"/>
                      <w:szCs w:val="21"/>
                      <w:highlight w:val="none"/>
                      <w:lang w:val="en-US" w:eastAsia="zh-CN" w:bidi="ar-SA"/>
                    </w:rPr>
                  </w:pPr>
                  <w:r>
                    <w:rPr>
                      <w:rFonts w:hint="eastAsia" w:eastAsia="仿宋" w:cs="Times New Roman"/>
                      <w:b/>
                      <w:bCs/>
                      <w:color w:val="auto"/>
                      <w:sz w:val="21"/>
                      <w:szCs w:val="21"/>
                      <w:highlight w:val="none"/>
                      <w:lang w:val="en-US" w:eastAsia="zh-CN" w:bidi="ar-SA"/>
                    </w:rPr>
                    <w:t>优先保护</w:t>
                  </w:r>
                  <w:r>
                    <w:rPr>
                      <w:rFonts w:hint="eastAsia" w:ascii="Times New Roman" w:hAnsi="Times New Roman" w:eastAsia="仿宋" w:cs="Times New Roman"/>
                      <w:b/>
                      <w:bCs/>
                      <w:color w:val="auto"/>
                      <w:sz w:val="21"/>
                      <w:szCs w:val="21"/>
                      <w:highlight w:val="none"/>
                      <w:lang w:val="en-US" w:eastAsia="zh-CN" w:bidi="ar-SA"/>
                    </w:rPr>
                    <w:t>要求</w:t>
                  </w:r>
                </w:p>
              </w:tc>
              <w:tc>
                <w:tcPr>
                  <w:tcW w:w="1684" w:type="pct"/>
                  <w:vAlign w:val="center"/>
                </w:tcPr>
                <w:p w14:paraId="378A17F7">
                  <w:pPr>
                    <w:pStyle w:val="10"/>
                    <w:widowControl w:val="0"/>
                    <w:numPr>
                      <w:ilvl w:val="0"/>
                      <w:numId w:val="0"/>
                    </w:numPr>
                    <w:spacing w:line="360" w:lineRule="auto"/>
                    <w:jc w:val="center"/>
                    <w:rPr>
                      <w:rFonts w:hint="eastAsia" w:ascii="Times New Roman" w:hAnsi="Times New Roman" w:eastAsia="仿宋" w:cs="Times New Roman"/>
                      <w:b/>
                      <w:bCs/>
                      <w:color w:val="auto"/>
                      <w:sz w:val="21"/>
                      <w:szCs w:val="21"/>
                      <w:highlight w:val="none"/>
                      <w:lang w:val="en-US" w:eastAsia="zh-CN" w:bidi="ar-SA"/>
                    </w:rPr>
                  </w:pPr>
                  <w:r>
                    <w:rPr>
                      <w:rFonts w:hint="eastAsia" w:ascii="Times New Roman" w:hAnsi="Times New Roman" w:eastAsia="仿宋" w:cs="Times New Roman"/>
                      <w:b/>
                      <w:bCs/>
                      <w:color w:val="auto"/>
                      <w:sz w:val="21"/>
                      <w:szCs w:val="21"/>
                      <w:highlight w:val="none"/>
                      <w:lang w:val="en-US" w:eastAsia="zh-CN" w:bidi="ar-SA"/>
                    </w:rPr>
                    <w:t>对照分析</w:t>
                  </w:r>
                </w:p>
              </w:tc>
              <w:tc>
                <w:tcPr>
                  <w:tcW w:w="529" w:type="pct"/>
                  <w:vAlign w:val="center"/>
                </w:tcPr>
                <w:p w14:paraId="0BFC84AA">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b/>
                      <w:bCs/>
                      <w:color w:val="auto"/>
                      <w:sz w:val="21"/>
                      <w:szCs w:val="21"/>
                      <w:highlight w:val="none"/>
                      <w:lang w:val="en-US" w:eastAsia="zh-CN" w:bidi="ar-SA"/>
                    </w:rPr>
                  </w:pPr>
                  <w:r>
                    <w:rPr>
                      <w:rFonts w:hint="eastAsia" w:ascii="Times New Roman" w:hAnsi="Times New Roman" w:eastAsia="仿宋" w:cs="Times New Roman"/>
                      <w:b/>
                      <w:bCs/>
                      <w:color w:val="auto"/>
                      <w:sz w:val="21"/>
                      <w:szCs w:val="21"/>
                      <w:highlight w:val="none"/>
                      <w:lang w:val="en-US" w:eastAsia="zh-CN" w:bidi="ar-SA"/>
                    </w:rPr>
                    <w:t>是否相符</w:t>
                  </w:r>
                </w:p>
              </w:tc>
            </w:tr>
            <w:tr w14:paraId="6ACB7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vAlign w:val="center"/>
                </w:tcPr>
                <w:p w14:paraId="76D9B43E">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空间</w:t>
                  </w:r>
                </w:p>
                <w:p w14:paraId="4CDC0CA9">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布局</w:t>
                  </w:r>
                </w:p>
                <w:p w14:paraId="43A429D0">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约束</w:t>
                  </w:r>
                </w:p>
              </w:tc>
              <w:tc>
                <w:tcPr>
                  <w:tcW w:w="2312" w:type="pct"/>
                  <w:vAlign w:val="center"/>
                </w:tcPr>
                <w:p w14:paraId="402F855C">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（1）生态空间管控区域以生态保护为重点，原则上不得开展有损主导生态功能的开发建设活动，不得随意占用和调整。</w:t>
                  </w:r>
                </w:p>
                <w:p w14:paraId="638209AB">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（2）按照《中华人民共和国渔业法》《江苏省渔业管理条例》《江苏省生态空间管控区域规划》及相关法律法规实施保护管理。</w:t>
                  </w:r>
                </w:p>
              </w:tc>
              <w:tc>
                <w:tcPr>
                  <w:tcW w:w="1684" w:type="pct"/>
                  <w:vAlign w:val="center"/>
                </w:tcPr>
                <w:p w14:paraId="213A86E7">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本项目不属于上述禁止项目。</w:t>
                  </w:r>
                </w:p>
              </w:tc>
              <w:tc>
                <w:tcPr>
                  <w:tcW w:w="529" w:type="pct"/>
                  <w:vAlign w:val="center"/>
                </w:tcPr>
                <w:p w14:paraId="3E0828F5">
                  <w:pPr>
                    <w:pStyle w:val="10"/>
                    <w:widowControl w:val="0"/>
                    <w:numPr>
                      <w:ilvl w:val="0"/>
                      <w:numId w:val="0"/>
                    </w:numPr>
                    <w:spacing w:line="360" w:lineRule="auto"/>
                    <w:jc w:val="center"/>
                    <w:rPr>
                      <w:rFonts w:hint="default" w:ascii="Times New Roman" w:hAnsi="Times New Roman"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是</w:t>
                  </w:r>
                </w:p>
              </w:tc>
            </w:tr>
            <w:tr w14:paraId="7ACF4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vAlign w:val="center"/>
                </w:tcPr>
                <w:p w14:paraId="38915D04">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污染</w:t>
                  </w:r>
                </w:p>
                <w:p w14:paraId="38586E27">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物排</w:t>
                  </w:r>
                </w:p>
                <w:p w14:paraId="2A5CE395">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放管</w:t>
                  </w:r>
                </w:p>
                <w:p w14:paraId="065BDFEB">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控</w:t>
                  </w:r>
                </w:p>
              </w:tc>
              <w:tc>
                <w:tcPr>
                  <w:tcW w:w="2312" w:type="pct"/>
                  <w:vAlign w:val="center"/>
                </w:tcPr>
                <w:p w14:paraId="3234F68A">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根据《中华人民共和国渔业法》：从事养殖生产不得使用含有毒有害物质的饵料、饲料。从事养殖生产应当保护水域生态环境，科学确定养殖密度，合理投饵、施肥、使用药物，不得造成水域的环境污染。</w:t>
                  </w:r>
                </w:p>
              </w:tc>
              <w:tc>
                <w:tcPr>
                  <w:tcW w:w="1684" w:type="pct"/>
                  <w:vAlign w:val="center"/>
                </w:tcPr>
                <w:p w14:paraId="1ED6E848">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both"/>
                    <w:textAlignment w:val="auto"/>
                    <w:rPr>
                      <w:rFonts w:hint="eastAsia" w:eastAsia="仿宋" w:cs="仿宋"/>
                      <w:b w:val="0"/>
                      <w:bCs w:val="0"/>
                      <w:color w:val="auto"/>
                      <w:sz w:val="21"/>
                      <w:szCs w:val="21"/>
                      <w:lang w:val="en-US" w:eastAsia="zh-CN"/>
                    </w:rPr>
                  </w:pPr>
                  <w:r>
                    <w:rPr>
                      <w:rFonts w:hint="eastAsia" w:eastAsia="仿宋" w:cs="Times New Roman"/>
                      <w:color w:val="auto"/>
                      <w:sz w:val="21"/>
                      <w:szCs w:val="21"/>
                      <w:highlight w:val="none"/>
                      <w:lang w:val="en-US" w:eastAsia="zh-CN" w:bidi="ar-SA"/>
                    </w:rPr>
                    <w:t>本项目为新建桥梁工程，</w:t>
                  </w:r>
                  <w:r>
                    <w:rPr>
                      <w:rFonts w:hint="eastAsia" w:eastAsia="仿宋" w:cs="仿宋"/>
                      <w:b w:val="0"/>
                      <w:bCs w:val="0"/>
                      <w:color w:val="auto"/>
                      <w:sz w:val="21"/>
                      <w:szCs w:val="21"/>
                      <w:lang w:val="en-US" w:eastAsia="zh-CN"/>
                    </w:rPr>
                    <w:t>施工期采用先进的施工工艺，选用符合国家有关标准的施工机械和运输工具；对施工现场进行科学管理；减少噪声、扬沙、扬尘对水域生物的影响。</w:t>
                  </w:r>
                </w:p>
                <w:p w14:paraId="19F68273">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both"/>
                    <w:textAlignment w:val="auto"/>
                    <w:rPr>
                      <w:rFonts w:hint="eastAsia"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运营期不涉及生产废水、废气，满足污染物排放管控要求。</w:t>
                  </w:r>
                </w:p>
                <w:p w14:paraId="3BB25E81">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both"/>
                    <w:textAlignment w:val="auto"/>
                    <w:rPr>
                      <w:rFonts w:hint="default" w:ascii="Times New Roman" w:hAnsi="Times New Roman"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本项目非生产型项目，不核定总量控制指标。</w:t>
                  </w:r>
                </w:p>
              </w:tc>
              <w:tc>
                <w:tcPr>
                  <w:tcW w:w="529" w:type="pct"/>
                  <w:vAlign w:val="center"/>
                </w:tcPr>
                <w:p w14:paraId="3CA59778">
                  <w:pPr>
                    <w:pStyle w:val="10"/>
                    <w:widowControl w:val="0"/>
                    <w:numPr>
                      <w:ilvl w:val="0"/>
                      <w:numId w:val="0"/>
                    </w:numPr>
                    <w:spacing w:line="360" w:lineRule="auto"/>
                    <w:jc w:val="center"/>
                    <w:rPr>
                      <w:rFonts w:hint="default" w:ascii="Times New Roman" w:hAnsi="Times New Roman"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是</w:t>
                  </w:r>
                </w:p>
              </w:tc>
            </w:tr>
            <w:tr w14:paraId="7E26D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vAlign w:val="center"/>
                </w:tcPr>
                <w:p w14:paraId="0B5D6AE3">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环境</w:t>
                  </w:r>
                </w:p>
                <w:p w14:paraId="57F115A0">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风险</w:t>
                  </w:r>
                </w:p>
                <w:p w14:paraId="4B2E34C8">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防控</w:t>
                  </w:r>
                </w:p>
              </w:tc>
              <w:tc>
                <w:tcPr>
                  <w:tcW w:w="2312" w:type="pct"/>
                  <w:vAlign w:val="center"/>
                </w:tcPr>
                <w:p w14:paraId="635BED6A">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w:t>
                  </w:r>
                </w:p>
              </w:tc>
              <w:tc>
                <w:tcPr>
                  <w:tcW w:w="1684" w:type="pct"/>
                  <w:vAlign w:val="center"/>
                </w:tcPr>
                <w:p w14:paraId="77C3EE4F">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default"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w:t>
                  </w:r>
                </w:p>
              </w:tc>
              <w:tc>
                <w:tcPr>
                  <w:tcW w:w="529" w:type="pct"/>
                  <w:vAlign w:val="center"/>
                </w:tcPr>
                <w:p w14:paraId="4CD57999">
                  <w:pPr>
                    <w:pStyle w:val="10"/>
                    <w:widowControl w:val="0"/>
                    <w:numPr>
                      <w:ilvl w:val="0"/>
                      <w:numId w:val="0"/>
                    </w:numPr>
                    <w:spacing w:line="360" w:lineRule="auto"/>
                    <w:jc w:val="center"/>
                    <w:rPr>
                      <w:rFonts w:hint="default" w:ascii="Times New Roman" w:hAnsi="Times New Roman"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w:t>
                  </w:r>
                </w:p>
              </w:tc>
            </w:tr>
            <w:tr w14:paraId="34685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vAlign w:val="center"/>
                </w:tcPr>
                <w:p w14:paraId="2D72705B">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资源</w:t>
                  </w:r>
                </w:p>
                <w:p w14:paraId="20530D0B">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利用</w:t>
                  </w:r>
                </w:p>
                <w:p w14:paraId="3735E690">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效率</w:t>
                  </w:r>
                </w:p>
                <w:p w14:paraId="745EC4CB">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要求</w:t>
                  </w:r>
                </w:p>
              </w:tc>
              <w:tc>
                <w:tcPr>
                  <w:tcW w:w="2312" w:type="pct"/>
                  <w:vAlign w:val="center"/>
                </w:tcPr>
                <w:p w14:paraId="6946521B">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（1）根据《中华人民共和国渔业法》：国家根据捕捞量低于渔业资源增长量的原则，确定渔业资源的总可捕捞量，实行捕捞限额制度。</w:t>
                  </w:r>
                </w:p>
                <w:p w14:paraId="11F23575">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（2）根据《江苏省渔业管理条例》：限制捕捞长江中华绒螯蟹亲蟹、幼蟹和蟹苗及沿海的鳗鱼苗。国家和省级水产种质资源保护区、水生生物自然保护区常年禁止捕捞和垂钓。</w:t>
                  </w:r>
                </w:p>
              </w:tc>
              <w:tc>
                <w:tcPr>
                  <w:tcW w:w="1684" w:type="pct"/>
                  <w:vAlign w:val="center"/>
                </w:tcPr>
                <w:p w14:paraId="26EFAFCD">
                  <w:pPr>
                    <w:pStyle w:val="10"/>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both"/>
                    <w:textAlignment w:val="auto"/>
                    <w:rPr>
                      <w:rFonts w:hint="default"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本项目为</w:t>
                  </w:r>
                  <w:r>
                    <w:rPr>
                      <w:rFonts w:hint="eastAsia" w:ascii="Times New Roman" w:hAnsi="Times New Roman" w:eastAsia="仿宋" w:cs="Times New Roman"/>
                      <w:color w:val="auto"/>
                      <w:sz w:val="21"/>
                      <w:szCs w:val="21"/>
                      <w:highlight w:val="none"/>
                      <w:lang w:val="en-US" w:eastAsia="zh-CN"/>
                    </w:rPr>
                    <w:t>本项目为新建桥梁工程，</w:t>
                  </w:r>
                  <w:r>
                    <w:rPr>
                      <w:rFonts w:hint="eastAsia" w:eastAsia="仿宋" w:cs="Times New Roman"/>
                      <w:color w:val="auto"/>
                      <w:sz w:val="21"/>
                      <w:szCs w:val="21"/>
                      <w:highlight w:val="none"/>
                      <w:lang w:val="en-US" w:eastAsia="zh-CN"/>
                    </w:rPr>
                    <w:t>不进行渔业捕捞活动。</w:t>
                  </w:r>
                </w:p>
              </w:tc>
              <w:tc>
                <w:tcPr>
                  <w:tcW w:w="529" w:type="pct"/>
                  <w:vAlign w:val="center"/>
                </w:tcPr>
                <w:p w14:paraId="4815F5AC">
                  <w:pPr>
                    <w:pStyle w:val="10"/>
                    <w:widowControl w:val="0"/>
                    <w:numPr>
                      <w:ilvl w:val="0"/>
                      <w:numId w:val="0"/>
                    </w:numPr>
                    <w:spacing w:line="360" w:lineRule="auto"/>
                    <w:jc w:val="center"/>
                    <w:rPr>
                      <w:rFonts w:hint="default" w:ascii="Times New Roman" w:hAnsi="Times New Roman" w:eastAsia="仿宋" w:cs="Times New Roman"/>
                      <w:color w:val="auto"/>
                      <w:sz w:val="21"/>
                      <w:szCs w:val="21"/>
                      <w:highlight w:val="none"/>
                      <w:lang w:val="en-US" w:eastAsia="zh-CN" w:bidi="ar-SA"/>
                    </w:rPr>
                  </w:pPr>
                  <w:r>
                    <w:rPr>
                      <w:rFonts w:hint="eastAsia" w:eastAsia="仿宋" w:cs="Times New Roman"/>
                      <w:color w:val="auto"/>
                      <w:sz w:val="21"/>
                      <w:szCs w:val="21"/>
                      <w:highlight w:val="none"/>
                      <w:lang w:val="en-US" w:eastAsia="zh-CN" w:bidi="ar-SA"/>
                    </w:rPr>
                    <w:t>是</w:t>
                  </w:r>
                </w:p>
              </w:tc>
            </w:tr>
          </w:tbl>
          <w:p w14:paraId="4B06368A">
            <w:pPr>
              <w:pStyle w:val="9"/>
              <w:rPr>
                <w:rFonts w:hint="eastAsia" w:ascii="Times New Roman" w:hAnsi="Times New Roman" w:eastAsia="仿宋" w:cs="Times New Roman"/>
                <w:color w:val="auto"/>
                <w:highlight w:val="none"/>
                <w:lang w:val="en-US" w:eastAsia="zh-CN"/>
              </w:rPr>
            </w:pPr>
            <w:r>
              <w:rPr>
                <w:rFonts w:hint="eastAsia" w:ascii="Times New Roman" w:hAnsi="Times New Roman" w:eastAsia="仿宋" w:cs="Times New Roman"/>
                <w:color w:val="auto"/>
                <w:highlight w:val="none"/>
                <w:lang w:val="en-US" w:eastAsia="zh-CN"/>
              </w:rPr>
              <w:t>由上表可知，本项目符合常州市“三线一单”管控要求（满足空间布局约束、满足污染物排放管控、满足环境风险防控要求、满足资源开发效率要求）。</w:t>
            </w:r>
          </w:p>
          <w:p w14:paraId="422FA5A0">
            <w:pPr>
              <w:pStyle w:val="9"/>
              <w:ind w:left="0" w:leftChars="0" w:firstLine="0" w:firstLineChars="0"/>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t>三、法律法规政策的相符性分析</w:t>
            </w:r>
          </w:p>
          <w:p w14:paraId="0BE6D5EF">
            <w:pPr>
              <w:pStyle w:val="9"/>
              <w:rPr>
                <w:rFonts w:hint="eastAsia" w:ascii="Times New Roman" w:hAnsi="Times New Roman" w:eastAsia="仿宋" w:cs="Times New Roman"/>
                <w:color w:val="auto"/>
                <w:highlight w:val="none"/>
                <w:lang w:val="en-US" w:eastAsia="zh-CN"/>
              </w:rPr>
            </w:pPr>
            <w:r>
              <w:rPr>
                <w:rFonts w:hint="eastAsia" w:ascii="Times New Roman" w:hAnsi="Times New Roman" w:eastAsia="仿宋" w:cs="Times New Roman"/>
                <w:color w:val="auto"/>
                <w:highlight w:val="none"/>
                <w:lang w:val="en-US" w:eastAsia="zh-CN"/>
              </w:rPr>
              <w:t>本项目与国家和地方法律法规政策的符合性分析具体见下表。</w:t>
            </w:r>
          </w:p>
          <w:p w14:paraId="287E2A72">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t>表1-5 本项目与法律法规政策相符性分析</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3"/>
              <w:gridCol w:w="4622"/>
              <w:gridCol w:w="2242"/>
              <w:gridCol w:w="759"/>
            </w:tblGrid>
            <w:tr w14:paraId="3BED2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12DF21B3">
                  <w:pPr>
                    <w:pStyle w:val="30"/>
                    <w:numPr>
                      <w:ilvl w:val="255"/>
                      <w:numId w:val="0"/>
                    </w:numPr>
                    <w:ind w:left="0" w:leftChars="0" w:firstLine="0" w:firstLineChars="0"/>
                    <w:jc w:val="center"/>
                    <w:rPr>
                      <w:rFonts w:hint="default" w:ascii="Times New Roman" w:hAnsi="Times New Roman" w:eastAsia="仿宋" w:cs="Times New Roman"/>
                      <w:b/>
                      <w:bCs/>
                      <w:color w:val="auto"/>
                      <w:sz w:val="21"/>
                      <w:szCs w:val="21"/>
                      <w:highlight w:val="none"/>
                      <w:lang w:val="en-US" w:eastAsia="zh-CN" w:bidi="ar-SA"/>
                    </w:rPr>
                  </w:pPr>
                  <w:r>
                    <w:rPr>
                      <w:rFonts w:hint="eastAsia" w:ascii="Times New Roman" w:hAnsi="Times New Roman" w:eastAsia="仿宋" w:cs="Times New Roman"/>
                      <w:b/>
                      <w:bCs/>
                      <w:color w:val="auto"/>
                      <w:sz w:val="21"/>
                      <w:szCs w:val="21"/>
                      <w:highlight w:val="none"/>
                      <w:lang w:val="en-US" w:eastAsia="zh-CN"/>
                    </w:rPr>
                    <w:t>文件名称</w:t>
                  </w:r>
                </w:p>
              </w:tc>
              <w:tc>
                <w:tcPr>
                  <w:tcW w:w="2529" w:type="pct"/>
                  <w:vAlign w:val="center"/>
                </w:tcPr>
                <w:p w14:paraId="648C1AA1">
                  <w:pPr>
                    <w:pStyle w:val="30"/>
                    <w:numPr>
                      <w:ilvl w:val="255"/>
                      <w:numId w:val="0"/>
                    </w:numPr>
                    <w:ind w:left="0" w:leftChars="0" w:firstLine="0" w:firstLineChars="0"/>
                    <w:jc w:val="center"/>
                    <w:rPr>
                      <w:rFonts w:hint="eastAsia" w:ascii="Times New Roman" w:hAnsi="Times New Roman" w:eastAsia="仿宋" w:cs="Times New Roman"/>
                      <w:b/>
                      <w:bCs/>
                      <w:color w:val="auto"/>
                      <w:sz w:val="21"/>
                      <w:szCs w:val="21"/>
                      <w:highlight w:val="none"/>
                      <w:lang w:val="en-US" w:eastAsia="zh-CN" w:bidi="ar-SA"/>
                    </w:rPr>
                  </w:pPr>
                  <w:r>
                    <w:rPr>
                      <w:rFonts w:hint="eastAsia" w:ascii="Times New Roman" w:hAnsi="Times New Roman" w:eastAsia="仿宋" w:cs="Times New Roman"/>
                      <w:b/>
                      <w:bCs/>
                      <w:color w:val="auto"/>
                      <w:sz w:val="21"/>
                      <w:szCs w:val="21"/>
                      <w:highlight w:val="none"/>
                      <w:lang w:val="en-US" w:eastAsia="zh-CN"/>
                    </w:rPr>
                    <w:t>要求</w:t>
                  </w:r>
                </w:p>
              </w:tc>
              <w:tc>
                <w:tcPr>
                  <w:tcW w:w="1227" w:type="pct"/>
                  <w:vAlign w:val="center"/>
                </w:tcPr>
                <w:p w14:paraId="088905BB">
                  <w:pPr>
                    <w:pStyle w:val="30"/>
                    <w:numPr>
                      <w:ilvl w:val="255"/>
                      <w:numId w:val="0"/>
                    </w:numPr>
                    <w:ind w:left="0" w:leftChars="0" w:firstLine="0" w:firstLineChars="0"/>
                    <w:jc w:val="center"/>
                    <w:rPr>
                      <w:rFonts w:hint="default" w:ascii="Times New Roman" w:hAnsi="Times New Roman" w:eastAsia="仿宋" w:cs="Times New Roman"/>
                      <w:b/>
                      <w:bCs/>
                      <w:color w:val="auto"/>
                      <w:sz w:val="21"/>
                      <w:szCs w:val="21"/>
                      <w:highlight w:val="none"/>
                      <w:lang w:val="en-US" w:eastAsia="zh-CN" w:bidi="ar-SA"/>
                    </w:rPr>
                  </w:pPr>
                  <w:r>
                    <w:rPr>
                      <w:rFonts w:hint="eastAsia" w:ascii="Times New Roman" w:hAnsi="Times New Roman" w:eastAsia="仿宋" w:cs="Times New Roman"/>
                      <w:b/>
                      <w:bCs/>
                      <w:color w:val="auto"/>
                      <w:sz w:val="21"/>
                      <w:szCs w:val="21"/>
                      <w:highlight w:val="none"/>
                      <w:lang w:val="en-US" w:eastAsia="zh-CN"/>
                    </w:rPr>
                    <w:t>本项目情况</w:t>
                  </w:r>
                </w:p>
              </w:tc>
              <w:tc>
                <w:tcPr>
                  <w:tcW w:w="415" w:type="pct"/>
                  <w:vAlign w:val="center"/>
                </w:tcPr>
                <w:p w14:paraId="1893D69C">
                  <w:pPr>
                    <w:pStyle w:val="30"/>
                    <w:numPr>
                      <w:ilvl w:val="255"/>
                      <w:numId w:val="0"/>
                    </w:numPr>
                    <w:ind w:left="0" w:leftChars="0" w:firstLine="0" w:firstLineChars="0"/>
                    <w:jc w:val="center"/>
                    <w:rPr>
                      <w:rFonts w:hint="default"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是否符合</w:t>
                  </w:r>
                </w:p>
              </w:tc>
            </w:tr>
            <w:tr w14:paraId="6637D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43F46462">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default" w:ascii="Times New Roman" w:hAnsi="Times New Roman" w:eastAsia="仿宋" w:cs="Times New Roman"/>
                      <w:color w:val="auto"/>
                      <w:sz w:val="21"/>
                      <w:szCs w:val="21"/>
                      <w:highlight w:val="none"/>
                    </w:rPr>
                    <w:t>《建设项目环境保护条例》</w:t>
                  </w:r>
                </w:p>
              </w:tc>
              <w:tc>
                <w:tcPr>
                  <w:tcW w:w="2529" w:type="pct"/>
                  <w:vAlign w:val="center"/>
                </w:tcPr>
                <w:p w14:paraId="23E7B6DA">
                  <w:pPr>
                    <w:pStyle w:val="30"/>
                    <w:numPr>
                      <w:ilvl w:val="255"/>
                      <w:numId w:val="0"/>
                    </w:numPr>
                    <w:ind w:left="0" w:leftChars="0" w:firstLine="0" w:firstLineChars="0"/>
                    <w:jc w:val="both"/>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rPr>
                    <w:t>根据《建设项目环境保护条例》中第十一条规定：建设项目有下列情形之一的，环境保护行政主管部门应当对环境影响报告书、环境影响报告表作出不予批准的决定：①建设项目类型及其选址、布局、规模等不符合环境保护法律法规和相关法定规划；②所在区域环境质量未达到国家或者地方环境质量标准，且建设项目拟采取的措施不能满足区域环境质量改善目标管理要求；③建设项目采取的污染防治措施无法确保污染物排放达到国家和地方排放标准，或者未采取必要措施预防和控制生态破坏；④改建、扩建和技术改造项目，未针对项目原有环境污染和生态破坏提出有效防止措施；⑤建设项目的环境影响报告书、环境影响报告表的基础资料数据明显不实，内容存在重大缺陷、遗漏，或者环境影响评价结论不明确、不合理。</w:t>
                  </w:r>
                </w:p>
              </w:tc>
              <w:tc>
                <w:tcPr>
                  <w:tcW w:w="1227" w:type="pct"/>
                  <w:vAlign w:val="center"/>
                </w:tcPr>
                <w:p w14:paraId="4821DBB5">
                  <w:pPr>
                    <w:pStyle w:val="30"/>
                    <w:numPr>
                      <w:ilvl w:val="255"/>
                      <w:numId w:val="0"/>
                    </w:numPr>
                    <w:ind w:left="0" w:leftChars="0" w:firstLine="0" w:firstLineChars="0"/>
                    <w:jc w:val="both"/>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本项目不属于《建设项目环境保护条例》第十一条中规定的“不予批准”条款之列。</w:t>
                  </w:r>
                </w:p>
              </w:tc>
              <w:tc>
                <w:tcPr>
                  <w:tcW w:w="415" w:type="pct"/>
                  <w:vAlign w:val="center"/>
                </w:tcPr>
                <w:p w14:paraId="0C0266FE">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r w14:paraId="17742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4349919C">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default" w:ascii="Times New Roman" w:hAnsi="Times New Roman" w:eastAsia="仿宋" w:cs="Times New Roman"/>
                      <w:color w:val="auto"/>
                      <w:sz w:val="21"/>
                      <w:szCs w:val="21"/>
                      <w:highlight w:val="none"/>
                    </w:rPr>
                    <w:t>《省生态环境厅关于进一步做好建设项目环评审批工作的通知》（苏环办</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2019</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36号）</w:t>
                  </w:r>
                </w:p>
              </w:tc>
              <w:tc>
                <w:tcPr>
                  <w:tcW w:w="2529" w:type="pct"/>
                  <w:vAlign w:val="center"/>
                </w:tcPr>
                <w:p w14:paraId="106CCF58">
                  <w:pPr>
                    <w:keepNext w:val="0"/>
                    <w:keepLines w:val="0"/>
                    <w:pageBreakBefore w:val="0"/>
                    <w:widowControl w:val="0"/>
                    <w:suppressLineNumbers w:val="0"/>
                    <w:kinsoku/>
                    <w:wordWrap/>
                    <w:overflowPunct/>
                    <w:topLinePunct w:val="0"/>
                    <w:autoSpaceDE/>
                    <w:autoSpaceDN/>
                    <w:bidi w:val="0"/>
                    <w:adjustRightInd w:val="0"/>
                    <w:snapToGrid/>
                    <w:spacing w:before="0" w:beforeLines="0" w:beforeAutospacing="0" w:after="0" w:afterLines="0" w:afterAutospacing="0" w:line="240" w:lineRule="auto"/>
                    <w:ind w:left="0" w:leftChars="0" w:right="0" w:firstLine="0" w:firstLineChars="0"/>
                    <w:jc w:val="both"/>
                    <w:textAlignment w:val="auto"/>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kern w:val="0"/>
                      <w:sz w:val="21"/>
                      <w:szCs w:val="21"/>
                      <w:highlight w:val="none"/>
                      <w:lang w:val="en-US" w:eastAsia="zh-CN" w:bidi="ar-SA"/>
                    </w:rPr>
                    <w:t>根据《省生态环境厅关于进一步做好建设项目环评审批工作的通知》（苏环办</w:t>
                  </w:r>
                  <w:r>
                    <w:rPr>
                      <w:rFonts w:hint="eastAsia" w:eastAsia="仿宋" w:cs="Times New Roman"/>
                      <w:color w:val="auto"/>
                      <w:kern w:val="0"/>
                      <w:sz w:val="21"/>
                      <w:szCs w:val="21"/>
                      <w:highlight w:val="none"/>
                      <w:lang w:val="en-US" w:eastAsia="zh-CN" w:bidi="ar-SA"/>
                    </w:rPr>
                    <w:t>[</w:t>
                  </w:r>
                  <w:r>
                    <w:rPr>
                      <w:rFonts w:hint="eastAsia" w:ascii="Times New Roman" w:hAnsi="Times New Roman" w:eastAsia="仿宋" w:cs="Times New Roman"/>
                      <w:color w:val="auto"/>
                      <w:kern w:val="0"/>
                      <w:sz w:val="21"/>
                      <w:szCs w:val="21"/>
                      <w:highlight w:val="none"/>
                      <w:lang w:val="en-US" w:eastAsia="zh-CN" w:bidi="ar-SA"/>
                    </w:rPr>
                    <w:t>2019</w:t>
                  </w:r>
                  <w:r>
                    <w:rPr>
                      <w:rFonts w:hint="eastAsia" w:eastAsia="仿宋" w:cs="Times New Roman"/>
                      <w:color w:val="auto"/>
                      <w:kern w:val="0"/>
                      <w:sz w:val="21"/>
                      <w:szCs w:val="21"/>
                      <w:highlight w:val="none"/>
                      <w:lang w:val="en-US" w:eastAsia="zh-CN" w:bidi="ar-SA"/>
                    </w:rPr>
                    <w:t>]</w:t>
                  </w:r>
                  <w:r>
                    <w:rPr>
                      <w:rFonts w:hint="eastAsia" w:ascii="Times New Roman" w:hAnsi="Times New Roman" w:eastAsia="仿宋" w:cs="Times New Roman"/>
                      <w:color w:val="auto"/>
                      <w:kern w:val="0"/>
                      <w:sz w:val="21"/>
                      <w:szCs w:val="21"/>
                      <w:highlight w:val="none"/>
                      <w:lang w:val="en-US" w:eastAsia="zh-CN" w:bidi="ar-SA"/>
                    </w:rPr>
                    <w:t>36号）：明确了严格环境准入，落实“五个不批”和“三挂钩”、国家和省生态红线管控要求、污染防治攻坚战意见等法律法规或相关文件要求；并根据《建设项目环评审批要点》等文件列出了“建设项目环评审批要点”。</w:t>
                  </w:r>
                </w:p>
              </w:tc>
              <w:tc>
                <w:tcPr>
                  <w:tcW w:w="1227" w:type="pct"/>
                  <w:vAlign w:val="center"/>
                </w:tcPr>
                <w:p w14:paraId="345BCD95">
                  <w:pPr>
                    <w:pStyle w:val="30"/>
                    <w:numPr>
                      <w:ilvl w:val="255"/>
                      <w:numId w:val="0"/>
                    </w:numPr>
                    <w:ind w:left="0" w:leftChars="0" w:firstLine="0" w:firstLineChars="0"/>
                    <w:jc w:val="both"/>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本项目不属于该文件条款之列。</w:t>
                  </w:r>
                </w:p>
              </w:tc>
              <w:tc>
                <w:tcPr>
                  <w:tcW w:w="415" w:type="pct"/>
                  <w:vAlign w:val="center"/>
                </w:tcPr>
                <w:p w14:paraId="35048AC1">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r w14:paraId="1809B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2F7FA9BC">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default" w:ascii="Times New Roman" w:hAnsi="Times New Roman" w:eastAsia="仿宋" w:cs="Times New Roman"/>
                      <w:color w:val="auto"/>
                      <w:sz w:val="21"/>
                      <w:szCs w:val="21"/>
                      <w:highlight w:val="none"/>
                    </w:rPr>
                    <w:t>环境质量底线《农用地土壤环境管理办法（试行）》（环境保护部农业部令第46号）</w:t>
                  </w:r>
                </w:p>
              </w:tc>
              <w:tc>
                <w:tcPr>
                  <w:tcW w:w="2529" w:type="pct"/>
                  <w:vAlign w:val="center"/>
                </w:tcPr>
                <w:p w14:paraId="7DC3BCA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rPr>
                    <w:t>根据《农用地土壤环境管理办法（试行）》（环境保护部农业部令第46号）：严格控制在优先保护类耕地集中区域新建有色金属冶炼、石油加工、化工、焦化、电镀、制革等行业企业，有关环境保护主管部门依法不予审批可能造成耕地土壤污染的建设项目环境影响报告书或者报告表。</w:t>
                  </w:r>
                </w:p>
              </w:tc>
              <w:tc>
                <w:tcPr>
                  <w:tcW w:w="1227" w:type="pct"/>
                  <w:vAlign w:val="center"/>
                </w:tcPr>
                <w:p w14:paraId="011A80E3">
                  <w:pPr>
                    <w:pStyle w:val="30"/>
                    <w:numPr>
                      <w:ilvl w:val="255"/>
                      <w:numId w:val="0"/>
                    </w:numPr>
                    <w:ind w:left="0" w:leftChars="0" w:firstLine="0" w:firstLineChars="0"/>
                    <w:jc w:val="both"/>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rPr>
                    <w:t>本项目为新建桥梁工程，不属于有色金属冶炼、石油加工、化工、焦化、电镀、制革等行业，不会对耕地土壤造成污染。</w:t>
                  </w:r>
                </w:p>
              </w:tc>
              <w:tc>
                <w:tcPr>
                  <w:tcW w:w="415" w:type="pct"/>
                  <w:vAlign w:val="center"/>
                </w:tcPr>
                <w:p w14:paraId="56CE9B23">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r w14:paraId="333AA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743D1EE3">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default" w:ascii="Times New Roman" w:hAnsi="Times New Roman" w:eastAsia="仿宋" w:cs="Times New Roman"/>
                      <w:color w:val="auto"/>
                      <w:sz w:val="21"/>
                      <w:szCs w:val="21"/>
                      <w:highlight w:val="none"/>
                    </w:rPr>
                    <w:t>《关于印发&lt;建设项目主要污染物排放总量指标审核及管理暂行办法&gt;的通知》（环发</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2014</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197号）</w:t>
                  </w:r>
                </w:p>
              </w:tc>
              <w:tc>
                <w:tcPr>
                  <w:tcW w:w="2529" w:type="pct"/>
                  <w:vAlign w:val="center"/>
                </w:tcPr>
                <w:p w14:paraId="0A4B8F98">
                  <w:pPr>
                    <w:pStyle w:val="30"/>
                    <w:numPr>
                      <w:ilvl w:val="255"/>
                      <w:numId w:val="0"/>
                    </w:numPr>
                    <w:ind w:left="0" w:leftChars="0" w:firstLine="0" w:firstLineChars="0"/>
                    <w:jc w:val="both"/>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rPr>
                    <w:t>根据《关于印发&lt;建设项目主要污染物排放总量指标审核及管理暂行办法&gt;的通知》（环发[2014]197号）：严格落实污染物</w:t>
                  </w:r>
                  <w:r>
                    <w:rPr>
                      <w:rFonts w:hint="default" w:ascii="Times New Roman" w:hAnsi="Times New Roman" w:eastAsia="仿宋" w:cs="Times New Roman"/>
                      <w:color w:val="auto"/>
                      <w:sz w:val="21"/>
                      <w:szCs w:val="21"/>
                      <w:highlight w:val="none"/>
                      <w:lang w:val="en-US" w:eastAsia="zh-CN" w:bidi="ar-SA"/>
                    </w:rPr>
                    <w:t>排放总量控制制度，把主要污染物排放总量指标作为建设项目环境影响评价审批的前置条件。排放主要污染物的建设项目，在环境影响评价文件审批前，须取得主要污染物排放总量指标。</w:t>
                  </w:r>
                </w:p>
              </w:tc>
              <w:tc>
                <w:tcPr>
                  <w:tcW w:w="1227" w:type="pct"/>
                  <w:vAlign w:val="center"/>
                </w:tcPr>
                <w:p w14:paraId="5B821A8D">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本项目为</w:t>
                  </w:r>
                  <w:r>
                    <w:rPr>
                      <w:rFonts w:hint="eastAsia" w:ascii="Times New Roman" w:hAnsi="Times New Roman" w:eastAsia="仿宋" w:cs="Times New Roman"/>
                      <w:color w:val="auto"/>
                      <w:sz w:val="21"/>
                      <w:szCs w:val="21"/>
                      <w:highlight w:val="none"/>
                      <w:lang w:val="en-US" w:eastAsia="zh-CN"/>
                    </w:rPr>
                    <w:t>新建桥梁</w:t>
                  </w:r>
                  <w:r>
                    <w:rPr>
                      <w:rFonts w:hint="eastAsia" w:ascii="Times New Roman" w:hAnsi="Times New Roman" w:eastAsia="仿宋" w:cs="Times New Roman"/>
                      <w:color w:val="auto"/>
                      <w:sz w:val="21"/>
                      <w:szCs w:val="21"/>
                      <w:highlight w:val="none"/>
                      <w:lang w:val="en-US" w:eastAsia="zh-CN" w:bidi="ar-SA"/>
                    </w:rPr>
                    <w:t>工程，非生产型项目，因此本项目不设总量控制指标。</w:t>
                  </w:r>
                </w:p>
              </w:tc>
              <w:tc>
                <w:tcPr>
                  <w:tcW w:w="415" w:type="pct"/>
                  <w:vAlign w:val="center"/>
                </w:tcPr>
                <w:p w14:paraId="48F50884">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r w14:paraId="55159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65005B64">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《关于印发&lt;长江经济带发展负面清单指南&gt;（试行，2022年版）的通知》（长江办</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2022</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7号）</w:t>
                  </w:r>
                </w:p>
              </w:tc>
              <w:tc>
                <w:tcPr>
                  <w:tcW w:w="2529" w:type="pct"/>
                  <w:vAlign w:val="center"/>
                </w:tcPr>
                <w:p w14:paraId="223DC29E">
                  <w:pPr>
                    <w:pStyle w:val="30"/>
                    <w:numPr>
                      <w:ilvl w:val="255"/>
                      <w:numId w:val="0"/>
                    </w:numPr>
                    <w:ind w:left="0" w:leftChars="0" w:firstLine="0" w:firstLineChars="0"/>
                    <w:jc w:val="both"/>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根据《关于印发&lt;长江经济带发展负面清单指南&gt;（试行，2022 年版）的通知》（长江办[2022]7号）：①禁止建设不符合全国和省级港口布局规划以及港口总体规划的码头项目，禁止建设不符合《长江干线过江通道布局规划》的过长江通道项目。②禁止在自然保护区核心区、缓冲区的岸线和河段范围内投资建设旅游和生产经营项目。禁止在风景名胜区核心景区的岸线和河段范围内投资建设与风景名胜资源保护无关的项目。③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④禁止在水产种质资源保护区的岸线和河段范围内新建围湖造田、围海造地或围填海等投资建设项目。禁止在国家湿地公园的岸线和河段范围内挖沙、采矿，以及任何不符合主体功能定位的投资建设项目。⑤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⑥禁止未经许可在长江干支流及湖泊新设、改设或扩大排污口。⑦禁止在“一江一口两湖七河”和332个水生生物保护区开展生产性捕捞。⑧禁止在长江于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⑨禁止在合规园区外新建、扩建钢铁、石化、化工、焦化、建材、有色、制浆造纸等高污染项目。⑩禁止新建、扩建不符合国家石化、现代煤化工等产业布局规划的项目。⑪禁止新建、扩建法律法规和相关政策明令禁止的落后产能项目。禁止新建、扩建不符合国家产能置换要求的严重过剩产能行业的项目。禁止新建、扩建不符合要求的高耗能高排放项目。</w:t>
                  </w:r>
                </w:p>
                <w:p w14:paraId="5FB9A944">
                  <w:pPr>
                    <w:pStyle w:val="30"/>
                    <w:numPr>
                      <w:ilvl w:val="255"/>
                      <w:numId w:val="0"/>
                    </w:numPr>
                    <w:ind w:left="0" w:leftChars="0" w:firstLine="0" w:firstLineChars="0"/>
                    <w:jc w:val="both"/>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⑫法律法规及相关政策文件有更加严格规定的从其规定。</w:t>
                  </w:r>
                </w:p>
              </w:tc>
              <w:tc>
                <w:tcPr>
                  <w:tcW w:w="1227" w:type="pct"/>
                  <w:vAlign w:val="center"/>
                </w:tcPr>
                <w:p w14:paraId="732824D9">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本项目为</w:t>
                  </w:r>
                  <w:r>
                    <w:rPr>
                      <w:rFonts w:hint="eastAsia" w:ascii="Times New Roman" w:hAnsi="Times New Roman" w:eastAsia="仿宋" w:cs="Times New Roman"/>
                      <w:color w:val="auto"/>
                      <w:sz w:val="21"/>
                      <w:szCs w:val="21"/>
                      <w:highlight w:val="none"/>
                      <w:lang w:val="en-US" w:eastAsia="zh-CN"/>
                    </w:rPr>
                    <w:t>新建桥梁</w:t>
                  </w:r>
                  <w:r>
                    <w:rPr>
                      <w:rFonts w:hint="eastAsia" w:ascii="Times New Roman" w:hAnsi="Times New Roman" w:eastAsia="仿宋" w:cs="Times New Roman"/>
                      <w:color w:val="auto"/>
                      <w:sz w:val="21"/>
                      <w:szCs w:val="21"/>
                      <w:highlight w:val="none"/>
                      <w:lang w:val="en-US" w:eastAsia="zh-CN" w:bidi="ar-SA"/>
                    </w:rPr>
                    <w:t>工程，不属于《关于印发&lt;长江经济带发展负面清单指南&gt;（试行，2022年版）的通知》（长江办[2022]7号）中“禁止类”项目。</w:t>
                  </w:r>
                </w:p>
              </w:tc>
              <w:tc>
                <w:tcPr>
                  <w:tcW w:w="415" w:type="pct"/>
                  <w:vAlign w:val="center"/>
                </w:tcPr>
                <w:p w14:paraId="66DF00E4">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r w14:paraId="38E55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Align w:val="center"/>
                </w:tcPr>
                <w:p w14:paraId="7E4C6498">
                  <w:pPr>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kern w:val="0"/>
                      <w:sz w:val="21"/>
                      <w:szCs w:val="21"/>
                      <w:highlight w:val="none"/>
                      <w:lang w:val="en-US" w:eastAsia="zh-CN" w:bidi="ar-SA"/>
                    </w:rPr>
                    <w:t>《太湖流域管理条例》（国务院令第 604 号）</w:t>
                  </w:r>
                </w:p>
              </w:tc>
              <w:tc>
                <w:tcPr>
                  <w:tcW w:w="4622" w:type="dxa"/>
                  <w:vAlign w:val="center"/>
                </w:tcPr>
                <w:p w14:paraId="7F038452">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 xml:space="preserve">“第二十八条 排污单位排放水污染物，不得超过经核定的水污染物排放总量，并应当按照规定设置便于检查、采样的规范化排污口，悬挂标志牌；不得私设暗管或者采取其他规避监管的方式排放水污染物。 禁止在太湖流域设置不符合国家产业政策和水环境综合治理要求的造纸、制革、酒精、淀粉、冶金、酿造、印染、电镀等排放水污染物的生产项目，现有的生产项目不能实现达标排放的，应当依法关闭。” </w:t>
                  </w:r>
                </w:p>
                <w:p w14:paraId="1F552DB9">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“第二十九条 新孟河、望虞河以外的其他主要入太湖河道，自河口 1 万米上溯至 5万米河道岸线内及其岸线两侧各 1000 米范围内，禁止下列行为：</w:t>
                  </w:r>
                </w:p>
                <w:p w14:paraId="61689815">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 xml:space="preserve">（一）新建、扩建化工、医药生产项目； </w:t>
                  </w:r>
                </w:p>
                <w:p w14:paraId="38130765">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 xml:space="preserve">（二）新建、扩建污水集中处理设施排污口以外的排污口； </w:t>
                  </w:r>
                </w:p>
                <w:p w14:paraId="7C8F2165">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 xml:space="preserve">（三）扩大水产养殖规模。” </w:t>
                  </w:r>
                </w:p>
              </w:tc>
              <w:tc>
                <w:tcPr>
                  <w:tcW w:w="1227" w:type="pct"/>
                  <w:vAlign w:val="center"/>
                </w:tcPr>
                <w:p w14:paraId="0566AB91">
                  <w:pPr>
                    <w:pStyle w:val="30"/>
                    <w:keepNext w:val="0"/>
                    <w:keepLines w:val="0"/>
                    <w:pageBreakBefore w:val="0"/>
                    <w:widowControl w:val="0"/>
                    <w:numPr>
                      <w:ilvl w:val="255"/>
                      <w:numId w:val="0"/>
                    </w:numPr>
                    <w:kinsoku/>
                    <w:wordWrap/>
                    <w:overflowPunct/>
                    <w:topLinePunct w:val="0"/>
                    <w:autoSpaceDE w:val="0"/>
                    <w:autoSpaceDN w:val="0"/>
                    <w:bidi w:val="0"/>
                    <w:adjustRightInd w:val="0"/>
                    <w:ind w:left="0" w:leftChars="0" w:firstLine="0" w:firstLineChars="0"/>
                    <w:jc w:val="center"/>
                    <w:textAlignment w:val="auto"/>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本项目为新建桥梁工程，非排污单位，不涉及医药及养殖产业。</w:t>
                  </w:r>
                </w:p>
              </w:tc>
              <w:tc>
                <w:tcPr>
                  <w:tcW w:w="415" w:type="pct"/>
                  <w:vAlign w:val="center"/>
                </w:tcPr>
                <w:p w14:paraId="0B28D24A">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p>
              </w:tc>
            </w:tr>
            <w:tr w14:paraId="32939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Align w:val="center"/>
                </w:tcPr>
                <w:p w14:paraId="728AF33E">
                  <w:pPr>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default" w:ascii="Times New Roman" w:hAnsi="Times New Roman" w:eastAsia="仿宋" w:cs="Times New Roman"/>
                      <w:color w:val="auto"/>
                      <w:sz w:val="21"/>
                      <w:szCs w:val="21"/>
                      <w:highlight w:val="none"/>
                    </w:rPr>
                  </w:pPr>
                  <w:r>
                    <w:rPr>
                      <w:rFonts w:hint="eastAsia" w:ascii="Times New Roman" w:hAnsi="Times New Roman" w:eastAsia="仿宋" w:cs="Times New Roman"/>
                      <w:color w:val="auto"/>
                      <w:kern w:val="0"/>
                      <w:sz w:val="21"/>
                      <w:szCs w:val="21"/>
                      <w:highlight w:val="none"/>
                      <w:lang w:val="en-US" w:eastAsia="zh-CN" w:bidi="ar-SA"/>
                    </w:rPr>
                    <w:t>《江苏省太湖水污染防治条例》（2021年修订版）</w:t>
                  </w:r>
                </w:p>
              </w:tc>
              <w:tc>
                <w:tcPr>
                  <w:tcW w:w="4622" w:type="dxa"/>
                  <w:vAlign w:val="center"/>
                </w:tcPr>
                <w:p w14:paraId="1BF2AE20">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“第三十九条：太湖流域应当加强水利工程建设，合理调度水利工程设施，加快太湖水体交换，有计划实施底泥生态清淤，建设护岸林木、植被，扩大太湖水体环境容量，增强流域水网自净能力。</w:t>
                  </w:r>
                </w:p>
                <w:p w14:paraId="29EC5D07">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省有关部门应当合理保护太湖流域河湖水系，科学规划、建设太湖流域尾水导流工程、引江调水工程，加强水资源管理和保护，根据太湖流域水文特征与水环境质量状况，优化调水方案，改善太湖水质。</w:t>
                  </w:r>
                </w:p>
                <w:p w14:paraId="2CA97986">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各级地方人民政府应当采取措施，防止各类污染源影响重要清水通道的水质，确保重要清水通道水质符合省水功能区划类别标准。对直接影响望虞河、新孟河等清水通道水质的企业，应当责令停产、关闭或者搬迁。</w:t>
                  </w:r>
                </w:p>
                <w:p w14:paraId="1424B25D">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第四十三条：太湖流域一、二、三级保护区禁止下列行为：</w:t>
                  </w:r>
                </w:p>
                <w:p w14:paraId="1F19ABE9">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（一）新建、改建、扩建化学制浆造纸、制革、酿造、染料、印染、电镀以及其他排放含磷、氮等污染物的企业和项目，城镇污水集中处理等环境基础设施项目和第四十六条规定的情形除外；</w:t>
                  </w:r>
                </w:p>
                <w:p w14:paraId="42562103">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（二）销售、使用含磷洗涤用品；</w:t>
                  </w:r>
                </w:p>
                <w:p w14:paraId="5E01F22E">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（三）向水体排放或者倾倒油类、酸液、碱液、剧毒废渣废液、含放射性废渣废液、含病原体污水、工业废渣以及其他废弃物；</w:t>
                  </w:r>
                </w:p>
                <w:p w14:paraId="524BFA0E">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（四）在水体清洗装贮过油类或者有毒有害污染物的车辆、船舶和容器等；</w:t>
                  </w:r>
                </w:p>
                <w:p w14:paraId="25F06CF1">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（五）使用农药等有毒物毒杀水生生物；</w:t>
                  </w:r>
                </w:p>
                <w:p w14:paraId="53C07FE9">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（六）向水体直接排放人畜粪便、倾倒垃圾；</w:t>
                  </w:r>
                </w:p>
                <w:p w14:paraId="571A7F27">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（七）围湖造地；</w:t>
                  </w:r>
                </w:p>
                <w:p w14:paraId="00797B4B">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（八）违法开山采石，或者进行破坏林木、植被、水生生物的活动；</w:t>
                  </w:r>
                </w:p>
                <w:p w14:paraId="487F1114">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（九）法律、法规禁止的其他行为。</w:t>
                  </w:r>
                </w:p>
              </w:tc>
              <w:tc>
                <w:tcPr>
                  <w:tcW w:w="1227" w:type="pct"/>
                  <w:vAlign w:val="center"/>
                </w:tcPr>
                <w:p w14:paraId="5A61B7A5">
                  <w:pPr>
                    <w:pStyle w:val="30"/>
                    <w:keepNext w:val="0"/>
                    <w:keepLines w:val="0"/>
                    <w:pageBreakBefore w:val="0"/>
                    <w:widowControl w:val="0"/>
                    <w:numPr>
                      <w:ilvl w:val="255"/>
                      <w:numId w:val="0"/>
                    </w:numPr>
                    <w:kinsoku/>
                    <w:wordWrap/>
                    <w:overflowPunct/>
                    <w:topLinePunct w:val="0"/>
                    <w:autoSpaceDE w:val="0"/>
                    <w:autoSpaceDN w:val="0"/>
                    <w:bidi w:val="0"/>
                    <w:adjustRightInd w:val="0"/>
                    <w:ind w:left="0" w:leftChars="0" w:firstLine="0" w:firstLineChars="0"/>
                    <w:jc w:val="center"/>
                    <w:textAlignment w:val="auto"/>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本项目为新建桥梁工程，不涉及生产项目，不使用含磷洗涤剂，不排放倾倒油类及酸碱液或剧毒、辐射、含病毒废液，不在水体中清洗车辆、船舶及容器，不毒杀水生生物，不直接排放人畜粪便或倾倒垃圾，不涉及围湖造地，不涉及山石开采或林木植被水生生物破坏。</w:t>
                  </w:r>
                </w:p>
              </w:tc>
              <w:tc>
                <w:tcPr>
                  <w:tcW w:w="415" w:type="pct"/>
                  <w:vAlign w:val="center"/>
                </w:tcPr>
                <w:p w14:paraId="774F8FB2">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p>
              </w:tc>
            </w:tr>
            <w:tr w14:paraId="7494E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 w:type="dxa"/>
                  <w:vAlign w:val="center"/>
                </w:tcPr>
                <w:p w14:paraId="1F1E93C2">
                  <w:pPr>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eastAsia="仿宋" w:cs="宋体"/>
                      <w:color w:val="auto"/>
                      <w:kern w:val="0"/>
                      <w:sz w:val="18"/>
                      <w:szCs w:val="18"/>
                      <w:lang w:eastAsia="zh-CN"/>
                    </w:rPr>
                  </w:pPr>
                  <w:r>
                    <w:rPr>
                      <w:rFonts w:hint="eastAsia" w:ascii="Times New Roman" w:hAnsi="Times New Roman" w:eastAsia="仿宋" w:cs="Times New Roman"/>
                      <w:color w:val="auto"/>
                      <w:kern w:val="0"/>
                      <w:sz w:val="21"/>
                      <w:szCs w:val="21"/>
                      <w:highlight w:val="none"/>
                      <w:lang w:val="en-US" w:eastAsia="zh-CN" w:bidi="ar-SA"/>
                    </w:rPr>
                    <w:t>《饮用水水源保护区污染防治管理规定》（2010年修订版）</w:t>
                  </w:r>
                </w:p>
              </w:tc>
              <w:tc>
                <w:tcPr>
                  <w:tcW w:w="4622" w:type="dxa"/>
                  <w:vAlign w:val="center"/>
                </w:tcPr>
                <w:p w14:paraId="4B2B80E4">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第十二条　饮用水地表水源各级保护区及准保护区内必须分别遵守下列规定：</w:t>
                  </w:r>
                </w:p>
                <w:p w14:paraId="1A034CF4">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一、一级保护区内</w:t>
                  </w:r>
                </w:p>
                <w:p w14:paraId="1B748F01">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禁止新建、扩建与供水设施和保护水源无关的建设项目；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w:t>
                  </w:r>
                </w:p>
                <w:p w14:paraId="1341BCC3">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二、二级保护区内</w:t>
                  </w:r>
                </w:p>
                <w:p w14:paraId="640E8375">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禁止新建、改建、扩建排放污染物的建设项目；</w:t>
                  </w:r>
                </w:p>
                <w:p w14:paraId="53E05748">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原有排污口依法拆除或者关闭；禁止设立装卸垃圾、粪便、油类和有毒物品的码头。</w:t>
                  </w:r>
                </w:p>
                <w:p w14:paraId="46E43D23">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仿宋" w:cs="Times New Roman"/>
                      <w:color w:val="auto"/>
                      <w:kern w:val="0"/>
                      <w:sz w:val="21"/>
                      <w:szCs w:val="21"/>
                      <w:highlight w:val="none"/>
                      <w:lang w:val="en-US" w:eastAsia="zh-CN" w:bidi="ar-SA"/>
                    </w:rPr>
                    <w:t>三、准保护区内</w:t>
                  </w:r>
                </w:p>
                <w:p w14:paraId="062C022B">
                  <w:pPr>
                    <w:keepNext w:val="0"/>
                    <w:keepLines w:val="0"/>
                    <w:pageBreakBefore w:val="0"/>
                    <w:widowControl w:val="0"/>
                    <w:kinsoku/>
                    <w:wordWrap/>
                    <w:overflowPunct/>
                    <w:topLinePunct w:val="0"/>
                    <w:autoSpaceDE w:val="0"/>
                    <w:autoSpaceDN w:val="0"/>
                    <w:bidi w:val="0"/>
                    <w:adjustRightInd w:val="0"/>
                    <w:snapToGrid w:val="0"/>
                    <w:ind w:firstLine="0" w:firstLineChars="0"/>
                    <w:jc w:val="left"/>
                    <w:textAlignment w:val="auto"/>
                    <w:rPr>
                      <w:rFonts w:hint="eastAsia" w:eastAsia="仿宋" w:cs="宋体"/>
                      <w:color w:val="auto"/>
                      <w:kern w:val="0"/>
                      <w:sz w:val="18"/>
                      <w:szCs w:val="18"/>
                    </w:rPr>
                  </w:pPr>
                  <w:r>
                    <w:rPr>
                      <w:rFonts w:hint="eastAsia" w:ascii="Times New Roman" w:hAnsi="Times New Roman" w:eastAsia="仿宋" w:cs="Times New Roman"/>
                      <w:color w:val="auto"/>
                      <w:kern w:val="0"/>
                      <w:sz w:val="21"/>
                      <w:szCs w:val="21"/>
                      <w:highlight w:val="none"/>
                      <w:lang w:val="en-US" w:eastAsia="zh-CN" w:bidi="ar-SA"/>
                    </w:rPr>
                    <w:t>禁止新建、扩建对水体污染严重的建设项目；改建建设项目，不得增加排污量。</w:t>
                  </w:r>
                </w:p>
              </w:tc>
              <w:tc>
                <w:tcPr>
                  <w:tcW w:w="1227" w:type="pct"/>
                  <w:vAlign w:val="center"/>
                </w:tcPr>
                <w:p w14:paraId="50F8134D">
                  <w:pPr>
                    <w:pStyle w:val="30"/>
                    <w:keepNext w:val="0"/>
                    <w:keepLines w:val="0"/>
                    <w:pageBreakBefore w:val="0"/>
                    <w:widowControl w:val="0"/>
                    <w:numPr>
                      <w:ilvl w:val="255"/>
                      <w:numId w:val="0"/>
                    </w:numPr>
                    <w:kinsoku/>
                    <w:wordWrap/>
                    <w:overflowPunct/>
                    <w:topLinePunct w:val="0"/>
                    <w:autoSpaceDE w:val="0"/>
                    <w:autoSpaceDN w:val="0"/>
                    <w:bidi w:val="0"/>
                    <w:adjustRightInd w:val="0"/>
                    <w:ind w:left="0" w:leftChars="0" w:firstLine="0" w:firstLineChars="0"/>
                    <w:jc w:val="center"/>
                    <w:textAlignment w:val="auto"/>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rPr>
                    <w:t>本项目为新建桥梁工程，距离长荡湖水厂水源地取水口2.2km，项目位于长荡湖水厂水源地准保护区内，建设项目施工期主要污染物为悬浮物，运营期不产污，故不属于新建对水体污染严重的建设项目，不增加排污量。</w:t>
                  </w:r>
                </w:p>
              </w:tc>
              <w:tc>
                <w:tcPr>
                  <w:tcW w:w="415" w:type="pct"/>
                  <w:vAlign w:val="center"/>
                </w:tcPr>
                <w:p w14:paraId="49FE039C">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r w14:paraId="5E2C2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10DE7D1F">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《江苏省大气污染防治条例》</w:t>
                  </w:r>
                </w:p>
              </w:tc>
              <w:tc>
                <w:tcPr>
                  <w:tcW w:w="2529" w:type="pct"/>
                  <w:vAlign w:val="center"/>
                </w:tcPr>
                <w:p w14:paraId="724FC76D">
                  <w:pPr>
                    <w:pStyle w:val="30"/>
                    <w:numPr>
                      <w:ilvl w:val="255"/>
                      <w:numId w:val="0"/>
                    </w:numPr>
                    <w:ind w:left="0" w:leftChars="0" w:firstLine="0" w:firstLineChars="0"/>
                    <w:jc w:val="both"/>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根据《江苏省大气污染防治条例》规定：工程建设单位应当承担施工扬尘的污染防治责任，将扬尘污染防治费用列入工程造价。工程建设单位应当要求施工单位制定扬尘污染防治方案，并委托监理单位负责方案的监督实施。</w:t>
                  </w:r>
                </w:p>
              </w:tc>
              <w:tc>
                <w:tcPr>
                  <w:tcW w:w="1227" w:type="pct"/>
                  <w:vMerge w:val="restart"/>
                  <w:vAlign w:val="center"/>
                </w:tcPr>
                <w:p w14:paraId="1143E56D">
                  <w:pPr>
                    <w:pStyle w:val="30"/>
                    <w:numPr>
                      <w:ilvl w:val="255"/>
                      <w:numId w:val="0"/>
                    </w:numPr>
                    <w:ind w:left="0" w:leftChars="0" w:firstLine="0" w:firstLineChars="0"/>
                    <w:jc w:val="both"/>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本项目为新建桥梁工程，施工过程中大气污染源主要为扬尘污染、及施工机械的燃油废气等。</w:t>
                  </w:r>
                </w:p>
                <w:p w14:paraId="5E9A6AE2">
                  <w:pPr>
                    <w:pStyle w:val="30"/>
                    <w:numPr>
                      <w:ilvl w:val="255"/>
                      <w:numId w:val="0"/>
                    </w:numPr>
                    <w:ind w:left="0" w:leftChars="0" w:firstLine="0" w:firstLineChars="0"/>
                    <w:jc w:val="both"/>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为减缓施工期的扬尘污染，在施工过程中主要采取以下措施进行防治：（1）石子、黄砂、水泥等堆放定点定位，并采取防尘抑制措施。（2）水泥应定点堆放。保持运输等车辆进出施工现场出入口路面清洁、湿润，限制行车速度。（3）施工现场进行定期洒水抑尘，并对进出车辆轮胎进行清扫，确保运输车辆轮胎干净。（4）建筑材料、垃圾运输时，喷水或加遮盖处理，以防运输途中扬尘。（5）建设工地应按规定设置连续、封闭的围栏，并设置扬尘粘布。</w:t>
                  </w:r>
                </w:p>
                <w:p w14:paraId="3163D720">
                  <w:pPr>
                    <w:pStyle w:val="30"/>
                    <w:numPr>
                      <w:ilvl w:val="0"/>
                      <w:numId w:val="0"/>
                    </w:numPr>
                    <w:ind w:leftChars="0"/>
                    <w:jc w:val="both"/>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施工机械的燃油废气防治措施：要求施工机械使用合格的低含硫量的柴油，日常对机械进行维修保养，定期进行检修和烟尘检测等。</w:t>
                  </w:r>
                </w:p>
                <w:p w14:paraId="04DA8EA1">
                  <w:pPr>
                    <w:pStyle w:val="30"/>
                    <w:numPr>
                      <w:ilvl w:val="0"/>
                      <w:numId w:val="0"/>
                    </w:numPr>
                    <w:ind w:leftChars="0"/>
                    <w:jc w:val="both"/>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施工期大气污染影响随施工结束消失。</w:t>
                  </w:r>
                </w:p>
              </w:tc>
              <w:tc>
                <w:tcPr>
                  <w:tcW w:w="415" w:type="pct"/>
                  <w:vAlign w:val="center"/>
                </w:tcPr>
                <w:p w14:paraId="7913F19D">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r w14:paraId="368C8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7FF6DCB1">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《常州市深入打好污染防治攻坚战专项行动方案》</w:t>
                  </w:r>
                </w:p>
              </w:tc>
              <w:tc>
                <w:tcPr>
                  <w:tcW w:w="2529" w:type="pct"/>
                  <w:vAlign w:val="center"/>
                </w:tcPr>
                <w:p w14:paraId="55BF0866">
                  <w:pPr>
                    <w:pStyle w:val="30"/>
                    <w:numPr>
                      <w:ilvl w:val="255"/>
                      <w:numId w:val="0"/>
                    </w:numPr>
                    <w:ind w:left="0" w:leftChars="0" w:firstLine="0" w:firstLineChars="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根据江苏省常州市人民政府印发常州市深入打好</w:t>
                  </w:r>
                  <w:r>
                    <w:rPr>
                      <w:rFonts w:hint="default" w:ascii="Times New Roman" w:hAnsi="Times New Roman" w:eastAsia="仿宋" w:cs="Times New Roman"/>
                      <w:color w:val="auto"/>
                      <w:sz w:val="21"/>
                      <w:szCs w:val="21"/>
                      <w:highlight w:val="none"/>
                      <w:lang w:val="en-US" w:eastAsia="zh-CN"/>
                    </w:rPr>
                    <w:fldChar w:fldCharType="begin"/>
                  </w:r>
                  <w:r>
                    <w:rPr>
                      <w:rFonts w:hint="default" w:ascii="Times New Roman" w:hAnsi="Times New Roman" w:eastAsia="仿宋" w:cs="Times New Roman"/>
                      <w:color w:val="auto"/>
                      <w:sz w:val="21"/>
                      <w:szCs w:val="21"/>
                      <w:highlight w:val="none"/>
                      <w:lang w:val="en-US" w:eastAsia="zh-CN"/>
                    </w:rPr>
                    <w:instrText xml:space="preserve"> HYPERLINK "https://huanbao.bjx.com.cn/topics/wrfzgjz/" \t "https://huanbao.bjx.com.cn/news/20220523/_blank" </w:instrText>
                  </w:r>
                  <w:r>
                    <w:rPr>
                      <w:rFonts w:hint="default" w:ascii="Times New Roman" w:hAnsi="Times New Roman" w:eastAsia="仿宋" w:cs="Times New Roman"/>
                      <w:color w:val="auto"/>
                      <w:sz w:val="21"/>
                      <w:szCs w:val="21"/>
                      <w:highlight w:val="none"/>
                      <w:lang w:val="en-US" w:eastAsia="zh-CN"/>
                    </w:rPr>
                    <w:fldChar w:fldCharType="separate"/>
                  </w:r>
                  <w:r>
                    <w:rPr>
                      <w:rFonts w:hint="default" w:ascii="Times New Roman" w:hAnsi="Times New Roman" w:eastAsia="仿宋" w:cs="Times New Roman"/>
                      <w:color w:val="auto"/>
                      <w:sz w:val="21"/>
                      <w:szCs w:val="21"/>
                      <w:highlight w:val="none"/>
                      <w:lang w:val="en-US" w:eastAsia="zh-CN"/>
                    </w:rPr>
                    <w:t>污染防治攻坚战</w:t>
                  </w:r>
                  <w:r>
                    <w:rPr>
                      <w:rFonts w:hint="default" w:ascii="Times New Roman" w:hAnsi="Times New Roman" w:eastAsia="仿宋" w:cs="Times New Roman"/>
                      <w:color w:val="auto"/>
                      <w:sz w:val="21"/>
                      <w:szCs w:val="21"/>
                      <w:highlight w:val="none"/>
                      <w:lang w:val="en-US" w:eastAsia="zh-CN"/>
                    </w:rPr>
                    <w:fldChar w:fldCharType="end"/>
                  </w:r>
                  <w:r>
                    <w:rPr>
                      <w:rFonts w:hint="default" w:ascii="Times New Roman" w:hAnsi="Times New Roman" w:eastAsia="仿宋" w:cs="Times New Roman"/>
                      <w:color w:val="auto"/>
                      <w:sz w:val="21"/>
                      <w:szCs w:val="21"/>
                      <w:highlight w:val="none"/>
                      <w:lang w:val="en-US" w:eastAsia="zh-CN"/>
                    </w:rPr>
                    <w:t>专项行动方案》</w:t>
                  </w:r>
                  <w:r>
                    <w:rPr>
                      <w:rFonts w:hint="eastAsia" w:ascii="Times New Roman" w:hAnsi="Times New Roman" w:eastAsia="仿宋" w:cs="Times New Roman"/>
                      <w:color w:val="auto"/>
                      <w:sz w:val="21"/>
                      <w:szCs w:val="21"/>
                      <w:highlight w:val="none"/>
                      <w:lang w:val="en-US" w:eastAsia="zh-CN"/>
                    </w:rPr>
                    <w:t>： 强化建筑工地、道路、堆场、矿山等扬尘管控。推进智慧工地建设建设及全市工地扬尘监控信息化指挥控制平台建设。强化渣土运输车辆全封闭运输管理，城市建成区全面使用新型环保智能渣土车。</w:t>
                  </w:r>
                </w:p>
              </w:tc>
              <w:tc>
                <w:tcPr>
                  <w:tcW w:w="1227" w:type="pct"/>
                  <w:vMerge w:val="continue"/>
                  <w:vAlign w:val="center"/>
                </w:tcPr>
                <w:p w14:paraId="148A65CF">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p>
              </w:tc>
              <w:tc>
                <w:tcPr>
                  <w:tcW w:w="415" w:type="pct"/>
                  <w:vAlign w:val="center"/>
                </w:tcPr>
                <w:p w14:paraId="23445C29">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r w14:paraId="31054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3A02FA8C">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《住房和城乡建设部办公厅关于进一步加强施工工地和道路扬尘管控工作的通知》（建办质</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2019</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23号）</w:t>
                  </w:r>
                </w:p>
              </w:tc>
              <w:tc>
                <w:tcPr>
                  <w:tcW w:w="2529" w:type="pct"/>
                  <w:vAlign w:val="center"/>
                </w:tcPr>
                <w:p w14:paraId="1E362303">
                  <w:pPr>
                    <w:pStyle w:val="30"/>
                    <w:numPr>
                      <w:ilvl w:val="255"/>
                      <w:numId w:val="0"/>
                    </w:numPr>
                    <w:ind w:left="0" w:leftChars="0" w:firstLine="0" w:firstLineChars="0"/>
                    <w:jc w:val="both"/>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根据《住房和城乡建设部办公厅关于进一步加强施工工地和道路扬尘管控工作的通知》（建办质[2019]23号）：各级住房和城乡建设主管部门及有关部门要严格按照《建筑施工安全检查标准》《建设工程施工现场环境与卫生标准》的规定，加强对施工工地的巡查抽查，督促建设单位和施工单位积极采取有效防尘降尘措施，提高文明施工和绿色施工水平。</w:t>
                  </w:r>
                </w:p>
              </w:tc>
              <w:tc>
                <w:tcPr>
                  <w:tcW w:w="1227" w:type="pct"/>
                  <w:vMerge w:val="continue"/>
                  <w:vAlign w:val="center"/>
                </w:tcPr>
                <w:p w14:paraId="5AE894B6">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p>
              </w:tc>
              <w:tc>
                <w:tcPr>
                  <w:tcW w:w="415" w:type="pct"/>
                  <w:vAlign w:val="center"/>
                </w:tcPr>
                <w:p w14:paraId="77DE26AC">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r w14:paraId="70174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pct"/>
                  <w:vAlign w:val="center"/>
                </w:tcPr>
                <w:p w14:paraId="42D3EE4A">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《省住房城乡建设厅关于印发&lt;2021年江苏省建筑工地扬尘专项治理工作方案&gt;的通知》（苏建质安</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2021</w:t>
                  </w:r>
                  <w:r>
                    <w:rPr>
                      <w:rFonts w:hint="eastAsia" w:ascii="Times New Roman" w:hAnsi="Times New Roman" w:eastAsia="仿宋" w:cs="Times New Roman"/>
                      <w:color w:val="auto"/>
                      <w:sz w:val="21"/>
                      <w:szCs w:val="21"/>
                      <w:highlight w:val="none"/>
                      <w:lang w:val="en-US" w:eastAsia="zh-CN"/>
                    </w:rPr>
                    <w:t>]</w:t>
                  </w:r>
                  <w:r>
                    <w:rPr>
                      <w:rFonts w:hint="default" w:ascii="Times New Roman" w:hAnsi="Times New Roman" w:eastAsia="仿宋" w:cs="Times New Roman"/>
                      <w:color w:val="auto"/>
                      <w:sz w:val="21"/>
                      <w:szCs w:val="21"/>
                      <w:highlight w:val="none"/>
                    </w:rPr>
                    <w:t>76号）</w:t>
                  </w:r>
                </w:p>
              </w:tc>
              <w:tc>
                <w:tcPr>
                  <w:tcW w:w="2529" w:type="pct"/>
                  <w:vAlign w:val="center"/>
                </w:tcPr>
                <w:p w14:paraId="6F7B74AF">
                  <w:pPr>
                    <w:pStyle w:val="30"/>
                    <w:numPr>
                      <w:ilvl w:val="255"/>
                      <w:numId w:val="0"/>
                    </w:numPr>
                    <w:ind w:left="0" w:leftChars="0" w:firstLine="0" w:firstLineChars="0"/>
                    <w:jc w:val="both"/>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根据《省住房城乡建设厅关于印发&lt;2021年江苏省建筑工地扬尘专项治理工作方案&gt;的通知》（苏建质安[2021]76号）：强化参建各方扬尘治理主体责任落实；做好施工现场各项扬尘污染防治措施落实；强化拆除作业扬尘污染防治；落实建筑工地扬尘治理差别化管控；提高建筑工地扬尘治理信息化水平；推进建筑垃圾减量化。</w:t>
                  </w:r>
                </w:p>
              </w:tc>
              <w:tc>
                <w:tcPr>
                  <w:tcW w:w="1227" w:type="pct"/>
                  <w:vMerge w:val="continue"/>
                  <w:vAlign w:val="center"/>
                </w:tcPr>
                <w:p w14:paraId="7149BF4E">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p>
              </w:tc>
              <w:tc>
                <w:tcPr>
                  <w:tcW w:w="415" w:type="pct"/>
                  <w:vAlign w:val="center"/>
                </w:tcPr>
                <w:p w14:paraId="66561B1D">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符合</w:t>
                  </w:r>
                </w:p>
              </w:tc>
            </w:tr>
          </w:tbl>
          <w:p w14:paraId="59515E55">
            <w:pPr>
              <w:pStyle w:val="9"/>
              <w:ind w:left="0" w:leftChars="0" w:firstLine="0" w:firstLineChars="0"/>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t>四、生态环境保护规划的相符性分析</w:t>
            </w:r>
          </w:p>
          <w:p w14:paraId="07D21F24">
            <w:pPr>
              <w:keepNext w:val="0"/>
              <w:keepLines w:val="0"/>
              <w:pageBreakBefore w:val="0"/>
              <w:widowControl/>
              <w:kinsoku/>
              <w:wordWrap/>
              <w:overflowPunct/>
              <w:topLinePunct w:val="0"/>
              <w:autoSpaceDE/>
              <w:autoSpaceDN/>
              <w:bidi w:val="0"/>
              <w:adjustRightInd/>
              <w:snapToGrid/>
              <w:ind w:firstLine="482" w:firstLineChars="200"/>
              <w:jc w:val="left"/>
              <w:textAlignment w:val="auto"/>
              <w:rPr>
                <w:rFonts w:hint="default" w:eastAsia="仿宋"/>
                <w:color w:val="auto"/>
                <w:kern w:val="0"/>
                <w:sz w:val="24"/>
                <w:highlight w:val="none"/>
                <w:lang w:val="en-US" w:eastAsia="zh-CN"/>
              </w:rPr>
            </w:pPr>
            <w:r>
              <w:rPr>
                <w:rFonts w:hint="eastAsia" w:eastAsia="仿宋"/>
                <w:b/>
                <w:bCs/>
                <w:color w:val="auto"/>
                <w:kern w:val="0"/>
                <w:sz w:val="24"/>
                <w:highlight w:val="none"/>
                <w:lang w:val="en-US" w:eastAsia="zh-CN"/>
              </w:rPr>
              <w:t>江苏省国家级生态保护红线规划</w:t>
            </w:r>
          </w:p>
          <w:p w14:paraId="3686F894">
            <w:pPr>
              <w:ind w:left="0" w:leftChars="0" w:firstLine="480" w:firstLineChars="200"/>
              <w:rPr>
                <w:rFonts w:hint="eastAsia" w:eastAsia="仿宋" w:cstheme="minorBidi"/>
                <w:color w:val="000000" w:themeColor="text1"/>
                <w:kern w:val="0"/>
                <w:sz w:val="24"/>
                <w:szCs w:val="22"/>
                <w:highlight w:val="none"/>
                <w:lang w:val="en-US" w:eastAsia="zh-CN" w:bidi="ar"/>
                <w14:textFill>
                  <w14:solidFill>
                    <w14:schemeClr w14:val="tx1"/>
                  </w14:solidFill>
                </w14:textFill>
              </w:rPr>
            </w:pPr>
            <w:r>
              <w:rPr>
                <w:rFonts w:hint="eastAsia" w:eastAsia="仿宋" w:cstheme="minorBidi"/>
                <w:color w:val="000000" w:themeColor="text1"/>
                <w:kern w:val="0"/>
                <w:sz w:val="24"/>
                <w:szCs w:val="22"/>
                <w:highlight w:val="none"/>
                <w:lang w:val="en-US" w:eastAsia="zh-CN" w:bidi="ar"/>
                <w14:textFill>
                  <w14:solidFill>
                    <w14:schemeClr w14:val="tx1"/>
                  </w14:solidFill>
                </w14:textFill>
              </w:rPr>
              <w:t>根据《江苏省国家级生态保护红线规划》，本工程所在地附近生态红线区域见表1-6。江苏省国家级生态红线区域及省级生态空间管控区与本项目位置关系见图1-1。</w:t>
            </w:r>
          </w:p>
          <w:p w14:paraId="19C027F3">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t>表1-6本项目涉及江苏省国家级生态红线名录</w:t>
            </w:r>
          </w:p>
          <w:tbl>
            <w:tblPr>
              <w:tblStyle w:val="23"/>
              <w:tblW w:w="4996" w:type="pct"/>
              <w:jc w:val="center"/>
              <w:tblLayout w:type="autofit"/>
              <w:tblCellMar>
                <w:top w:w="0" w:type="dxa"/>
                <w:left w:w="0" w:type="dxa"/>
                <w:bottom w:w="0" w:type="dxa"/>
                <w:right w:w="0" w:type="dxa"/>
              </w:tblCellMar>
            </w:tblPr>
            <w:tblGrid>
              <w:gridCol w:w="479"/>
              <w:gridCol w:w="1542"/>
              <w:gridCol w:w="882"/>
              <w:gridCol w:w="1458"/>
              <w:gridCol w:w="3902"/>
              <w:gridCol w:w="880"/>
            </w:tblGrid>
            <w:tr w14:paraId="59E166B0">
              <w:trPr>
                <w:trHeight w:val="0" w:hRule="atLeast"/>
                <w:jc w:val="center"/>
              </w:trPr>
              <w:tc>
                <w:tcPr>
                  <w:tcW w:w="262" w:type="pct"/>
                  <w:tcBorders>
                    <w:top w:val="single" w:color="000000" w:sz="2" w:space="0"/>
                    <w:left w:val="single" w:color="000000" w:sz="2" w:space="0"/>
                    <w:bottom w:val="single" w:color="000000" w:sz="2" w:space="0"/>
                    <w:right w:val="single" w:color="000000" w:sz="2" w:space="0"/>
                  </w:tcBorders>
                  <w:vAlign w:val="center"/>
                </w:tcPr>
                <w:p w14:paraId="78ACB72D">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序号</w:t>
                  </w:r>
                </w:p>
              </w:tc>
              <w:tc>
                <w:tcPr>
                  <w:tcW w:w="843" w:type="pct"/>
                  <w:tcBorders>
                    <w:top w:val="single" w:color="000000" w:sz="2" w:space="0"/>
                    <w:left w:val="single" w:color="000000" w:sz="2" w:space="0"/>
                    <w:bottom w:val="single" w:color="000000" w:sz="2" w:space="0"/>
                    <w:right w:val="single" w:color="000000" w:sz="2" w:space="0"/>
                  </w:tcBorders>
                  <w:vAlign w:val="center"/>
                </w:tcPr>
                <w:p w14:paraId="42527EE3">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生态红线名称</w:t>
                  </w:r>
                </w:p>
              </w:tc>
              <w:tc>
                <w:tcPr>
                  <w:tcW w:w="482" w:type="pct"/>
                  <w:tcBorders>
                    <w:top w:val="single" w:color="000000" w:sz="2" w:space="0"/>
                    <w:left w:val="single" w:color="000000" w:sz="2" w:space="0"/>
                    <w:bottom w:val="single" w:color="000000" w:sz="2" w:space="0"/>
                    <w:right w:val="single" w:color="auto" w:sz="4" w:space="0"/>
                  </w:tcBorders>
                  <w:vAlign w:val="center"/>
                </w:tcPr>
                <w:p w14:paraId="7EBF8575">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主导生态功能</w:t>
                  </w:r>
                </w:p>
              </w:tc>
              <w:tc>
                <w:tcPr>
                  <w:tcW w:w="797" w:type="pct"/>
                  <w:tcBorders>
                    <w:top w:val="single" w:color="auto" w:sz="4" w:space="0"/>
                    <w:left w:val="single" w:color="auto" w:sz="4" w:space="0"/>
                    <w:bottom w:val="single" w:color="auto" w:sz="4" w:space="0"/>
                    <w:right w:val="single" w:color="auto" w:sz="4" w:space="0"/>
                  </w:tcBorders>
                  <w:vAlign w:val="center"/>
                </w:tcPr>
                <w:p w14:paraId="4A108022">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default"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生态空间类型</w:t>
                  </w:r>
                </w:p>
              </w:tc>
              <w:tc>
                <w:tcPr>
                  <w:tcW w:w="2133" w:type="pct"/>
                  <w:tcBorders>
                    <w:top w:val="single" w:color="auto" w:sz="4" w:space="0"/>
                    <w:left w:val="single" w:color="auto" w:sz="4" w:space="0"/>
                    <w:bottom w:val="single" w:color="auto" w:sz="4" w:space="0"/>
                    <w:right w:val="single" w:color="auto" w:sz="4" w:space="0"/>
                  </w:tcBorders>
                  <w:vAlign w:val="center"/>
                </w:tcPr>
                <w:p w14:paraId="0C31E303">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范围</w:t>
                  </w:r>
                </w:p>
              </w:tc>
              <w:tc>
                <w:tcPr>
                  <w:tcW w:w="481" w:type="pct"/>
                  <w:tcBorders>
                    <w:top w:val="single" w:color="auto" w:sz="4" w:space="0"/>
                    <w:left w:val="single" w:color="auto" w:sz="4" w:space="0"/>
                    <w:bottom w:val="single" w:color="auto" w:sz="4" w:space="0"/>
                    <w:right w:val="single" w:color="auto" w:sz="4" w:space="0"/>
                  </w:tcBorders>
                  <w:vAlign w:val="center"/>
                </w:tcPr>
                <w:p w14:paraId="5961CAA2">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面积（km</w:t>
                  </w:r>
                  <w:r>
                    <w:rPr>
                      <w:rFonts w:hint="eastAsia" w:ascii="Times New Roman" w:hAnsi="Times New Roman" w:eastAsia="仿宋" w:cs="Times New Roman"/>
                      <w:b/>
                      <w:bCs/>
                      <w:color w:val="auto"/>
                      <w:sz w:val="21"/>
                      <w:szCs w:val="21"/>
                      <w:highlight w:val="none"/>
                      <w:vertAlign w:val="superscript"/>
                      <w:lang w:val="en-US" w:eastAsia="zh-CN"/>
                    </w:rPr>
                    <w:t>2</w:t>
                  </w:r>
                  <w:r>
                    <w:rPr>
                      <w:rFonts w:hint="eastAsia" w:ascii="Times New Roman" w:hAnsi="Times New Roman" w:eastAsia="仿宋" w:cs="Times New Roman"/>
                      <w:b/>
                      <w:bCs/>
                      <w:color w:val="auto"/>
                      <w:sz w:val="21"/>
                      <w:szCs w:val="21"/>
                      <w:highlight w:val="none"/>
                      <w:lang w:val="en-US" w:eastAsia="zh-CN"/>
                    </w:rPr>
                    <w:t>）</w:t>
                  </w:r>
                </w:p>
              </w:tc>
            </w:tr>
            <w:tr w14:paraId="5093A852">
              <w:tblPrEx>
                <w:tblCellMar>
                  <w:top w:w="0" w:type="dxa"/>
                  <w:left w:w="0" w:type="dxa"/>
                  <w:bottom w:w="0" w:type="dxa"/>
                  <w:right w:w="0" w:type="dxa"/>
                </w:tblCellMar>
              </w:tblPrEx>
              <w:trPr>
                <w:trHeight w:val="0" w:hRule="atLeast"/>
                <w:jc w:val="center"/>
              </w:trPr>
              <w:tc>
                <w:tcPr>
                  <w:tcW w:w="262" w:type="pct"/>
                  <w:tcBorders>
                    <w:top w:val="single" w:color="000000" w:sz="2" w:space="0"/>
                    <w:left w:val="single" w:color="000000" w:sz="2" w:space="0"/>
                    <w:bottom w:val="single" w:color="000000" w:sz="2" w:space="0"/>
                    <w:right w:val="single" w:color="000000" w:sz="2" w:space="0"/>
                  </w:tcBorders>
                  <w:vAlign w:val="center"/>
                </w:tcPr>
                <w:p w14:paraId="2707AB28">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p>
                <w:p w14:paraId="3E3A09BE">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p>
                <w:p w14:paraId="0F5ED525">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1</w:t>
                  </w:r>
                </w:p>
                <w:p w14:paraId="78FFDCA2">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p>
                <w:p w14:paraId="588DADAE">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p>
                <w:p w14:paraId="18C63DB3">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p>
              </w:tc>
              <w:tc>
                <w:tcPr>
                  <w:tcW w:w="843" w:type="pct"/>
                  <w:tcBorders>
                    <w:top w:val="single" w:color="000000" w:sz="2" w:space="0"/>
                    <w:left w:val="single" w:color="000000" w:sz="2" w:space="0"/>
                    <w:bottom w:val="single" w:color="000000" w:sz="2" w:space="0"/>
                    <w:right w:val="single" w:color="000000" w:sz="2" w:space="0"/>
                  </w:tcBorders>
                  <w:vAlign w:val="center"/>
                </w:tcPr>
                <w:p w14:paraId="30B558FF">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金坛长荡湖国家湿地公园（试点）</w:t>
                  </w:r>
                </w:p>
              </w:tc>
              <w:tc>
                <w:tcPr>
                  <w:tcW w:w="482" w:type="pct"/>
                  <w:tcBorders>
                    <w:top w:val="single" w:color="000000" w:sz="2" w:space="0"/>
                    <w:left w:val="single" w:color="000000" w:sz="2" w:space="0"/>
                    <w:bottom w:val="single" w:color="000000" w:sz="2" w:space="0"/>
                    <w:right w:val="single" w:color="auto" w:sz="4" w:space="0"/>
                  </w:tcBorders>
                  <w:vAlign w:val="center"/>
                </w:tcPr>
                <w:p w14:paraId="68AEB040">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湿地生态系统保护</w:t>
                  </w:r>
                </w:p>
              </w:tc>
              <w:tc>
                <w:tcPr>
                  <w:tcW w:w="797" w:type="pct"/>
                  <w:tcBorders>
                    <w:top w:val="single" w:color="auto" w:sz="4" w:space="0"/>
                    <w:left w:val="single" w:color="auto" w:sz="4" w:space="0"/>
                    <w:bottom w:val="single" w:color="auto" w:sz="4" w:space="0"/>
                    <w:right w:val="single" w:color="auto" w:sz="4" w:space="0"/>
                  </w:tcBorders>
                  <w:vAlign w:val="center"/>
                </w:tcPr>
                <w:p w14:paraId="00D9B8A4">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国家级生态保护红线</w:t>
                  </w:r>
                </w:p>
              </w:tc>
              <w:tc>
                <w:tcPr>
                  <w:tcW w:w="2133" w:type="pct"/>
                  <w:tcBorders>
                    <w:top w:val="single" w:color="auto" w:sz="4" w:space="0"/>
                    <w:left w:val="single" w:color="auto" w:sz="4" w:space="0"/>
                    <w:bottom w:val="single" w:color="auto" w:sz="4" w:space="0"/>
                    <w:right w:val="single" w:color="auto" w:sz="4" w:space="0"/>
                  </w:tcBorders>
                  <w:vAlign w:val="center"/>
                </w:tcPr>
                <w:p w14:paraId="53F226F1">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金坛长荡湖国家湿地公园（试点）总体规划中确定范围（包括湿地保育区和恢复重建区）</w:t>
                  </w:r>
                </w:p>
              </w:tc>
              <w:tc>
                <w:tcPr>
                  <w:tcW w:w="481" w:type="pct"/>
                  <w:tcBorders>
                    <w:top w:val="single" w:color="auto" w:sz="4" w:space="0"/>
                    <w:left w:val="single" w:color="auto" w:sz="4" w:space="0"/>
                    <w:bottom w:val="single" w:color="auto" w:sz="4" w:space="0"/>
                    <w:right w:val="single" w:color="auto" w:sz="4" w:space="0"/>
                  </w:tcBorders>
                  <w:vAlign w:val="center"/>
                </w:tcPr>
                <w:p w14:paraId="3F556DF5">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79.69</w:t>
                  </w:r>
                </w:p>
              </w:tc>
            </w:tr>
            <w:tr w14:paraId="5F29B909">
              <w:tblPrEx>
                <w:tblCellMar>
                  <w:top w:w="0" w:type="dxa"/>
                  <w:left w:w="0" w:type="dxa"/>
                  <w:bottom w:w="0" w:type="dxa"/>
                  <w:right w:w="0" w:type="dxa"/>
                </w:tblCellMar>
              </w:tblPrEx>
              <w:trPr>
                <w:trHeight w:val="1549" w:hRule="atLeast"/>
                <w:jc w:val="center"/>
              </w:trPr>
              <w:tc>
                <w:tcPr>
                  <w:tcW w:w="262" w:type="pct"/>
                  <w:tcBorders>
                    <w:top w:val="single" w:color="000000" w:sz="2" w:space="0"/>
                    <w:left w:val="single" w:color="000000" w:sz="2" w:space="0"/>
                    <w:bottom w:val="single" w:color="000000" w:sz="2" w:space="0"/>
                    <w:right w:val="single" w:color="000000" w:sz="2" w:space="0"/>
                  </w:tcBorders>
                  <w:vAlign w:val="center"/>
                </w:tcPr>
                <w:p w14:paraId="5378F7BF">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2</w:t>
                  </w:r>
                </w:p>
              </w:tc>
              <w:tc>
                <w:tcPr>
                  <w:tcW w:w="843" w:type="pct"/>
                  <w:tcBorders>
                    <w:top w:val="single" w:color="000000" w:sz="2" w:space="0"/>
                    <w:left w:val="single" w:color="000000" w:sz="2" w:space="0"/>
                    <w:bottom w:val="single" w:color="000000" w:sz="2" w:space="0"/>
                    <w:right w:val="single" w:color="000000" w:sz="2" w:space="0"/>
                  </w:tcBorders>
                  <w:vAlign w:val="center"/>
                </w:tcPr>
                <w:p w14:paraId="71909868">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长荡湖（金坛区）重要湿地</w:t>
                  </w:r>
                </w:p>
              </w:tc>
              <w:tc>
                <w:tcPr>
                  <w:tcW w:w="482" w:type="pct"/>
                  <w:tcBorders>
                    <w:top w:val="single" w:color="000000" w:sz="2" w:space="0"/>
                    <w:left w:val="single" w:color="000000" w:sz="2" w:space="0"/>
                    <w:bottom w:val="single" w:color="000000" w:sz="2" w:space="0"/>
                    <w:right w:val="single" w:color="000000" w:sz="2" w:space="0"/>
                  </w:tcBorders>
                  <w:vAlign w:val="center"/>
                </w:tcPr>
                <w:p w14:paraId="3DE04081">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湿地生态系统保护</w:t>
                  </w:r>
                </w:p>
              </w:tc>
              <w:tc>
                <w:tcPr>
                  <w:tcW w:w="797" w:type="pct"/>
                  <w:tcBorders>
                    <w:top w:val="single" w:color="auto" w:sz="4" w:space="0"/>
                    <w:left w:val="single" w:color="000000" w:sz="2" w:space="0"/>
                    <w:bottom w:val="single" w:color="000000" w:sz="2" w:space="0"/>
                    <w:right w:val="single" w:color="000000" w:sz="2" w:space="0"/>
                  </w:tcBorders>
                  <w:vAlign w:val="center"/>
                </w:tcPr>
                <w:p w14:paraId="57AEC148">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国家级生态保护红线</w:t>
                  </w:r>
                </w:p>
              </w:tc>
              <w:tc>
                <w:tcPr>
                  <w:tcW w:w="2133" w:type="pct"/>
                  <w:tcBorders>
                    <w:top w:val="single" w:color="auto" w:sz="4" w:space="0"/>
                    <w:left w:val="single" w:color="000000" w:sz="2" w:space="0"/>
                    <w:bottom w:val="single" w:color="000000" w:sz="2" w:space="0"/>
                    <w:right w:val="single" w:color="000000" w:sz="2" w:space="0"/>
                  </w:tcBorders>
                  <w:vAlign w:val="center"/>
                </w:tcPr>
                <w:p w14:paraId="3F89A17A">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长荡湖湖体水域</w:t>
                  </w:r>
                </w:p>
              </w:tc>
              <w:tc>
                <w:tcPr>
                  <w:tcW w:w="481" w:type="pct"/>
                  <w:tcBorders>
                    <w:top w:val="single" w:color="auto" w:sz="4" w:space="0"/>
                    <w:left w:val="single" w:color="000000" w:sz="2" w:space="0"/>
                    <w:bottom w:val="single" w:color="000000" w:sz="2" w:space="0"/>
                    <w:right w:val="single" w:color="000000" w:sz="2" w:space="0"/>
                  </w:tcBorders>
                  <w:vAlign w:val="center"/>
                </w:tcPr>
                <w:p w14:paraId="6999C711">
                  <w:pPr>
                    <w:pStyle w:val="30"/>
                    <w:keepNext w:val="0"/>
                    <w:keepLines w:val="0"/>
                    <w:pageBreakBefore w:val="0"/>
                    <w:widowControl w:val="0"/>
                    <w:numPr>
                      <w:ilvl w:val="255"/>
                      <w:numId w:val="0"/>
                    </w:numPr>
                    <w:kinsoku/>
                    <w:wordWrap/>
                    <w:overflowPunct/>
                    <w:topLinePunct w:val="0"/>
                    <w:autoSpaceDE w:val="0"/>
                    <w:autoSpaceDN w:val="0"/>
                    <w:bidi w:val="0"/>
                    <w:adjustRightInd w:val="0"/>
                    <w:snapToGrid w:val="0"/>
                    <w:spacing w:line="240" w:lineRule="atLeast"/>
                    <w:ind w:left="0" w:leftChars="0" w:firstLine="0" w:firstLineChars="0"/>
                    <w:jc w:val="center"/>
                    <w:textAlignment w:val="auto"/>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77.92</w:t>
                  </w:r>
                </w:p>
              </w:tc>
            </w:tr>
          </w:tbl>
          <w:p w14:paraId="77B3E7F9">
            <w:pPr>
              <w:ind w:left="0" w:leftChars="0" w:firstLine="480" w:firstLineChars="200"/>
              <w:rPr>
                <w:rFonts w:hint="eastAsia" w:eastAsia="仿宋" w:cstheme="minorBidi"/>
                <w:color w:val="000000" w:themeColor="text1"/>
                <w:kern w:val="0"/>
                <w:sz w:val="24"/>
                <w:szCs w:val="22"/>
                <w:highlight w:val="none"/>
                <w:lang w:val="en-US" w:eastAsia="zh-CN" w:bidi="ar"/>
                <w14:textFill>
                  <w14:solidFill>
                    <w14:schemeClr w14:val="tx1"/>
                  </w14:solidFill>
                </w14:textFill>
              </w:rPr>
            </w:pPr>
            <w:r>
              <w:rPr>
                <w:rFonts w:hint="eastAsia" w:eastAsia="仿宋" w:cstheme="minorBidi"/>
                <w:color w:val="000000" w:themeColor="text1"/>
                <w:kern w:val="0"/>
                <w:sz w:val="24"/>
                <w:szCs w:val="22"/>
                <w:highlight w:val="none"/>
                <w:lang w:val="en-US" w:eastAsia="zh-CN" w:bidi="ar"/>
                <w14:textFill>
                  <w14:solidFill>
                    <w14:schemeClr w14:val="tx1"/>
                  </w14:solidFill>
                </w14:textFill>
              </w:rPr>
              <w:t>根据《自然资源部 生态环境部 国家林业和草原局关于加强生态保护红线管理的通知》（自然资发〔2022〕142 号）的要求，生态保护红线是国土空间规划中的重要管控边界，生态保护红线内自然保护地核心保护区外，禁止开发性、生产性建设活动，在符合法律法规的前提下，仅允许进行生态功能不造成破坏的有限人为活动。</w:t>
            </w:r>
          </w:p>
          <w:p w14:paraId="7FE80721">
            <w:pPr>
              <w:ind w:left="0" w:leftChars="0" w:firstLine="480" w:firstLineChars="200"/>
              <w:rPr>
                <w:rFonts w:hint="default" w:eastAsia="仿宋" w:cstheme="minorBidi"/>
                <w:color w:val="000000" w:themeColor="text1"/>
                <w:kern w:val="0"/>
                <w:sz w:val="24"/>
                <w:szCs w:val="22"/>
                <w:highlight w:val="none"/>
                <w:lang w:val="en-US" w:eastAsia="zh-CN" w:bidi="ar"/>
                <w14:textFill>
                  <w14:solidFill>
                    <w14:schemeClr w14:val="tx1"/>
                  </w14:solidFill>
                </w14:textFill>
              </w:rPr>
            </w:pPr>
            <w:r>
              <w:rPr>
                <w:rFonts w:hint="eastAsia" w:eastAsia="仿宋" w:cstheme="minorBidi"/>
                <w:color w:val="000000" w:themeColor="text1"/>
                <w:kern w:val="0"/>
                <w:sz w:val="24"/>
                <w:szCs w:val="22"/>
                <w:highlight w:val="none"/>
                <w:lang w:val="en-US" w:eastAsia="zh-CN" w:bidi="ar"/>
                <w14:textFill>
                  <w14:solidFill>
                    <w14:schemeClr w14:val="tx1"/>
                  </w14:solidFill>
                </w14:textFill>
              </w:rPr>
              <w:t>本项目为市级国土空间规划的线性基础设施，符合《自然资源部 生态环境部 国家林业和草原局关于加强生态保护红线管理的通知（试行）》（自然资发〔2022〕142 号）第一项第6条中“必须且无法避让、符合县级以上国土空间规划的线性基础设施、通讯和防洪、供水设施建设和船舶航行、航道疏浚清淤等活动；已有的合法水利、交通运输等设施运行维护改造”的要求。</w:t>
            </w:r>
          </w:p>
          <w:p w14:paraId="2C7E50FD">
            <w:pPr>
              <w:ind w:left="0" w:leftChars="0" w:firstLine="480" w:firstLineChars="200"/>
              <w:rPr>
                <w:rFonts w:hint="default" w:eastAsia="仿宋" w:cstheme="minorBidi"/>
                <w:color w:val="000000" w:themeColor="text1"/>
                <w:kern w:val="0"/>
                <w:sz w:val="24"/>
                <w:szCs w:val="22"/>
                <w:highlight w:val="none"/>
                <w:lang w:val="en-US" w:eastAsia="zh-CN" w:bidi="ar"/>
                <w14:textFill>
                  <w14:solidFill>
                    <w14:schemeClr w14:val="tx1"/>
                  </w14:solidFill>
                </w14:textFill>
              </w:rPr>
            </w:pPr>
            <w:r>
              <w:rPr>
                <w:rFonts w:hint="eastAsia" w:eastAsia="仿宋" w:cstheme="minorBidi"/>
                <w:color w:val="000000" w:themeColor="text1"/>
                <w:kern w:val="0"/>
                <w:sz w:val="24"/>
                <w:szCs w:val="22"/>
                <w:highlight w:val="none"/>
                <w:lang w:val="en-US" w:eastAsia="zh-CN" w:bidi="ar"/>
                <w14:textFill>
                  <w14:solidFill>
                    <w14:schemeClr w14:val="tx1"/>
                  </w14:solidFill>
                </w14:textFill>
              </w:rPr>
              <w:t>本工程与江苏省省级生态空间管控区的关系见表1-7.</w:t>
            </w:r>
          </w:p>
          <w:p w14:paraId="0F49AE60">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eastAsia="仿宋" w:cs="Times New Roman"/>
                <w:b/>
                <w:bCs/>
                <w:color w:val="auto"/>
                <w:highlight w:val="none"/>
                <w:lang w:val="en-US" w:eastAsia="zh-CN"/>
              </w:rPr>
            </w:pPr>
            <w:r>
              <w:rPr>
                <w:rFonts w:hint="eastAsia" w:eastAsia="仿宋" w:cs="Times New Roman"/>
                <w:b/>
                <w:bCs/>
                <w:color w:val="auto"/>
                <w:highlight w:val="none"/>
                <w:lang w:val="en-US" w:eastAsia="zh-CN"/>
              </w:rPr>
              <w:t>表1-7 本项目涉及江苏省省级生态空间管控区要求</w:t>
            </w:r>
          </w:p>
          <w:tbl>
            <w:tblPr>
              <w:tblStyle w:val="23"/>
              <w:tblW w:w="8837" w:type="dxa"/>
              <w:jc w:val="center"/>
              <w:tblLayout w:type="autofit"/>
              <w:tblCellMar>
                <w:top w:w="0" w:type="dxa"/>
                <w:left w:w="0" w:type="dxa"/>
                <w:bottom w:w="0" w:type="dxa"/>
                <w:right w:w="0" w:type="dxa"/>
              </w:tblCellMar>
            </w:tblPr>
            <w:tblGrid>
              <w:gridCol w:w="953"/>
              <w:gridCol w:w="614"/>
              <w:gridCol w:w="4476"/>
              <w:gridCol w:w="2794"/>
            </w:tblGrid>
            <w:tr w14:paraId="0CAC6F54">
              <w:tblPrEx>
                <w:tblCellMar>
                  <w:top w:w="0" w:type="dxa"/>
                  <w:left w:w="0" w:type="dxa"/>
                  <w:bottom w:w="0" w:type="dxa"/>
                  <w:right w:w="0" w:type="dxa"/>
                </w:tblCellMar>
              </w:tblPrEx>
              <w:trPr>
                <w:jc w:val="center"/>
              </w:trPr>
              <w:tc>
                <w:tcPr>
                  <w:tcW w:w="539" w:type="pct"/>
                  <w:tcBorders>
                    <w:top w:val="single" w:color="000000" w:sz="2" w:space="0"/>
                    <w:left w:val="single" w:color="000000" w:sz="2" w:space="0"/>
                    <w:bottom w:val="single" w:color="000000" w:sz="2" w:space="0"/>
                    <w:right w:val="single" w:color="000000" w:sz="2" w:space="0"/>
                  </w:tcBorders>
                  <w:vAlign w:val="center"/>
                </w:tcPr>
                <w:p w14:paraId="70790314">
                  <w:pPr>
                    <w:pStyle w:val="30"/>
                    <w:numPr>
                      <w:ilvl w:val="255"/>
                      <w:numId w:val="0"/>
                    </w:numPr>
                    <w:ind w:left="0" w:leftChars="0" w:firstLine="0" w:firstLineChars="0"/>
                    <w:jc w:val="center"/>
                    <w:rPr>
                      <w:rFonts w:hint="eastAsia"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生态空间管控区名称</w:t>
                  </w:r>
                </w:p>
              </w:tc>
              <w:tc>
                <w:tcPr>
                  <w:tcW w:w="347" w:type="pct"/>
                  <w:tcBorders>
                    <w:top w:val="single" w:color="000000" w:sz="2" w:space="0"/>
                    <w:left w:val="single" w:color="000000" w:sz="2" w:space="0"/>
                    <w:bottom w:val="single" w:color="000000" w:sz="2" w:space="0"/>
                    <w:right w:val="single" w:color="auto" w:sz="4" w:space="0"/>
                  </w:tcBorders>
                  <w:vAlign w:val="center"/>
                </w:tcPr>
                <w:p w14:paraId="3FC4D8AD">
                  <w:pPr>
                    <w:pStyle w:val="30"/>
                    <w:numPr>
                      <w:ilvl w:val="255"/>
                      <w:numId w:val="0"/>
                    </w:numPr>
                    <w:ind w:left="0" w:leftChars="0" w:firstLine="0" w:firstLineChars="0"/>
                    <w:jc w:val="center"/>
                    <w:rPr>
                      <w:rFonts w:hint="eastAsia"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主导生态功能</w:t>
                  </w:r>
                </w:p>
              </w:tc>
              <w:tc>
                <w:tcPr>
                  <w:tcW w:w="2531" w:type="pct"/>
                  <w:tcBorders>
                    <w:top w:val="single" w:color="auto" w:sz="4" w:space="0"/>
                    <w:left w:val="single" w:color="auto" w:sz="4" w:space="0"/>
                    <w:bottom w:val="single" w:color="auto" w:sz="4" w:space="0"/>
                    <w:right w:val="single" w:color="auto" w:sz="4" w:space="0"/>
                  </w:tcBorders>
                  <w:vAlign w:val="center"/>
                </w:tcPr>
                <w:p w14:paraId="76ADE01D">
                  <w:pPr>
                    <w:pStyle w:val="30"/>
                    <w:numPr>
                      <w:ilvl w:val="255"/>
                      <w:numId w:val="0"/>
                    </w:numPr>
                    <w:ind w:left="0" w:leftChars="0" w:firstLine="0" w:firstLineChars="0"/>
                    <w:jc w:val="center"/>
                    <w:rPr>
                      <w:rFonts w:hint="default"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管控措施</w:t>
                  </w:r>
                </w:p>
              </w:tc>
              <w:tc>
                <w:tcPr>
                  <w:tcW w:w="1580" w:type="pct"/>
                  <w:tcBorders>
                    <w:top w:val="single" w:color="auto" w:sz="4" w:space="0"/>
                    <w:left w:val="single" w:color="auto" w:sz="4" w:space="0"/>
                    <w:bottom w:val="single" w:color="auto" w:sz="4" w:space="0"/>
                    <w:right w:val="single" w:color="auto" w:sz="4" w:space="0"/>
                  </w:tcBorders>
                  <w:vAlign w:val="center"/>
                </w:tcPr>
                <w:p w14:paraId="4CC46D23">
                  <w:pPr>
                    <w:pStyle w:val="30"/>
                    <w:numPr>
                      <w:ilvl w:val="255"/>
                      <w:numId w:val="0"/>
                    </w:numPr>
                    <w:ind w:left="0" w:leftChars="0" w:firstLine="0" w:firstLineChars="0"/>
                    <w:jc w:val="center"/>
                    <w:rPr>
                      <w:rFonts w:hint="default"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相符性分析</w:t>
                  </w:r>
                </w:p>
              </w:tc>
            </w:tr>
            <w:tr w14:paraId="1B9F829E">
              <w:tblPrEx>
                <w:tblCellMar>
                  <w:top w:w="0" w:type="dxa"/>
                  <w:left w:w="0" w:type="dxa"/>
                  <w:bottom w:w="0" w:type="dxa"/>
                  <w:right w:w="0" w:type="dxa"/>
                </w:tblCellMar>
              </w:tblPrEx>
              <w:trPr>
                <w:trHeight w:val="7245" w:hRule="atLeast"/>
                <w:jc w:val="center"/>
              </w:trPr>
              <w:tc>
                <w:tcPr>
                  <w:tcW w:w="539" w:type="pct"/>
                  <w:vMerge w:val="restart"/>
                  <w:tcBorders>
                    <w:top w:val="single" w:color="000000" w:sz="2" w:space="0"/>
                    <w:left w:val="single" w:color="000000" w:sz="2" w:space="0"/>
                    <w:right w:val="single" w:color="000000" w:sz="2" w:space="0"/>
                  </w:tcBorders>
                  <w:vAlign w:val="center"/>
                </w:tcPr>
                <w:p w14:paraId="6B1864DB">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长荡湖重要渔业水域</w:t>
                  </w:r>
                </w:p>
              </w:tc>
              <w:tc>
                <w:tcPr>
                  <w:tcW w:w="347" w:type="pct"/>
                  <w:tcBorders>
                    <w:top w:val="single" w:color="000000" w:sz="2" w:space="0"/>
                    <w:left w:val="single" w:color="000000" w:sz="2" w:space="0"/>
                    <w:bottom w:val="single" w:color="000000" w:sz="2" w:space="0"/>
                    <w:right w:val="single" w:color="000000" w:sz="2" w:space="0"/>
                  </w:tcBorders>
                  <w:vAlign w:val="center"/>
                </w:tcPr>
                <w:p w14:paraId="187ED3CD">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饮用水水源保护区</w:t>
                  </w:r>
                </w:p>
              </w:tc>
              <w:tc>
                <w:tcPr>
                  <w:tcW w:w="2531" w:type="pct"/>
                  <w:tcBorders>
                    <w:top w:val="single" w:color="auto" w:sz="4" w:space="0"/>
                    <w:left w:val="single" w:color="000000" w:sz="2" w:space="0"/>
                    <w:bottom w:val="single" w:color="000000" w:sz="2" w:space="0"/>
                    <w:right w:val="single" w:color="000000" w:sz="2" w:space="0"/>
                  </w:tcBorders>
                  <w:vAlign w:val="center"/>
                </w:tcPr>
                <w:p w14:paraId="190348EE">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禁止下列行为：新建、扩建排放含持久性有机污染物和含汞、镉、铅、砷、硫、铬、氰化物等污染物的建设项目；新建、扩建化学制浆造纸、制革、电镀、印制线路板、印染、染料、炼油、炼焦、农药、石棉、水泥、玻璃、冶炼等建设项目；排放省人民政府公布的有机毒物控制名录中确定的污染物；建设高尔夫球场、废物回收（加工）场和有毒有害物品仓库、堆栈，或者设置煤场、灰场、垃圾填埋场；新建、扩建对水体污染严重的其他建设项目，或者从事法律、法规禁止的其他活动；设置排污口；从事危险化学品装卸作业或者煤炭、矿砂、水泥等散货装卸作业；设置水上餐饮、娱乐设施（场所），从事船舶、机动车等修造、拆解作业，或者在水域内采砂、取土；围垦河道和滩地，从事围网、网箱养殖，或者设置集中式畜禽饲养场、屠宰场；新建、改建、扩建排放污染物的其他建设项目，或者从事法律、法规禁止的其他活动。在饮用水水源二级保护区内从事旅游等经营活动的，应当采取措施防止污染饮用水水体。</w:t>
                  </w:r>
                </w:p>
              </w:tc>
              <w:tc>
                <w:tcPr>
                  <w:tcW w:w="1580" w:type="pct"/>
                  <w:tcBorders>
                    <w:top w:val="single" w:color="auto" w:sz="4" w:space="0"/>
                    <w:left w:val="single" w:color="000000" w:sz="2" w:space="0"/>
                    <w:bottom w:val="single" w:color="000000" w:sz="2" w:space="0"/>
                    <w:right w:val="single" w:color="000000" w:sz="2" w:space="0"/>
                  </w:tcBorders>
                  <w:vAlign w:val="center"/>
                </w:tcPr>
                <w:p w14:paraId="74C08F4D">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本项目为应急疏散通道建设工程，位于长荡湖水厂饮用水水源地准保护区范围内，但不属于饮用水源保护区内禁止的活动，故与饮用水源保护区的保护要求相符</w:t>
                  </w:r>
                </w:p>
              </w:tc>
            </w:tr>
            <w:tr w14:paraId="24172700">
              <w:tblPrEx>
                <w:tblCellMar>
                  <w:top w:w="0" w:type="dxa"/>
                  <w:left w:w="0" w:type="dxa"/>
                  <w:bottom w:w="0" w:type="dxa"/>
                  <w:right w:w="0" w:type="dxa"/>
                </w:tblCellMar>
              </w:tblPrEx>
              <w:trPr>
                <w:jc w:val="center"/>
              </w:trPr>
              <w:tc>
                <w:tcPr>
                  <w:tcW w:w="539" w:type="pct"/>
                  <w:vMerge w:val="continue"/>
                  <w:tcBorders>
                    <w:left w:val="single" w:color="000000" w:sz="2" w:space="0"/>
                    <w:bottom w:val="single" w:color="000000" w:sz="2" w:space="0"/>
                    <w:right w:val="single" w:color="000000" w:sz="2" w:space="0"/>
                  </w:tcBorders>
                  <w:vAlign w:val="center"/>
                </w:tcPr>
                <w:p w14:paraId="160A504B">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rPr>
                  </w:pPr>
                </w:p>
              </w:tc>
              <w:tc>
                <w:tcPr>
                  <w:tcW w:w="347" w:type="pct"/>
                  <w:tcBorders>
                    <w:top w:val="single" w:color="000000" w:sz="2" w:space="0"/>
                    <w:left w:val="single" w:color="000000" w:sz="2" w:space="0"/>
                    <w:bottom w:val="single" w:color="000000" w:sz="2" w:space="0"/>
                    <w:right w:val="single" w:color="000000" w:sz="2" w:space="0"/>
                  </w:tcBorders>
                  <w:vAlign w:val="center"/>
                </w:tcPr>
                <w:p w14:paraId="17575E40">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渔业资源保护</w:t>
                  </w:r>
                </w:p>
              </w:tc>
              <w:tc>
                <w:tcPr>
                  <w:tcW w:w="2531" w:type="pct"/>
                  <w:tcBorders>
                    <w:top w:val="single" w:color="000000" w:sz="2" w:space="0"/>
                    <w:left w:val="single" w:color="000000" w:sz="2" w:space="0"/>
                    <w:bottom w:val="single" w:color="000000" w:sz="2" w:space="0"/>
                    <w:right w:val="single" w:color="000000" w:sz="2" w:space="0"/>
                  </w:tcBorders>
                  <w:vAlign w:val="center"/>
                </w:tcPr>
                <w:p w14:paraId="42A50E26">
                  <w:pPr>
                    <w:pStyle w:val="30"/>
                    <w:numPr>
                      <w:ilvl w:val="255"/>
                      <w:numId w:val="0"/>
                    </w:numPr>
                    <w:ind w:left="0" w:leftChars="0" w:firstLine="0" w:firstLineChars="0"/>
                    <w:jc w:val="center"/>
                    <w:rPr>
                      <w:rFonts w:hint="eastAsia"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禁止使用严重杀伤渔业资源的渔具和捕捞方法捕捞；禁止在行洪、排涝、送水河道和渠道内设置影响行水的渔罾、渔簖等捕鱼设施；禁止在航道内设置碍航渔具；因水工建设、疏航、勘探、兴建锚地、爆破、排污、倾废等行为对渔业资源造成损失的，应当予以赔偿；对渔业生态环境造成损害的，应当采取补救措施，并依法予以补偿，对依法从事渔业生产的单位或者个人造成损失的，应当承担赔偿责任。</w:t>
                  </w:r>
                </w:p>
              </w:tc>
              <w:tc>
                <w:tcPr>
                  <w:tcW w:w="1580" w:type="pct"/>
                  <w:tcBorders>
                    <w:top w:val="single" w:color="000000" w:sz="2" w:space="0"/>
                    <w:left w:val="single" w:color="000000" w:sz="2" w:space="0"/>
                    <w:bottom w:val="single" w:color="000000" w:sz="2" w:space="0"/>
                    <w:right w:val="single" w:color="000000" w:sz="2" w:space="0"/>
                  </w:tcBorders>
                  <w:vAlign w:val="center"/>
                </w:tcPr>
                <w:p w14:paraId="372D9A1B">
                  <w:pPr>
                    <w:pStyle w:val="30"/>
                    <w:numPr>
                      <w:ilvl w:val="255"/>
                      <w:numId w:val="0"/>
                    </w:numPr>
                    <w:ind w:left="0" w:leftChars="0" w:firstLine="0" w:firstLineChars="0"/>
                    <w:jc w:val="center"/>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highlight w:val="none"/>
                      <w:lang w:val="en-US" w:eastAsia="zh-CN"/>
                    </w:rPr>
                    <w:t>本工程不涉及渔业资源占用，本项目桥墩布置不会截断水域，不会影响鱼类生长繁殖，经生态调查表明，管控区域内渔业资源主要为经济鱼类，施工按区域分期开展，不会导致鱼类灭亡或发生重大损失，后期水生动物群落构建工程短期内即可恢复湖区鱼类生物量。故符合管控要求。本项目距离长荡湖国家级水产种质资源保护区4.5km，距离较远，影响较小，具体位置关系见图1-2。</w:t>
                  </w:r>
                </w:p>
              </w:tc>
            </w:tr>
          </w:tbl>
          <w:p w14:paraId="6BC30EB4">
            <w:pPr>
              <w:pStyle w:val="10"/>
              <w:numPr>
                <w:ilvl w:val="0"/>
                <w:numId w:val="0"/>
              </w:numPr>
              <w:jc w:val="center"/>
              <w:rPr>
                <w:rFonts w:hint="eastAsia" w:eastAsiaTheme="minorEastAsia"/>
                <w:lang w:eastAsia="zh-CN"/>
              </w:rPr>
            </w:pPr>
            <w:r>
              <w:rPr>
                <w:rFonts w:hint="eastAsia" w:eastAsiaTheme="minorEastAsia"/>
                <w:lang w:eastAsia="zh-CN"/>
              </w:rPr>
              <w:drawing>
                <wp:inline distT="0" distB="0" distL="114300" distR="114300">
                  <wp:extent cx="5803900" cy="3866515"/>
                  <wp:effectExtent l="0" t="0" r="6350" b="635"/>
                  <wp:docPr id="15" name="图片 15" descr="8fee3877fed28eb8407c5e23e1de6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fee3877fed28eb8407c5e23e1de6ce"/>
                          <pic:cNvPicPr>
                            <a:picLocks noChangeAspect="1"/>
                          </pic:cNvPicPr>
                        </pic:nvPicPr>
                        <pic:blipFill>
                          <a:blip r:embed="rId15"/>
                          <a:stretch>
                            <a:fillRect/>
                          </a:stretch>
                        </pic:blipFill>
                        <pic:spPr>
                          <a:xfrm>
                            <a:off x="0" y="0"/>
                            <a:ext cx="5803900" cy="3866515"/>
                          </a:xfrm>
                          <a:prstGeom prst="rect">
                            <a:avLst/>
                          </a:prstGeom>
                        </pic:spPr>
                      </pic:pic>
                    </a:graphicData>
                  </a:graphic>
                </wp:inline>
              </w:drawing>
            </w:r>
          </w:p>
          <w:p w14:paraId="3B69E79D">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t>图1-1本项目与生态红线及生态空间管控区关系图</w:t>
            </w:r>
          </w:p>
          <w:p w14:paraId="48BECFCE">
            <w:pPr>
              <w:pStyle w:val="9"/>
              <w:ind w:left="0" w:leftChars="0" w:firstLine="0" w:firstLineChars="0"/>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t>五、与的相符性分析</w:t>
            </w:r>
          </w:p>
          <w:p w14:paraId="6C285B43">
            <w:pPr>
              <w:keepNext w:val="0"/>
              <w:keepLines w:val="0"/>
              <w:pageBreakBefore w:val="0"/>
              <w:widowControl/>
              <w:kinsoku/>
              <w:wordWrap/>
              <w:overflowPunct/>
              <w:topLinePunct w:val="0"/>
              <w:autoSpaceDE/>
              <w:autoSpaceDN/>
              <w:bidi w:val="0"/>
              <w:adjustRightInd/>
              <w:snapToGrid/>
              <w:ind w:firstLine="482" w:firstLineChars="200"/>
              <w:jc w:val="left"/>
              <w:textAlignment w:val="auto"/>
              <w:rPr>
                <w:rFonts w:hint="default" w:eastAsia="仿宋"/>
                <w:color w:val="auto"/>
                <w:kern w:val="0"/>
                <w:sz w:val="24"/>
                <w:highlight w:val="none"/>
                <w:lang w:val="en-US" w:eastAsia="zh-CN"/>
              </w:rPr>
            </w:pPr>
            <w:r>
              <w:rPr>
                <w:rFonts w:hint="eastAsia" w:eastAsia="仿宋"/>
                <w:b/>
                <w:bCs/>
                <w:color w:val="auto"/>
                <w:kern w:val="0"/>
                <w:sz w:val="24"/>
                <w:highlight w:val="none"/>
                <w:lang w:val="en-US" w:eastAsia="zh-CN"/>
              </w:rPr>
              <w:t>江苏省国家级生态保护红线规划</w:t>
            </w:r>
          </w:p>
          <w:p w14:paraId="56474F49">
            <w:pPr>
              <w:ind w:left="0" w:leftChars="0" w:firstLine="480" w:firstLineChars="200"/>
              <w:rPr>
                <w:rFonts w:hint="eastAsia" w:eastAsia="仿宋" w:cstheme="minorBidi"/>
                <w:color w:val="000000" w:themeColor="text1"/>
                <w:kern w:val="0"/>
                <w:sz w:val="24"/>
                <w:szCs w:val="22"/>
                <w:highlight w:val="none"/>
                <w:lang w:val="en-US" w:eastAsia="zh-CN" w:bidi="ar"/>
                <w14:textFill>
                  <w14:solidFill>
                    <w14:schemeClr w14:val="tx1"/>
                  </w14:solidFill>
                </w14:textFill>
              </w:rPr>
            </w:pPr>
            <w:r>
              <w:rPr>
                <w:rFonts w:hint="eastAsia" w:eastAsia="仿宋" w:cstheme="minorBidi"/>
                <w:color w:val="000000" w:themeColor="text1"/>
                <w:kern w:val="0"/>
                <w:sz w:val="24"/>
                <w:szCs w:val="22"/>
                <w:highlight w:val="none"/>
                <w:lang w:val="en-US" w:eastAsia="zh-CN" w:bidi="ar"/>
                <w14:textFill>
                  <w14:solidFill>
                    <w14:schemeClr w14:val="tx1"/>
                  </w14:solidFill>
                </w14:textFill>
              </w:rPr>
              <w:t>根据《江苏省国家级生态保护红线规划》，本工程所在地附近生态红线区域见表1-1。江苏省国家级生态红线区域及省级生态空间管控区与本项目位置关系见图1-1。</w:t>
            </w:r>
          </w:p>
          <w:p w14:paraId="3A53DA32">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eastAsia="仿宋" w:cs="Times New Roman"/>
                <w:b/>
                <w:bCs/>
                <w:color w:val="auto"/>
                <w:highlight w:val="none"/>
                <w:lang w:val="en-US" w:eastAsia="zh-CN"/>
              </w:rPr>
            </w:pPr>
          </w:p>
          <w:p w14:paraId="2FF42F84">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drawing>
                <wp:inline distT="0" distB="0" distL="114300" distR="114300">
                  <wp:extent cx="3408045" cy="4613275"/>
                  <wp:effectExtent l="0" t="0" r="1905" b="15875"/>
                  <wp:docPr id="19" name="图片 19" descr="种质资源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种质资源库"/>
                          <pic:cNvPicPr>
                            <a:picLocks noChangeAspect="1"/>
                          </pic:cNvPicPr>
                        </pic:nvPicPr>
                        <pic:blipFill>
                          <a:blip r:embed="rId16"/>
                          <a:stretch>
                            <a:fillRect/>
                          </a:stretch>
                        </pic:blipFill>
                        <pic:spPr>
                          <a:xfrm>
                            <a:off x="0" y="0"/>
                            <a:ext cx="3408045" cy="4613275"/>
                          </a:xfrm>
                          <a:prstGeom prst="rect">
                            <a:avLst/>
                          </a:prstGeom>
                        </pic:spPr>
                      </pic:pic>
                    </a:graphicData>
                  </a:graphic>
                </wp:inline>
              </w:drawing>
            </w:r>
          </w:p>
          <w:p w14:paraId="4FD520A4">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t>图1-2本项目与长荡湖国家级水产种质资源保护区位置关系图</w:t>
            </w:r>
          </w:p>
          <w:p w14:paraId="6577C5C1">
            <w:pPr>
              <w:pStyle w:val="9"/>
              <w:keepNext w:val="0"/>
              <w:keepLines w:val="0"/>
              <w:pageBreakBefore w:val="0"/>
              <w:kinsoku/>
              <w:wordWrap/>
              <w:overflowPunct/>
              <w:topLinePunct w:val="0"/>
              <w:autoSpaceDE/>
              <w:autoSpaceDN/>
              <w:bidi w:val="0"/>
              <w:adjustRightInd/>
              <w:snapToGrid/>
              <w:ind w:left="0" w:leftChars="0" w:firstLine="0" w:firstLineChars="0"/>
              <w:textAlignment w:val="auto"/>
              <w:rPr>
                <w:rFonts w:hint="eastAsia" w:eastAsia="仿宋" w:cs="Times New Roman"/>
                <w:b/>
                <w:bCs/>
                <w:color w:val="auto"/>
                <w:highlight w:val="none"/>
                <w:lang w:val="en-US" w:eastAsia="zh-CN"/>
              </w:rPr>
            </w:pPr>
            <w:r>
              <w:rPr>
                <w:rFonts w:hint="eastAsia" w:eastAsia="仿宋" w:cs="Times New Roman"/>
                <w:b/>
                <w:bCs/>
                <w:color w:val="auto"/>
                <w:highlight w:val="none"/>
                <w:lang w:val="en-US" w:eastAsia="zh-CN"/>
              </w:rPr>
              <w:t>六、项目建设必要性分析</w:t>
            </w:r>
          </w:p>
          <w:p w14:paraId="4A7570AC">
            <w:pPr>
              <w:spacing w:line="360" w:lineRule="auto"/>
              <w:ind w:left="0" w:leftChars="0" w:firstLine="480" w:firstLineChars="200"/>
              <w:rPr>
                <w:rFonts w:hint="eastAsia" w:eastAsia="仿宋" w:cstheme="minorBidi"/>
                <w:color w:val="000000" w:themeColor="text1"/>
                <w:kern w:val="0"/>
                <w:sz w:val="24"/>
                <w:szCs w:val="22"/>
                <w:highlight w:val="none"/>
                <w:lang w:val="en-US" w:eastAsia="zh-CN" w:bidi="ar"/>
                <w14:textFill>
                  <w14:solidFill>
                    <w14:schemeClr w14:val="tx1"/>
                  </w14:solidFill>
                </w14:textFill>
              </w:rPr>
            </w:pPr>
            <w:r>
              <w:rPr>
                <w:rFonts w:hint="eastAsia" w:eastAsia="仿宋" w:cstheme="minorBidi"/>
                <w:color w:val="000000" w:themeColor="text1"/>
                <w:kern w:val="0"/>
                <w:sz w:val="24"/>
                <w:szCs w:val="22"/>
                <w:highlight w:val="none"/>
                <w:lang w:val="en-US" w:eastAsia="zh-CN" w:bidi="ar"/>
                <w14:textFill>
                  <w14:solidFill>
                    <w14:schemeClr w14:val="tx1"/>
                  </w14:solidFill>
                </w14:textFill>
              </w:rPr>
              <w:t>长荡湖北岸城市群飞速拓展，河海大学以及相关配套设施大部分已建设完成，随着长荡湖北岸人流密度加大，对于公共活动空间的需求日趋迫切。长荡湖环湖绿道体系的建设中，项目区域目前为一断点，通行需求急切。同时伴随长荡湖音乐节等群体性活动的举办，长荡湖休闲运动公园的应急疏散压力进一步增强，应急疏散通道的建设可以确保在紧急情况下能够迅速、有效地疏散人流，保障人民群众的生命安全，有效保障大型活动安全有序进行，支持长荡湖北岸旅游经济高水平安全发展。</w:t>
            </w:r>
          </w:p>
          <w:p w14:paraId="11D8BA38">
            <w:pPr>
              <w:spacing w:line="360" w:lineRule="auto"/>
              <w:ind w:left="0" w:leftChars="0" w:firstLine="480" w:firstLineChars="200"/>
              <w:rPr>
                <w:rFonts w:hint="eastAsia" w:ascii="Times New Roman" w:hAnsi="Times New Roman" w:eastAsia="仿宋" w:cs="Times New Roman"/>
                <w:color w:val="auto"/>
                <w:kern w:val="0"/>
                <w:sz w:val="24"/>
                <w:szCs w:val="22"/>
                <w:highlight w:val="none"/>
                <w:lang w:val="en-US" w:eastAsia="zh-CN" w:bidi="ar-SA"/>
              </w:rPr>
            </w:pPr>
            <w:r>
              <w:rPr>
                <w:rFonts w:hint="eastAsia" w:eastAsia="仿宋" w:cstheme="minorBidi"/>
                <w:color w:val="000000" w:themeColor="text1"/>
                <w:kern w:val="0"/>
                <w:sz w:val="24"/>
                <w:szCs w:val="22"/>
                <w:highlight w:val="none"/>
                <w:lang w:val="en-US" w:eastAsia="zh-CN" w:bidi="ar"/>
                <w14:textFill>
                  <w14:solidFill>
                    <w14:schemeClr w14:val="tx1"/>
                  </w14:solidFill>
                </w14:textFill>
              </w:rPr>
              <w:t>本项目已于2024年9月6日完成《长荡湖体育休闲房车营地—应急疏散通道项目符合省生态空间管控区域内允许有限人为活动的论证报告》的专家论证，并于2024年11月1日取得常州市人民政府批复。本项目涉及生态空间管控区域建设依据充分，符合相关规划，属于生态空间管控区域内允许的有限人为活动。经</w:t>
            </w:r>
            <w:r>
              <w:rPr>
                <w:rFonts w:hint="eastAsia" w:ascii="Times New Roman" w:hAnsi="Times New Roman" w:eastAsia="仿宋" w:cstheme="minorBidi"/>
                <w:color w:val="auto"/>
                <w:kern w:val="0"/>
                <w:sz w:val="24"/>
                <w:szCs w:val="22"/>
                <w:highlight w:val="none"/>
                <w:lang w:val="en-US" w:eastAsia="zh-CN" w:bidi="ar-SA"/>
              </w:rPr>
              <w:t>过现场实际调查，长荡湖体育休闲房车营地东侧道路较为狭窄，且仅有一条道路，考虑到该区域有一年举办两次音乐节的计划，且靠近河海大学长荡湖校区，人流密度大，事故疏散压力高，势必需要增加应急疏散通道的数量，以提高区域内公共活动的安全性。</w:t>
            </w:r>
          </w:p>
          <w:tbl>
            <w:tblPr>
              <w:tblStyle w:val="2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0"/>
              <w:gridCol w:w="4260"/>
            </w:tblGrid>
            <w:tr w14:paraId="68B8EC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0" w:type="dxa"/>
                  <w:vAlign w:val="center"/>
                </w:tcPr>
                <w:p w14:paraId="15406478">
                  <w:pPr>
                    <w:pStyle w:val="30"/>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ascii="Times New Roman" w:hAnsi="Times New Roman" w:eastAsia="仿宋" w:cs="Times New Roman"/>
                      <w:color w:val="auto"/>
                      <w:kern w:val="0"/>
                      <w:sz w:val="24"/>
                      <w:szCs w:val="22"/>
                      <w:highlight w:val="none"/>
                      <w:vertAlign w:val="baseline"/>
                      <w:lang w:val="en-US" w:eastAsia="zh-CN" w:bidi="ar-SA"/>
                    </w:rPr>
                  </w:pPr>
                  <w:r>
                    <w:drawing>
                      <wp:inline distT="0" distB="0" distL="114300" distR="114300">
                        <wp:extent cx="2085340" cy="1475105"/>
                        <wp:effectExtent l="0" t="0" r="10160" b="1079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7"/>
                                <a:stretch>
                                  <a:fillRect/>
                                </a:stretch>
                              </pic:blipFill>
                              <pic:spPr>
                                <a:xfrm>
                                  <a:off x="0" y="0"/>
                                  <a:ext cx="2085340" cy="1475105"/>
                                </a:xfrm>
                                <a:prstGeom prst="rect">
                                  <a:avLst/>
                                </a:prstGeom>
                                <a:noFill/>
                                <a:ln>
                                  <a:noFill/>
                                </a:ln>
                              </pic:spPr>
                            </pic:pic>
                          </a:graphicData>
                        </a:graphic>
                      </wp:inline>
                    </w:drawing>
                  </w:r>
                </w:p>
              </w:tc>
              <w:tc>
                <w:tcPr>
                  <w:tcW w:w="4260" w:type="dxa"/>
                  <w:vAlign w:val="center"/>
                </w:tcPr>
                <w:p w14:paraId="5915EB52">
                  <w:pPr>
                    <w:pStyle w:val="30"/>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ascii="Times New Roman" w:hAnsi="Times New Roman" w:eastAsia="仿宋" w:cs="Times New Roman"/>
                      <w:color w:val="auto"/>
                      <w:kern w:val="0"/>
                      <w:sz w:val="24"/>
                      <w:szCs w:val="22"/>
                      <w:highlight w:val="none"/>
                      <w:vertAlign w:val="baseline"/>
                      <w:lang w:val="en-US" w:eastAsia="zh-CN" w:bidi="ar-SA"/>
                    </w:rPr>
                  </w:pPr>
                  <w:r>
                    <w:drawing>
                      <wp:inline distT="0" distB="0" distL="114300" distR="114300">
                        <wp:extent cx="2069465" cy="1483360"/>
                        <wp:effectExtent l="0" t="0" r="6985" b="254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8"/>
                                <a:stretch>
                                  <a:fillRect/>
                                </a:stretch>
                              </pic:blipFill>
                              <pic:spPr>
                                <a:xfrm>
                                  <a:off x="0" y="0"/>
                                  <a:ext cx="2069465" cy="1483360"/>
                                </a:xfrm>
                                <a:prstGeom prst="rect">
                                  <a:avLst/>
                                </a:prstGeom>
                                <a:noFill/>
                                <a:ln>
                                  <a:noFill/>
                                </a:ln>
                              </pic:spPr>
                            </pic:pic>
                          </a:graphicData>
                        </a:graphic>
                      </wp:inline>
                    </w:drawing>
                  </w:r>
                </w:p>
              </w:tc>
            </w:tr>
            <w:tr w14:paraId="272B33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0" w:type="dxa"/>
                  <w:vAlign w:val="center"/>
                </w:tcPr>
                <w:p w14:paraId="09A7D269">
                  <w:pPr>
                    <w:pStyle w:val="2"/>
                    <w:jc w:val="center"/>
                    <w:rPr>
                      <w:rFonts w:hint="default" w:ascii="Times New Roman" w:hAnsi="Times New Roman" w:eastAsia="仿宋" w:cs="Times New Roman"/>
                      <w:b w:val="0"/>
                      <w:bCs w:val="0"/>
                      <w:color w:val="auto"/>
                      <w:kern w:val="0"/>
                      <w:sz w:val="24"/>
                      <w:szCs w:val="22"/>
                      <w:highlight w:val="none"/>
                      <w:lang w:val="en-US" w:eastAsia="zh-CN" w:bidi="ar-SA"/>
                    </w:rPr>
                  </w:pPr>
                  <w:r>
                    <w:rPr>
                      <w:rFonts w:hint="eastAsia" w:ascii="Times New Roman" w:hAnsi="Times New Roman" w:eastAsia="仿宋" w:cs="Times New Roman"/>
                      <w:b w:val="0"/>
                      <w:bCs w:val="0"/>
                      <w:color w:val="auto"/>
                      <w:kern w:val="0"/>
                      <w:sz w:val="24"/>
                      <w:szCs w:val="22"/>
                      <w:highlight w:val="none"/>
                      <w:lang w:val="en-US" w:eastAsia="zh-CN" w:bidi="ar-SA"/>
                    </w:rPr>
                    <w:t>河海大学长荡湖校区</w:t>
                  </w:r>
                </w:p>
              </w:tc>
              <w:tc>
                <w:tcPr>
                  <w:tcW w:w="4260" w:type="dxa"/>
                  <w:vAlign w:val="center"/>
                </w:tcPr>
                <w:p w14:paraId="18597475">
                  <w:pPr>
                    <w:pStyle w:val="2"/>
                    <w:jc w:val="center"/>
                    <w:rPr>
                      <w:rFonts w:hint="default" w:ascii="Times New Roman" w:hAnsi="Times New Roman" w:eastAsia="仿宋" w:cs="Times New Roman"/>
                      <w:b w:val="0"/>
                      <w:bCs w:val="0"/>
                      <w:color w:val="auto"/>
                      <w:kern w:val="0"/>
                      <w:sz w:val="24"/>
                      <w:szCs w:val="22"/>
                      <w:highlight w:val="none"/>
                      <w:lang w:val="en-US" w:eastAsia="zh-CN" w:bidi="ar-SA"/>
                    </w:rPr>
                  </w:pPr>
                  <w:r>
                    <w:rPr>
                      <w:rFonts w:hint="eastAsia" w:ascii="Times New Roman" w:hAnsi="Times New Roman" w:eastAsia="仿宋" w:cs="Times New Roman"/>
                      <w:b w:val="0"/>
                      <w:bCs w:val="0"/>
                      <w:color w:val="auto"/>
                      <w:kern w:val="0"/>
                      <w:sz w:val="24"/>
                      <w:szCs w:val="22"/>
                      <w:highlight w:val="none"/>
                      <w:lang w:val="en-US" w:eastAsia="zh-CN" w:bidi="ar-SA"/>
                    </w:rPr>
                    <w:t>306县道</w:t>
                  </w:r>
                </w:p>
              </w:tc>
            </w:tr>
          </w:tbl>
          <w:p w14:paraId="535EAB8A">
            <w:pPr>
              <w:pStyle w:val="2"/>
              <w:jc w:val="center"/>
              <w:rPr>
                <w:rFonts w:hint="default"/>
                <w:lang w:val="en-US" w:eastAsia="zh-CN"/>
              </w:rPr>
            </w:pPr>
            <w:r>
              <w:rPr>
                <w:rFonts w:hint="eastAsia" w:ascii="Times New Roman" w:hAnsi="Times New Roman" w:eastAsia="仿宋" w:cs="Times New Roman"/>
                <w:b/>
                <w:bCs/>
                <w:color w:val="auto"/>
                <w:kern w:val="0"/>
                <w:sz w:val="24"/>
                <w:szCs w:val="22"/>
                <w:highlight w:val="none"/>
                <w:lang w:val="en-US" w:eastAsia="zh-CN" w:bidi="ar-SA"/>
              </w:rPr>
              <w:t>图</w:t>
            </w:r>
            <w:r>
              <w:rPr>
                <w:rFonts w:hint="eastAsia" w:eastAsia="仿宋" w:cs="Times New Roman"/>
                <w:b/>
                <w:bCs/>
                <w:color w:val="auto"/>
                <w:kern w:val="0"/>
                <w:sz w:val="24"/>
                <w:szCs w:val="22"/>
                <w:highlight w:val="none"/>
                <w:lang w:val="en-US" w:eastAsia="zh-CN" w:bidi="ar-SA"/>
              </w:rPr>
              <w:t>1</w:t>
            </w:r>
            <w:r>
              <w:rPr>
                <w:rFonts w:hint="eastAsia" w:ascii="Times New Roman" w:hAnsi="Times New Roman" w:eastAsia="仿宋" w:cs="Times New Roman"/>
                <w:b/>
                <w:bCs/>
                <w:color w:val="auto"/>
                <w:kern w:val="0"/>
                <w:sz w:val="24"/>
                <w:szCs w:val="22"/>
                <w:highlight w:val="none"/>
                <w:lang w:val="en-US" w:eastAsia="zh-CN" w:bidi="ar-SA"/>
              </w:rPr>
              <w:t>-</w:t>
            </w:r>
            <w:r>
              <w:rPr>
                <w:rFonts w:hint="eastAsia" w:eastAsia="仿宋" w:cs="Times New Roman"/>
                <w:b/>
                <w:bCs/>
                <w:color w:val="auto"/>
                <w:kern w:val="0"/>
                <w:sz w:val="24"/>
                <w:szCs w:val="22"/>
                <w:highlight w:val="none"/>
                <w:lang w:val="en-US" w:eastAsia="zh-CN" w:bidi="ar-SA"/>
              </w:rPr>
              <w:t>3</w:t>
            </w:r>
            <w:r>
              <w:rPr>
                <w:rFonts w:hint="eastAsia" w:ascii="Times New Roman" w:hAnsi="Times New Roman" w:eastAsia="仿宋" w:cs="Times New Roman"/>
                <w:b/>
                <w:bCs/>
                <w:color w:val="auto"/>
                <w:kern w:val="0"/>
                <w:sz w:val="24"/>
                <w:szCs w:val="22"/>
                <w:highlight w:val="none"/>
                <w:lang w:val="en-US" w:eastAsia="zh-CN" w:bidi="ar-SA"/>
              </w:rPr>
              <w:t xml:space="preserve"> </w:t>
            </w:r>
            <w:r>
              <w:rPr>
                <w:rFonts w:hint="eastAsia" w:eastAsia="仿宋" w:cs="Times New Roman"/>
                <w:b/>
                <w:bCs/>
                <w:color w:val="auto"/>
                <w:kern w:val="0"/>
                <w:sz w:val="24"/>
                <w:szCs w:val="22"/>
                <w:highlight w:val="none"/>
                <w:lang w:val="en-US" w:eastAsia="zh-CN" w:bidi="ar-SA"/>
              </w:rPr>
              <w:t>建设区周边环境</w:t>
            </w:r>
          </w:p>
          <w:p w14:paraId="47C968B9">
            <w:pPr>
              <w:ind w:left="0" w:leftChars="0" w:firstLine="480" w:firstLineChars="200"/>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同时原温洛港河东西两岸空间割裂严重，如需从东岸行至长荡湖体育休闲房车营地，必须通过河海大道及306县道，其中在河海大道骑行为逆行，必须绕行至河海大道与丹桂南路交界处换向，对骑行的舒适度与观景的连续性都有较大的影响。且现有道路缺乏供人停留的目的地，多数散步或骑行的行人只能集中在沿湖道路欣赏风景，可能对道路交通产生不利影响，缺乏观景体验感。</w:t>
            </w:r>
          </w:p>
          <w:p w14:paraId="48E016F0">
            <w:pPr>
              <w:ind w:left="0" w:leftChars="0" w:firstLine="480" w:firstLineChars="200"/>
              <w:rPr>
                <w:rFonts w:hint="default"/>
                <w:lang w:val="en-US" w:eastAsia="zh-CN"/>
              </w:rPr>
            </w:pPr>
            <w:r>
              <w:rPr>
                <w:rFonts w:hint="eastAsia" w:ascii="Times New Roman" w:hAnsi="Times New Roman" w:eastAsia="仿宋" w:cs="Times New Roman"/>
                <w:color w:val="auto"/>
                <w:kern w:val="0"/>
                <w:sz w:val="24"/>
                <w:szCs w:val="22"/>
                <w:highlight w:val="none"/>
                <w:lang w:val="en-US" w:eastAsia="zh-CN" w:bidi="ar-SA"/>
              </w:rPr>
              <w:t>本项目的建设既能满足交通基础设施与当地师生、游客及周边居民出行需求，也可以提升长荡湖周边人文环境，从社会安全、旅游经济发展和整体环境提升等方面都具备极高价值。</w:t>
            </w:r>
          </w:p>
        </w:tc>
      </w:tr>
      <w:bookmarkEnd w:id="3"/>
    </w:tbl>
    <w:p w14:paraId="148AC520">
      <w:pPr>
        <w:rPr>
          <w:rFonts w:ascii="Times New Roman" w:hAnsi="Times New Roman" w:cs="Times New Roman"/>
          <w:color w:val="auto"/>
          <w:highlight w:val="none"/>
        </w:rPr>
        <w:sectPr>
          <w:footerReference r:id="rId9" w:type="default"/>
          <w:pgSz w:w="11906" w:h="16838"/>
          <w:pgMar w:top="1440" w:right="1800" w:bottom="1440" w:left="1800" w:header="850" w:footer="992" w:gutter="0"/>
          <w:pgBorders>
            <w:top w:val="none" w:sz="0" w:space="0"/>
            <w:left w:val="none" w:sz="0" w:space="0"/>
            <w:bottom w:val="none" w:sz="0" w:space="0"/>
            <w:right w:val="none" w:sz="0" w:space="0"/>
          </w:pgBorders>
          <w:pgNumType w:fmt="decimal" w:start="1"/>
          <w:cols w:space="0" w:num="1"/>
          <w:docGrid w:type="lines" w:linePitch="332" w:charSpace="0"/>
        </w:sectPr>
      </w:pPr>
      <w:r>
        <w:rPr>
          <w:rFonts w:ascii="Times New Roman" w:hAnsi="Times New Roman" w:cs="Times New Roman"/>
          <w:color w:val="auto"/>
          <w:highlight w:val="none"/>
        </w:rPr>
        <w:br w:type="page"/>
      </w:r>
    </w:p>
    <w:p w14:paraId="297F8748">
      <w:pPr>
        <w:pStyle w:val="19"/>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center"/>
        <w:textAlignment w:val="auto"/>
        <w:outlineLvl w:val="0"/>
        <w:rPr>
          <w:rFonts w:hint="eastAsia" w:ascii="黑体" w:hAnsi="黑体" w:eastAsia="黑体"/>
          <w:snapToGrid w:val="0"/>
          <w:color w:val="auto"/>
          <w:sz w:val="30"/>
          <w:szCs w:val="30"/>
          <w:highlight w:val="none"/>
          <w:lang w:val="en-US" w:eastAsia="zh-CN"/>
        </w:rPr>
      </w:pPr>
      <w:bookmarkStart w:id="4" w:name="_Toc5849"/>
      <w:r>
        <w:rPr>
          <w:rFonts w:hint="eastAsia" w:ascii="黑体" w:hAnsi="黑体" w:eastAsia="黑体"/>
          <w:snapToGrid w:val="0"/>
          <w:color w:val="auto"/>
          <w:sz w:val="30"/>
          <w:szCs w:val="30"/>
          <w:highlight w:val="none"/>
          <w:lang w:val="en-US" w:eastAsia="zh-CN"/>
        </w:rPr>
        <w:t>二</w:t>
      </w:r>
      <w:r>
        <w:rPr>
          <w:rFonts w:hint="eastAsia" w:ascii="黑体" w:hAnsi="黑体" w:eastAsia="黑体"/>
          <w:snapToGrid w:val="0"/>
          <w:color w:val="auto"/>
          <w:sz w:val="30"/>
          <w:szCs w:val="30"/>
          <w:highlight w:val="none"/>
        </w:rPr>
        <w:t>、建设</w:t>
      </w:r>
      <w:r>
        <w:rPr>
          <w:rFonts w:hint="eastAsia" w:ascii="黑体" w:hAnsi="黑体" w:eastAsia="黑体"/>
          <w:snapToGrid w:val="0"/>
          <w:color w:val="auto"/>
          <w:sz w:val="30"/>
          <w:szCs w:val="30"/>
          <w:highlight w:val="none"/>
          <w:lang w:val="en-US" w:eastAsia="zh-CN"/>
        </w:rPr>
        <w:t>内容</w:t>
      </w:r>
      <w:bookmarkEnd w:id="4"/>
    </w:p>
    <w:tbl>
      <w:tblPr>
        <w:tblStyle w:val="24"/>
        <w:tblW w:w="8958" w:type="dxa"/>
        <w:tblInd w:w="-170"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fixed"/>
        <w:tblCellMar>
          <w:top w:w="0" w:type="dxa"/>
          <w:left w:w="108" w:type="dxa"/>
          <w:bottom w:w="0" w:type="dxa"/>
          <w:right w:w="108" w:type="dxa"/>
        </w:tblCellMar>
      </w:tblPr>
      <w:tblGrid>
        <w:gridCol w:w="426"/>
        <w:gridCol w:w="8532"/>
      </w:tblGrid>
      <w:tr w14:paraId="6F1ED283">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1087" w:hRule="atLeast"/>
        </w:trPr>
        <w:tc>
          <w:tcPr>
            <w:tcW w:w="426" w:type="dxa"/>
            <w:tcBorders>
              <w:bottom w:val="single" w:color="auto" w:sz="4" w:space="0"/>
            </w:tcBorders>
            <w:vAlign w:val="center"/>
          </w:tcPr>
          <w:p w14:paraId="7A564993">
            <w:pPr>
              <w:pStyle w:val="30"/>
              <w:jc w:val="center"/>
              <w:rPr>
                <w:rFonts w:hint="default" w:ascii="Times New Roman" w:hAnsi="Times New Roman" w:cs="Times New Roman"/>
                <w:color w:val="auto"/>
                <w:highlight w:val="none"/>
                <w:vertAlign w:val="baseline"/>
                <w:lang w:val="en-US" w:eastAsia="zh-CN"/>
              </w:rPr>
            </w:pPr>
            <w:r>
              <w:rPr>
                <w:rFonts w:hint="eastAsia" w:ascii="Times New Roman" w:hAnsi="Times New Roman" w:eastAsia="仿宋" w:cs="Times New Roman"/>
                <w:color w:val="auto"/>
                <w:kern w:val="2"/>
                <w:sz w:val="21"/>
                <w:szCs w:val="21"/>
                <w:highlight w:val="none"/>
                <w:lang w:val="en-US" w:eastAsia="zh-CN" w:bidi="ar-SA"/>
              </w:rPr>
              <w:t>地理位置</w:t>
            </w:r>
          </w:p>
        </w:tc>
        <w:tc>
          <w:tcPr>
            <w:tcW w:w="8532" w:type="dxa"/>
            <w:tcBorders>
              <w:bottom w:val="single" w:color="auto" w:sz="4" w:space="0"/>
            </w:tcBorders>
            <w:vAlign w:val="top"/>
          </w:tcPr>
          <w:p w14:paraId="56402738">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eastAsia" w:eastAsia="仿宋"/>
                <w:color w:val="auto"/>
                <w:kern w:val="0"/>
                <w:sz w:val="24"/>
                <w:highlight w:val="none"/>
                <w:lang w:val="en-US" w:eastAsia="zh-CN"/>
              </w:rPr>
              <w:t>本</w:t>
            </w:r>
            <w:r>
              <w:rPr>
                <w:rFonts w:hint="default" w:eastAsia="仿宋"/>
                <w:color w:val="auto"/>
                <w:kern w:val="0"/>
                <w:sz w:val="24"/>
                <w:highlight w:val="none"/>
                <w:lang w:val="en-US" w:eastAsia="zh-CN"/>
              </w:rPr>
              <w:t>项目新建</w:t>
            </w:r>
            <w:r>
              <w:rPr>
                <w:rFonts w:hint="eastAsia" w:eastAsia="仿宋"/>
                <w:color w:val="auto"/>
                <w:kern w:val="0"/>
                <w:sz w:val="24"/>
                <w:highlight w:val="none"/>
                <w:lang w:val="en-US" w:eastAsia="zh-CN"/>
              </w:rPr>
              <w:t>应急疏散通道</w:t>
            </w:r>
            <w:r>
              <w:rPr>
                <w:rFonts w:hint="default" w:eastAsia="仿宋"/>
                <w:color w:val="auto"/>
                <w:kern w:val="0"/>
                <w:sz w:val="24"/>
                <w:highlight w:val="none"/>
                <w:lang w:val="en-US" w:eastAsia="zh-CN"/>
              </w:rPr>
              <w:t>，桥长</w:t>
            </w:r>
            <w:r>
              <w:rPr>
                <w:rFonts w:hint="eastAsia" w:eastAsia="仿宋"/>
                <w:color w:val="auto"/>
                <w:kern w:val="0"/>
                <w:sz w:val="24"/>
                <w:highlight w:val="none"/>
                <w:lang w:val="en-US" w:eastAsia="zh-CN"/>
              </w:rPr>
              <w:t>606</w:t>
            </w:r>
            <w:r>
              <w:rPr>
                <w:rFonts w:hint="default" w:eastAsia="仿宋"/>
                <w:color w:val="auto"/>
                <w:kern w:val="0"/>
                <w:sz w:val="24"/>
                <w:highlight w:val="none"/>
                <w:lang w:val="en-US" w:eastAsia="zh-CN"/>
              </w:rPr>
              <w:t>米，宽</w:t>
            </w:r>
            <w:r>
              <w:rPr>
                <w:rFonts w:hint="eastAsia" w:eastAsia="仿宋"/>
                <w:color w:val="auto"/>
                <w:kern w:val="0"/>
                <w:sz w:val="24"/>
                <w:highlight w:val="none"/>
                <w:lang w:val="en-US" w:eastAsia="zh-CN"/>
              </w:rPr>
              <w:t>5~15</w:t>
            </w:r>
            <w:r>
              <w:rPr>
                <w:rFonts w:hint="default" w:eastAsia="仿宋"/>
                <w:color w:val="auto"/>
                <w:kern w:val="0"/>
                <w:sz w:val="24"/>
                <w:highlight w:val="none"/>
                <w:lang w:val="en-US" w:eastAsia="zh-CN"/>
              </w:rPr>
              <w:t>米，</w:t>
            </w:r>
            <w:r>
              <w:rPr>
                <w:rFonts w:hint="eastAsia" w:eastAsia="仿宋"/>
                <w:color w:val="auto"/>
                <w:kern w:val="0"/>
                <w:sz w:val="24"/>
                <w:highlight w:val="none"/>
                <w:lang w:val="en-US" w:eastAsia="zh-CN"/>
              </w:rPr>
              <w:t>桥面</w:t>
            </w:r>
            <w:r>
              <w:rPr>
                <w:rFonts w:hint="default" w:eastAsia="仿宋"/>
                <w:color w:val="auto"/>
                <w:kern w:val="0"/>
                <w:sz w:val="24"/>
                <w:highlight w:val="none"/>
                <w:lang w:val="en-US" w:eastAsia="zh-CN"/>
              </w:rPr>
              <w:t>面积约</w:t>
            </w:r>
            <w:r>
              <w:rPr>
                <w:rFonts w:hint="eastAsia" w:eastAsia="仿宋"/>
                <w:color w:val="auto"/>
                <w:kern w:val="0"/>
                <w:sz w:val="24"/>
                <w:highlight w:val="none"/>
                <w:lang w:val="en-US" w:eastAsia="zh-CN"/>
              </w:rPr>
              <w:t>1.7272公顷</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基础占地1360m</w:t>
            </w:r>
            <w:r>
              <w:rPr>
                <w:rFonts w:hint="eastAsia" w:eastAsia="仿宋"/>
                <w:color w:val="auto"/>
                <w:kern w:val="0"/>
                <w:sz w:val="24"/>
                <w:highlight w:val="none"/>
                <w:vertAlign w:val="superscript"/>
                <w:lang w:val="en-US" w:eastAsia="zh-CN"/>
              </w:rPr>
              <w:t>2</w:t>
            </w:r>
            <w:r>
              <w:rPr>
                <w:rFonts w:hint="eastAsia" w:eastAsia="仿宋"/>
                <w:color w:val="auto"/>
                <w:kern w:val="0"/>
                <w:sz w:val="24"/>
                <w:highlight w:val="none"/>
                <w:lang w:val="en-US" w:eastAsia="zh-CN"/>
              </w:rPr>
              <w:t>（2.04亩）。项目地理位置详见图2-1。</w:t>
            </w:r>
          </w:p>
        </w:tc>
      </w:tr>
      <w:tr w14:paraId="1EE1D4CE">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1442" w:hRule="atLeast"/>
        </w:trPr>
        <w:tc>
          <w:tcPr>
            <w:tcW w:w="426" w:type="dxa"/>
            <w:tcBorders>
              <w:top w:val="single" w:color="auto" w:sz="4" w:space="0"/>
              <w:bottom w:val="single" w:color="auto" w:sz="4" w:space="0"/>
            </w:tcBorders>
            <w:vAlign w:val="center"/>
          </w:tcPr>
          <w:p w14:paraId="69D86374">
            <w:pPr>
              <w:pStyle w:val="30"/>
              <w:numPr>
                <w:ilvl w:val="0"/>
                <w:numId w:val="0"/>
              </w:numPr>
              <w:rPr>
                <w:rFonts w:hint="default" w:ascii="Times New Roman" w:hAnsi="Times New Roman" w:eastAsia="仿宋" w:cs="Times New Roman"/>
                <w:color w:val="auto"/>
                <w:kern w:val="2"/>
                <w:sz w:val="21"/>
                <w:szCs w:val="21"/>
                <w:highlight w:val="none"/>
                <w:lang w:val="en-US" w:eastAsia="zh-CN" w:bidi="ar-SA"/>
              </w:rPr>
            </w:pPr>
            <w:r>
              <w:rPr>
                <w:rFonts w:hint="eastAsia" w:ascii="Times New Roman" w:hAnsi="Times New Roman" w:eastAsia="仿宋" w:cs="Times New Roman"/>
                <w:color w:val="auto"/>
                <w:kern w:val="2"/>
                <w:sz w:val="21"/>
                <w:szCs w:val="21"/>
                <w:highlight w:val="none"/>
                <w:lang w:val="en-US" w:eastAsia="zh-CN" w:bidi="ar-SA"/>
              </w:rPr>
              <w:t>项目组成及规模</w:t>
            </w:r>
          </w:p>
        </w:tc>
        <w:tc>
          <w:tcPr>
            <w:tcW w:w="8532" w:type="dxa"/>
            <w:tcBorders>
              <w:top w:val="single" w:color="auto" w:sz="4" w:space="0"/>
              <w:bottom w:val="single" w:color="auto" w:sz="4" w:space="0"/>
            </w:tcBorders>
            <w:vAlign w:val="top"/>
          </w:tcPr>
          <w:p w14:paraId="28A79CC3">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rPr>
                <w:rFonts w:hint="default" w:ascii="Times New Roman" w:hAnsi="Times New Roman" w:eastAsia="仿宋" w:cstheme="minorBidi"/>
                <w:b/>
                <w:bCs/>
                <w:color w:val="auto"/>
                <w:kern w:val="0"/>
                <w:sz w:val="24"/>
                <w:szCs w:val="22"/>
                <w:highlight w:val="none"/>
                <w:lang w:val="en-US" w:eastAsia="zh-CN" w:bidi="ar-SA"/>
              </w:rPr>
            </w:pPr>
            <w:r>
              <w:rPr>
                <w:rFonts w:hint="eastAsia" w:ascii="Times New Roman" w:hAnsi="Times New Roman" w:eastAsia="仿宋" w:cstheme="minorBidi"/>
                <w:b/>
                <w:bCs/>
                <w:color w:val="auto"/>
                <w:kern w:val="0"/>
                <w:sz w:val="24"/>
                <w:szCs w:val="22"/>
                <w:highlight w:val="none"/>
                <w:lang w:val="en-US" w:eastAsia="zh-CN" w:bidi="ar-SA"/>
              </w:rPr>
              <w:t>一、项目背景</w:t>
            </w:r>
          </w:p>
          <w:p w14:paraId="36AFE264">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长荡湖旅游度假区区域面积143.8平方公里，东至省道240、常溧高速、南至金坛区域边界，西至省道241、长荡湖西路，北至常合高速。2015年3月，获批省级旅游度假区。度假区交通优势明显，距离南京禄口机场1小时车程、浦东机场2小时车程，常溧、常合两条高速和240、241两条省道环区而过，毗邻239省道，支线道路通达。</w:t>
            </w:r>
          </w:p>
          <w:p w14:paraId="1954790C">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项目新建应急疏散通道命名为洮湖夜月桥，桥梁建设过程同步实施绿道、管网、景观绿化、场地平整等附属工程，建设单位选用工艺、技术和设备均符合国家法律法规及《产业结构调整指导目录（2024年本）》要求，项目建设按相关法律法规办理相关部门审核手续后，方开工建设，未出现未批先建的情况。</w:t>
            </w:r>
          </w:p>
          <w:p w14:paraId="55DD3E74">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根据2024年1月8日印发的《常州市金坛区政府国有资产监督管理办公室关于印发2024年度常州市金坛区区管国有企业投资项目实施计划清单的通知》，项目位列项目清单“长荡湖体育休闲房车营地项目”中，为新建洮湖夜月桥项目，2024年5月23日完成建设项目用地勘测定界报告，2024年6月25日取得常州市金坛区发展和改革局备案，2024年9月4日通过长荡湖体育休闲房车营地—应急疏散通道项目符合省生态空间管控区域内允许有限人为活动的专家论证，并于2024年11月1日取得常州市人民政府《长荡湖体育休闲房车营地—应急疏散通道项目符合省生态空间管控区域内允许有限人为活动的论证意见》。</w:t>
            </w:r>
          </w:p>
          <w:p w14:paraId="234844B8">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洮湖夜月桥桥面跨越水面为长荡湖北岸退田环湖水域，该水域相对封闭，由原农田田埂包络而成，项目加固并补完土埂构建围堰，项目施工区域均位于围堰范围内，对围堰外长荡湖水体影响较小。</w:t>
            </w:r>
          </w:p>
          <w:p w14:paraId="71F5C96B">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center"/>
              <w:textAlignment w:val="auto"/>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应急疏散通道联通长荡湖体育休闲房车营地与河海大道，是长荡湖休闲运动公园一期工程中的重要桥梁，位于长荡湖北岸，根据《常州-金坛综合交通运输体系发展规划（2020-2035）》，是河海大道的一部分，考虑到河海大学及体育休闲房车营地周边庞大的行人通行需求，在人流密集区域设置应急疏散通道，是</w:t>
            </w:r>
          </w:p>
          <w:p w14:paraId="443C1A45">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left"/>
              <w:textAlignment w:val="auto"/>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对河海大道车行道的有机补充，也是道路长期运营的安全保障，本项目与规划道路具体关系见图2-2，完整规划图见附图10。</w:t>
            </w:r>
            <w:r>
              <w:drawing>
                <wp:inline distT="0" distB="0" distL="114300" distR="114300">
                  <wp:extent cx="5026660" cy="2912110"/>
                  <wp:effectExtent l="0" t="0" r="2540" b="254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9"/>
                          <a:stretch>
                            <a:fillRect/>
                          </a:stretch>
                        </pic:blipFill>
                        <pic:spPr>
                          <a:xfrm>
                            <a:off x="0" y="0"/>
                            <a:ext cx="5026660" cy="2912110"/>
                          </a:xfrm>
                          <a:prstGeom prst="rect">
                            <a:avLst/>
                          </a:prstGeom>
                          <a:noFill/>
                          <a:ln>
                            <a:noFill/>
                          </a:ln>
                        </pic:spPr>
                      </pic:pic>
                    </a:graphicData>
                  </a:graphic>
                </wp:inline>
              </w:drawing>
            </w:r>
          </w:p>
          <w:p w14:paraId="25F64117">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imes New Roman"/>
                <w:b/>
                <w:bCs/>
                <w:color w:val="auto"/>
                <w:kern w:val="2"/>
                <w:sz w:val="24"/>
                <w:szCs w:val="22"/>
                <w:highlight w:val="none"/>
                <w:lang w:val="en-US" w:eastAsia="zh-CN" w:bidi="ar-SA"/>
              </w:rPr>
            </w:pPr>
            <w:r>
              <w:rPr>
                <w:rFonts w:hint="eastAsia" w:ascii="Times New Roman" w:hAnsi="Times New Roman" w:eastAsia="仿宋" w:cs="Times New Roman"/>
                <w:b/>
                <w:bCs/>
                <w:color w:val="auto"/>
                <w:kern w:val="2"/>
                <w:sz w:val="24"/>
                <w:szCs w:val="22"/>
                <w:highlight w:val="none"/>
                <w:lang w:val="en-US" w:eastAsia="zh-CN" w:bidi="ar-SA"/>
              </w:rPr>
              <w:t>图 2-1 本项目地理位置图</w:t>
            </w:r>
          </w:p>
          <w:p w14:paraId="753755D7">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heme="minorBidi"/>
                <w:color w:val="auto"/>
                <w:kern w:val="0"/>
                <w:sz w:val="24"/>
                <w:szCs w:val="22"/>
                <w:highlight w:val="none"/>
                <w:lang w:val="en-US" w:eastAsia="zh-CN" w:bidi="ar-SA"/>
              </w:rPr>
            </w:pPr>
            <w:r>
              <w:drawing>
                <wp:anchor distT="0" distB="0" distL="114300" distR="114300" simplePos="0" relativeHeight="251676672" behindDoc="0" locked="0" layoutInCell="1" allowOverlap="1">
                  <wp:simplePos x="0" y="0"/>
                  <wp:positionH relativeFrom="column">
                    <wp:posOffset>3289935</wp:posOffset>
                  </wp:positionH>
                  <wp:positionV relativeFrom="paragraph">
                    <wp:posOffset>1583690</wp:posOffset>
                  </wp:positionV>
                  <wp:extent cx="1574165" cy="1669415"/>
                  <wp:effectExtent l="0" t="0" r="6985" b="6985"/>
                  <wp:wrapNone/>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0"/>
                          <a:stretch>
                            <a:fillRect/>
                          </a:stretch>
                        </pic:blipFill>
                        <pic:spPr>
                          <a:xfrm>
                            <a:off x="0" y="0"/>
                            <a:ext cx="1574165" cy="1669415"/>
                          </a:xfrm>
                          <a:prstGeom prst="rect">
                            <a:avLst/>
                          </a:prstGeom>
                          <a:noFill/>
                          <a:ln>
                            <a:noFill/>
                          </a:ln>
                        </pic:spPr>
                      </pic:pic>
                    </a:graphicData>
                  </a:graphic>
                </wp:anchor>
              </w:drawing>
            </w:r>
            <w:r>
              <w:drawing>
                <wp:inline distT="0" distB="0" distL="114300" distR="114300">
                  <wp:extent cx="4549775" cy="3296285"/>
                  <wp:effectExtent l="0" t="0" r="3175" b="18415"/>
                  <wp:docPr id="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pic:cNvPicPr>
                            <a:picLocks noChangeAspect="1"/>
                          </pic:cNvPicPr>
                        </pic:nvPicPr>
                        <pic:blipFill>
                          <a:blip r:embed="rId21"/>
                          <a:stretch>
                            <a:fillRect/>
                          </a:stretch>
                        </pic:blipFill>
                        <pic:spPr>
                          <a:xfrm>
                            <a:off x="0" y="0"/>
                            <a:ext cx="4549775" cy="3296285"/>
                          </a:xfrm>
                          <a:prstGeom prst="rect">
                            <a:avLst/>
                          </a:prstGeom>
                          <a:noFill/>
                          <a:ln>
                            <a:noFill/>
                          </a:ln>
                        </pic:spPr>
                      </pic:pic>
                    </a:graphicData>
                  </a:graphic>
                </wp:inline>
              </w:drawing>
            </w:r>
          </w:p>
          <w:p w14:paraId="5FE13EFE">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imes New Roman"/>
                <w:b/>
                <w:bCs/>
                <w:color w:val="auto"/>
                <w:kern w:val="2"/>
                <w:sz w:val="24"/>
                <w:szCs w:val="22"/>
                <w:highlight w:val="none"/>
                <w:lang w:val="en-US" w:eastAsia="zh-CN" w:bidi="ar-SA"/>
              </w:rPr>
            </w:pPr>
            <w:r>
              <w:rPr>
                <w:rFonts w:hint="eastAsia" w:ascii="Times New Roman" w:hAnsi="Times New Roman" w:eastAsia="仿宋" w:cs="Times New Roman"/>
                <w:b/>
                <w:bCs/>
                <w:color w:val="auto"/>
                <w:kern w:val="2"/>
                <w:sz w:val="24"/>
                <w:szCs w:val="22"/>
                <w:highlight w:val="none"/>
                <w:lang w:val="en-US" w:eastAsia="zh-CN" w:bidi="ar-SA"/>
              </w:rPr>
              <w:t>图 2-2 本项目与金坛区道路规划位置关系图</w:t>
            </w:r>
          </w:p>
          <w:p w14:paraId="3AB98F46">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仿宋" w:cstheme="minorBidi"/>
                <w:color w:val="auto"/>
                <w:kern w:val="0"/>
                <w:sz w:val="24"/>
                <w:szCs w:val="22"/>
                <w:highlight w:val="none"/>
                <w:lang w:val="en-US" w:eastAsia="zh-CN" w:bidi="ar-SA"/>
              </w:rPr>
            </w:pPr>
            <w:r>
              <w:rPr>
                <w:rFonts w:hint="default" w:ascii="Times New Roman" w:hAnsi="Times New Roman" w:eastAsia="仿宋" w:cstheme="minorBidi"/>
                <w:color w:val="auto"/>
                <w:kern w:val="0"/>
                <w:sz w:val="24"/>
                <w:szCs w:val="22"/>
                <w:highlight w:val="none"/>
                <w:lang w:val="en-US" w:eastAsia="zh-CN" w:bidi="ar-SA"/>
              </w:rPr>
              <w:t>受建设单位委托，我单位承担本项目环境影响评价工作。根据《建设项目环境影响评价分类管理名录》（2021 年版），本项目评价类型为环境影响报告表。</w:t>
            </w:r>
            <w:r>
              <w:rPr>
                <w:rFonts w:hint="eastAsia" w:ascii="Times New Roman" w:hAnsi="Times New Roman" w:eastAsia="仿宋" w:cstheme="minorBidi"/>
                <w:color w:val="auto"/>
                <w:kern w:val="0"/>
                <w:sz w:val="24"/>
                <w:szCs w:val="22"/>
                <w:highlight w:val="none"/>
                <w:lang w:val="en-US" w:eastAsia="zh-CN" w:bidi="ar-SA"/>
              </w:rPr>
              <w:t>具体</w:t>
            </w:r>
            <w:r>
              <w:rPr>
                <w:rFonts w:hint="default" w:ascii="Times New Roman" w:hAnsi="Times New Roman" w:eastAsia="仿宋" w:cstheme="minorBidi"/>
                <w:color w:val="auto"/>
                <w:kern w:val="0"/>
                <w:sz w:val="24"/>
                <w:szCs w:val="22"/>
                <w:highlight w:val="none"/>
                <w:lang w:val="en-US" w:eastAsia="zh-CN" w:bidi="ar-SA"/>
              </w:rPr>
              <w:t>过程见下表</w:t>
            </w:r>
            <w:r>
              <w:rPr>
                <w:rFonts w:hint="eastAsia" w:ascii="Times New Roman" w:hAnsi="Times New Roman" w:eastAsia="仿宋" w:cstheme="minorBidi"/>
                <w:color w:val="auto"/>
                <w:kern w:val="0"/>
                <w:sz w:val="24"/>
                <w:szCs w:val="22"/>
                <w:highlight w:val="none"/>
                <w:lang w:val="en-US" w:eastAsia="zh-CN" w:bidi="ar-SA"/>
              </w:rPr>
              <w:t>。</w:t>
            </w:r>
          </w:p>
          <w:p w14:paraId="39EBE111">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color w:val="auto"/>
                <w:highlight w:val="none"/>
                <w:lang w:val="en-US" w:eastAsia="zh-CN"/>
              </w:rPr>
            </w:pPr>
            <w:r>
              <w:rPr>
                <w:rFonts w:hint="eastAsia" w:ascii="Times New Roman" w:hAnsi="Times New Roman" w:eastAsia="仿宋" w:cs="Times New Roman"/>
                <w:b/>
                <w:bCs/>
                <w:color w:val="auto"/>
                <w:highlight w:val="none"/>
                <w:lang w:val="en-US" w:eastAsia="zh-CN"/>
              </w:rPr>
              <w:t>表2-1 本项目工程组成一览表</w:t>
            </w:r>
          </w:p>
          <w:tbl>
            <w:tblPr>
              <w:tblStyle w:val="24"/>
              <w:tblW w:w="831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5"/>
              <w:gridCol w:w="2040"/>
              <w:gridCol w:w="870"/>
              <w:gridCol w:w="1125"/>
              <w:gridCol w:w="3376"/>
            </w:tblGrid>
            <w:tr w14:paraId="38671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15" w:type="dxa"/>
                  <w:gridSpan w:val="3"/>
                  <w:tcBorders>
                    <w:tl2br w:val="nil"/>
                    <w:tr2bl w:val="nil"/>
                  </w:tcBorders>
                  <w:vAlign w:val="center"/>
                </w:tcPr>
                <w:p w14:paraId="53E42F36">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bCs/>
                      <w:color w:val="auto"/>
                      <w:kern w:val="0"/>
                      <w:sz w:val="21"/>
                      <w:szCs w:val="21"/>
                      <w:lang w:val="en-US" w:eastAsia="zh-CN" w:bidi="ar"/>
                    </w:rPr>
                    <w:t>判定依据</w:t>
                  </w:r>
                </w:p>
              </w:tc>
              <w:tc>
                <w:tcPr>
                  <w:tcW w:w="4501" w:type="dxa"/>
                  <w:gridSpan w:val="2"/>
                  <w:tcBorders>
                    <w:tl2br w:val="nil"/>
                    <w:tr2bl w:val="nil"/>
                  </w:tcBorders>
                  <w:vAlign w:val="center"/>
                </w:tcPr>
                <w:p w14:paraId="6965D4D9">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bCs/>
                      <w:color w:val="auto"/>
                      <w:kern w:val="0"/>
                      <w:sz w:val="21"/>
                      <w:szCs w:val="21"/>
                      <w:lang w:val="en-US" w:eastAsia="zh-CN" w:bidi="ar"/>
                    </w:rPr>
                    <w:t>判定过程</w:t>
                  </w:r>
                </w:p>
              </w:tc>
            </w:tr>
            <w:tr w14:paraId="5E1094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15" w:type="dxa"/>
                  <w:gridSpan w:val="3"/>
                  <w:tcBorders>
                    <w:tl2br w:val="nil"/>
                    <w:tr2bl w:val="nil"/>
                  </w:tcBorders>
                  <w:vAlign w:val="center"/>
                </w:tcPr>
                <w:p w14:paraId="029B8B8D">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default" w:ascii="仿宋" w:hAnsi="仿宋" w:eastAsia="仿宋" w:cs="仿宋"/>
                      <w:b w:val="0"/>
                      <w:bCs w:val="0"/>
                      <w:color w:val="auto"/>
                      <w:kern w:val="0"/>
                      <w:sz w:val="21"/>
                      <w:szCs w:val="21"/>
                      <w:lang w:val="en-US" w:eastAsia="zh-CN" w:bidi="ar"/>
                    </w:rPr>
                    <w:t>《建设项目环境影响评价分类管理名录》（2021 年版）</w:t>
                  </w:r>
                </w:p>
              </w:tc>
              <w:tc>
                <w:tcPr>
                  <w:tcW w:w="4501" w:type="dxa"/>
                  <w:gridSpan w:val="2"/>
                  <w:tcBorders>
                    <w:tl2br w:val="nil"/>
                    <w:tr2bl w:val="nil"/>
                  </w:tcBorders>
                  <w:vAlign w:val="center"/>
                </w:tcPr>
                <w:p w14:paraId="7A461F30">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default" w:ascii="仿宋" w:hAnsi="仿宋" w:eastAsia="仿宋" w:cs="仿宋"/>
                      <w:b w:val="0"/>
                      <w:bCs w:val="0"/>
                      <w:color w:val="auto"/>
                      <w:kern w:val="0"/>
                      <w:sz w:val="21"/>
                      <w:szCs w:val="21"/>
                      <w:lang w:val="en-US" w:eastAsia="zh-CN" w:bidi="ar"/>
                    </w:rPr>
                    <w:t>五十二、交通运输业、管道运输业—131 城市道路（不含维护；不含支路、人行天桥、人行地道）</w:t>
                  </w:r>
                </w:p>
              </w:tc>
            </w:tr>
            <w:tr w14:paraId="7BC63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5" w:type="dxa"/>
                  <w:tcBorders>
                    <w:tl2br w:val="nil"/>
                    <w:tr2bl w:val="nil"/>
                  </w:tcBorders>
                  <w:vAlign w:val="center"/>
                </w:tcPr>
                <w:p w14:paraId="444F9602">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val="0"/>
                      <w:bCs w:val="0"/>
                      <w:color w:val="auto"/>
                      <w:kern w:val="0"/>
                      <w:sz w:val="21"/>
                      <w:szCs w:val="21"/>
                      <w:lang w:val="en-US" w:eastAsia="zh-CN" w:bidi="ar"/>
                    </w:rPr>
                    <w:t>报告书</w:t>
                  </w:r>
                </w:p>
              </w:tc>
              <w:tc>
                <w:tcPr>
                  <w:tcW w:w="2040" w:type="dxa"/>
                  <w:tcBorders>
                    <w:tl2br w:val="nil"/>
                    <w:tr2bl w:val="nil"/>
                  </w:tcBorders>
                  <w:shd w:val="clear" w:color="auto" w:fill="CFCECE" w:themeFill="background2" w:themeFillShade="E5"/>
                  <w:vAlign w:val="center"/>
                </w:tcPr>
                <w:p w14:paraId="6BF75C26">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val="0"/>
                      <w:bCs w:val="0"/>
                      <w:color w:val="auto"/>
                      <w:kern w:val="0"/>
                      <w:sz w:val="21"/>
                      <w:szCs w:val="21"/>
                      <w:lang w:val="en-US" w:eastAsia="zh-CN" w:bidi="ar"/>
                    </w:rPr>
                    <w:t>报告表</w:t>
                  </w:r>
                </w:p>
              </w:tc>
              <w:tc>
                <w:tcPr>
                  <w:tcW w:w="870" w:type="dxa"/>
                  <w:tcBorders>
                    <w:tl2br w:val="nil"/>
                    <w:tr2bl w:val="nil"/>
                  </w:tcBorders>
                  <w:vAlign w:val="center"/>
                </w:tcPr>
                <w:p w14:paraId="19980105">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val="0"/>
                      <w:bCs w:val="0"/>
                      <w:color w:val="auto"/>
                      <w:kern w:val="0"/>
                      <w:sz w:val="21"/>
                      <w:szCs w:val="21"/>
                      <w:lang w:val="en-US" w:eastAsia="zh-CN" w:bidi="ar"/>
                    </w:rPr>
                    <w:t>登记表</w:t>
                  </w:r>
                </w:p>
              </w:tc>
              <w:tc>
                <w:tcPr>
                  <w:tcW w:w="4501" w:type="dxa"/>
                  <w:gridSpan w:val="2"/>
                  <w:tcBorders>
                    <w:tl2br w:val="nil"/>
                    <w:tr2bl w:val="nil"/>
                  </w:tcBorders>
                  <w:vAlign w:val="center"/>
                </w:tcPr>
                <w:p w14:paraId="628FF3CA">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bCs/>
                      <w:color w:val="auto"/>
                      <w:kern w:val="0"/>
                      <w:sz w:val="21"/>
                      <w:szCs w:val="21"/>
                      <w:lang w:val="en-US" w:eastAsia="zh-CN" w:bidi="ar"/>
                    </w:rPr>
                    <w:t>判定结果</w:t>
                  </w:r>
                </w:p>
              </w:tc>
            </w:tr>
            <w:tr w14:paraId="72D55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5" w:type="dxa"/>
                  <w:vMerge w:val="restart"/>
                  <w:tcBorders>
                    <w:tl2br w:val="nil"/>
                    <w:tr2bl w:val="nil"/>
                  </w:tcBorders>
                  <w:vAlign w:val="center"/>
                </w:tcPr>
                <w:p w14:paraId="2961CF6A">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val="0"/>
                      <w:bCs w:val="0"/>
                      <w:color w:val="auto"/>
                      <w:kern w:val="0"/>
                      <w:sz w:val="21"/>
                      <w:szCs w:val="21"/>
                      <w:lang w:val="en-US" w:eastAsia="zh-CN" w:bidi="ar"/>
                    </w:rPr>
                    <w:t>/</w:t>
                  </w:r>
                </w:p>
              </w:tc>
              <w:tc>
                <w:tcPr>
                  <w:tcW w:w="2040" w:type="dxa"/>
                  <w:vMerge w:val="restart"/>
                  <w:tcBorders>
                    <w:tl2br w:val="nil"/>
                    <w:tr2bl w:val="nil"/>
                  </w:tcBorders>
                  <w:shd w:val="clear" w:color="auto" w:fill="CFCECE" w:themeFill="background2" w:themeFillShade="E5"/>
                  <w:vAlign w:val="center"/>
                </w:tcPr>
                <w:p w14:paraId="440DF221">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default" w:ascii="仿宋" w:hAnsi="仿宋" w:eastAsia="仿宋" w:cs="仿宋"/>
                      <w:b w:val="0"/>
                      <w:bCs w:val="0"/>
                      <w:color w:val="auto"/>
                      <w:kern w:val="0"/>
                      <w:sz w:val="21"/>
                      <w:szCs w:val="21"/>
                      <w:lang w:val="en-US" w:eastAsia="zh-CN" w:bidi="ar"/>
                    </w:rPr>
                    <w:t>新建快速路、主干路；</w:t>
                  </w:r>
                  <w:r>
                    <w:rPr>
                      <w:rFonts w:hint="default" w:ascii="仿宋" w:hAnsi="仿宋" w:eastAsia="仿宋" w:cs="仿宋"/>
                      <w:b/>
                      <w:bCs/>
                      <w:color w:val="auto"/>
                      <w:kern w:val="0"/>
                      <w:sz w:val="21"/>
                      <w:szCs w:val="21"/>
                      <w:lang w:val="en-US" w:eastAsia="zh-CN" w:bidi="ar"/>
                    </w:rPr>
                    <w:t>城市桥梁</w:t>
                  </w:r>
                  <w:r>
                    <w:rPr>
                      <w:rFonts w:hint="default" w:ascii="仿宋" w:hAnsi="仿宋" w:eastAsia="仿宋" w:cs="仿宋"/>
                      <w:b w:val="0"/>
                      <w:bCs w:val="0"/>
                      <w:color w:val="auto"/>
                      <w:kern w:val="0"/>
                      <w:sz w:val="21"/>
                      <w:szCs w:val="21"/>
                      <w:lang w:val="en-US" w:eastAsia="zh-CN" w:bidi="ar"/>
                    </w:rPr>
                    <w:t>、隧道</w:t>
                  </w:r>
                </w:p>
              </w:tc>
              <w:tc>
                <w:tcPr>
                  <w:tcW w:w="870" w:type="dxa"/>
                  <w:vMerge w:val="restart"/>
                  <w:tcBorders>
                    <w:tl2br w:val="nil"/>
                    <w:tr2bl w:val="nil"/>
                  </w:tcBorders>
                  <w:vAlign w:val="center"/>
                </w:tcPr>
                <w:p w14:paraId="3AD8AC7C">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val="0"/>
                      <w:bCs w:val="0"/>
                      <w:color w:val="auto"/>
                      <w:kern w:val="0"/>
                      <w:sz w:val="21"/>
                      <w:szCs w:val="21"/>
                      <w:lang w:val="en-US" w:eastAsia="zh-CN" w:bidi="ar"/>
                    </w:rPr>
                    <w:t>其他</w:t>
                  </w:r>
                </w:p>
              </w:tc>
              <w:tc>
                <w:tcPr>
                  <w:tcW w:w="1125" w:type="dxa"/>
                  <w:tcBorders>
                    <w:tl2br w:val="nil"/>
                    <w:tr2bl w:val="nil"/>
                  </w:tcBorders>
                  <w:vAlign w:val="center"/>
                </w:tcPr>
                <w:p w14:paraId="143E2497">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val="0"/>
                      <w:bCs w:val="0"/>
                      <w:color w:val="auto"/>
                      <w:kern w:val="0"/>
                      <w:sz w:val="21"/>
                      <w:szCs w:val="21"/>
                      <w:lang w:val="en-US" w:eastAsia="zh-CN" w:bidi="ar"/>
                    </w:rPr>
                    <w:t>项目内容</w:t>
                  </w:r>
                </w:p>
              </w:tc>
              <w:tc>
                <w:tcPr>
                  <w:tcW w:w="3376" w:type="dxa"/>
                  <w:tcBorders>
                    <w:tl2br w:val="nil"/>
                    <w:tr2bl w:val="nil"/>
                  </w:tcBorders>
                  <w:vAlign w:val="center"/>
                </w:tcPr>
                <w:p w14:paraId="4364A9CA">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val="0"/>
                      <w:bCs w:val="0"/>
                      <w:color w:val="auto"/>
                      <w:kern w:val="0"/>
                      <w:sz w:val="21"/>
                      <w:szCs w:val="21"/>
                      <w:lang w:val="en-US" w:eastAsia="zh-CN" w:bidi="ar"/>
                    </w:rPr>
                    <w:t>长荡湖体育休闲房车营地—应急疏散通道项目</w:t>
                  </w:r>
                </w:p>
              </w:tc>
            </w:tr>
            <w:tr w14:paraId="3011D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5" w:type="dxa"/>
                  <w:vMerge w:val="continue"/>
                  <w:tcBorders>
                    <w:tl2br w:val="nil"/>
                    <w:tr2bl w:val="nil"/>
                  </w:tcBorders>
                  <w:vAlign w:val="center"/>
                </w:tcPr>
                <w:p w14:paraId="64A2AA66">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p>
              </w:tc>
              <w:tc>
                <w:tcPr>
                  <w:tcW w:w="2040" w:type="dxa"/>
                  <w:vMerge w:val="continue"/>
                  <w:tcBorders>
                    <w:tl2br w:val="nil"/>
                    <w:tr2bl w:val="nil"/>
                  </w:tcBorders>
                  <w:shd w:val="clear" w:color="auto" w:fill="CFCECE" w:themeFill="background2" w:themeFillShade="E5"/>
                  <w:vAlign w:val="center"/>
                </w:tcPr>
                <w:p w14:paraId="015FCF81">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p>
              </w:tc>
              <w:tc>
                <w:tcPr>
                  <w:tcW w:w="870" w:type="dxa"/>
                  <w:vMerge w:val="continue"/>
                  <w:tcBorders>
                    <w:tl2br w:val="nil"/>
                    <w:tr2bl w:val="nil"/>
                  </w:tcBorders>
                  <w:vAlign w:val="center"/>
                </w:tcPr>
                <w:p w14:paraId="76F0D9EC">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p>
              </w:tc>
              <w:tc>
                <w:tcPr>
                  <w:tcW w:w="1125" w:type="dxa"/>
                  <w:tcBorders>
                    <w:tl2br w:val="nil"/>
                    <w:tr2bl w:val="nil"/>
                  </w:tcBorders>
                  <w:vAlign w:val="center"/>
                </w:tcPr>
                <w:p w14:paraId="3218AC9F">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val="0"/>
                      <w:bCs w:val="0"/>
                      <w:color w:val="auto"/>
                      <w:kern w:val="0"/>
                      <w:sz w:val="21"/>
                      <w:szCs w:val="21"/>
                      <w:lang w:val="en-US" w:eastAsia="zh-CN" w:bidi="ar"/>
                    </w:rPr>
                    <w:t>项目类型</w:t>
                  </w:r>
                </w:p>
              </w:tc>
              <w:tc>
                <w:tcPr>
                  <w:tcW w:w="3376" w:type="dxa"/>
                  <w:tcBorders>
                    <w:tl2br w:val="nil"/>
                    <w:tr2bl w:val="nil"/>
                  </w:tcBorders>
                  <w:vAlign w:val="center"/>
                </w:tcPr>
                <w:p w14:paraId="095C8A00">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b w:val="0"/>
                      <w:bCs w:val="0"/>
                      <w:color w:val="auto"/>
                      <w:kern w:val="0"/>
                      <w:sz w:val="21"/>
                      <w:szCs w:val="21"/>
                      <w:lang w:val="en-US" w:eastAsia="zh-CN" w:bidi="ar"/>
                    </w:rPr>
                  </w:pPr>
                  <w:r>
                    <w:rPr>
                      <w:rFonts w:hint="eastAsia" w:ascii="仿宋" w:hAnsi="仿宋" w:eastAsia="仿宋" w:cs="仿宋"/>
                      <w:b w:val="0"/>
                      <w:bCs w:val="0"/>
                      <w:color w:val="auto"/>
                      <w:kern w:val="0"/>
                      <w:sz w:val="21"/>
                      <w:szCs w:val="21"/>
                      <w:lang w:val="en-US" w:eastAsia="zh-CN" w:bidi="ar"/>
                    </w:rPr>
                    <w:t>环境影响报告表</w:t>
                  </w:r>
                </w:p>
              </w:tc>
            </w:tr>
          </w:tbl>
          <w:p w14:paraId="6E892BAC">
            <w:pPr>
              <w:pStyle w:val="3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textAlignment w:val="auto"/>
              <w:rPr>
                <w:rFonts w:hint="eastAsia" w:ascii="Times New Roman" w:hAnsi="Times New Roman" w:eastAsia="仿宋" w:cstheme="minorBidi"/>
                <w:b/>
                <w:bCs/>
                <w:color w:val="auto"/>
                <w:kern w:val="0"/>
                <w:sz w:val="24"/>
                <w:szCs w:val="22"/>
                <w:highlight w:val="none"/>
                <w:lang w:val="en-US" w:eastAsia="zh-CN" w:bidi="ar-SA"/>
              </w:rPr>
            </w:pPr>
            <w:r>
              <w:rPr>
                <w:rFonts w:hint="eastAsia" w:ascii="Times New Roman" w:hAnsi="Times New Roman" w:eastAsia="仿宋" w:cstheme="minorBidi"/>
                <w:b/>
                <w:bCs/>
                <w:color w:val="auto"/>
                <w:kern w:val="0"/>
                <w:sz w:val="24"/>
                <w:szCs w:val="22"/>
                <w:highlight w:val="none"/>
                <w:lang w:val="en-US" w:eastAsia="zh-CN" w:bidi="ar-SA"/>
              </w:rPr>
              <w:t>一、项目组成</w:t>
            </w:r>
          </w:p>
          <w:p w14:paraId="5250C81A">
            <w:pPr>
              <w:keepNext w:val="0"/>
              <w:keepLines w:val="0"/>
              <w:widowControl/>
              <w:suppressLineNumbers w:val="0"/>
              <w:jc w:val="left"/>
              <w:rPr>
                <w:rFonts w:hint="default"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本项目建设</w:t>
            </w:r>
            <w:r>
              <w:rPr>
                <w:rFonts w:hint="eastAsia" w:eastAsia="仿宋" w:cstheme="minorBidi"/>
                <w:color w:val="auto"/>
                <w:kern w:val="0"/>
                <w:sz w:val="24"/>
                <w:szCs w:val="22"/>
                <w:highlight w:val="none"/>
                <w:lang w:val="en-US" w:eastAsia="zh-CN" w:bidi="ar-SA"/>
              </w:rPr>
              <w:t>工程组成情况见下表。</w:t>
            </w:r>
          </w:p>
          <w:p w14:paraId="4EE218E9">
            <w:pPr>
              <w:pStyle w:val="10"/>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color w:val="auto"/>
                <w:highlight w:val="none"/>
                <w:lang w:val="en-US" w:eastAsia="zh-CN"/>
              </w:rPr>
            </w:pPr>
            <w:r>
              <w:rPr>
                <w:rFonts w:hint="eastAsia" w:ascii="Times New Roman" w:hAnsi="Times New Roman" w:eastAsia="仿宋" w:cs="Times New Roman"/>
                <w:b/>
                <w:bCs/>
                <w:color w:val="auto"/>
                <w:highlight w:val="none"/>
                <w:lang w:val="en-US" w:eastAsia="zh-CN"/>
              </w:rPr>
              <w:t>表2-</w:t>
            </w:r>
            <w:r>
              <w:rPr>
                <w:rFonts w:hint="eastAsia" w:eastAsia="仿宋" w:cs="Times New Roman"/>
                <w:b/>
                <w:bCs/>
                <w:color w:val="auto"/>
                <w:highlight w:val="none"/>
                <w:lang w:val="en-US" w:eastAsia="zh-CN"/>
              </w:rPr>
              <w:t>2</w:t>
            </w:r>
            <w:r>
              <w:rPr>
                <w:rFonts w:hint="eastAsia" w:ascii="Times New Roman" w:hAnsi="Times New Roman" w:eastAsia="仿宋" w:cs="Times New Roman"/>
                <w:b/>
                <w:bCs/>
                <w:color w:val="auto"/>
                <w:highlight w:val="none"/>
                <w:lang w:val="en-US" w:eastAsia="zh-CN"/>
              </w:rPr>
              <w:t xml:space="preserve"> 本项目工程组成一览表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54"/>
              <w:gridCol w:w="1063"/>
              <w:gridCol w:w="6086"/>
            </w:tblGrid>
            <w:tr w14:paraId="7482E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94" w:type="pct"/>
                  <w:tcBorders>
                    <w:top w:val="single" w:color="auto" w:sz="4" w:space="0"/>
                    <w:left w:val="single" w:color="auto" w:sz="4" w:space="0"/>
                    <w:bottom w:val="single" w:color="auto" w:sz="4" w:space="0"/>
                    <w:right w:val="single" w:color="auto" w:sz="4" w:space="0"/>
                  </w:tcBorders>
                  <w:shd w:val="clear" w:color="auto" w:fill="auto"/>
                  <w:vAlign w:val="center"/>
                </w:tcPr>
                <w:p w14:paraId="6F5C8D0D">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eastAsia" w:ascii="仿宋" w:hAnsi="仿宋" w:eastAsia="仿宋" w:cs="仿宋"/>
                      <w:b/>
                      <w:bCs/>
                      <w:color w:val="auto"/>
                      <w:sz w:val="21"/>
                      <w:szCs w:val="21"/>
                      <w:lang w:val="en-US"/>
                    </w:rPr>
                  </w:pPr>
                  <w:r>
                    <w:rPr>
                      <w:rFonts w:hint="eastAsia" w:ascii="仿宋" w:hAnsi="仿宋" w:eastAsia="仿宋" w:cs="仿宋"/>
                      <w:b/>
                      <w:bCs/>
                      <w:color w:val="auto"/>
                      <w:kern w:val="0"/>
                      <w:sz w:val="21"/>
                      <w:szCs w:val="21"/>
                      <w:lang w:val="en-US" w:eastAsia="zh-CN" w:bidi="ar"/>
                    </w:rPr>
                    <w:t>类别</w:t>
                  </w:r>
                </w:p>
              </w:tc>
              <w:tc>
                <w:tcPr>
                  <w:tcW w:w="640" w:type="pct"/>
                  <w:tcBorders>
                    <w:top w:val="single" w:color="auto" w:sz="4" w:space="0"/>
                    <w:left w:val="single" w:color="auto" w:sz="4" w:space="0"/>
                    <w:bottom w:val="single" w:color="auto" w:sz="4" w:space="0"/>
                    <w:right w:val="single" w:color="auto" w:sz="4" w:space="0"/>
                  </w:tcBorders>
                  <w:shd w:val="clear" w:color="auto" w:fill="auto"/>
                  <w:vAlign w:val="center"/>
                </w:tcPr>
                <w:p w14:paraId="6334D76B">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eastAsia" w:ascii="仿宋" w:hAnsi="仿宋" w:eastAsia="仿宋" w:cs="仿宋"/>
                      <w:b/>
                      <w:bCs/>
                      <w:color w:val="auto"/>
                      <w:sz w:val="21"/>
                      <w:szCs w:val="21"/>
                      <w:lang w:val="en-US" w:eastAsia="zh-CN"/>
                    </w:rPr>
                  </w:pPr>
                  <w:r>
                    <w:rPr>
                      <w:rFonts w:hint="eastAsia" w:ascii="仿宋" w:hAnsi="仿宋" w:eastAsia="仿宋" w:cs="仿宋"/>
                      <w:b/>
                      <w:bCs/>
                      <w:color w:val="auto"/>
                      <w:sz w:val="21"/>
                      <w:szCs w:val="21"/>
                      <w:lang w:val="en-US" w:eastAsia="zh-CN"/>
                    </w:rPr>
                    <w:t>项目</w:t>
                  </w:r>
                </w:p>
              </w:tc>
              <w:tc>
                <w:tcPr>
                  <w:tcW w:w="3664" w:type="pct"/>
                  <w:tcBorders>
                    <w:top w:val="single" w:color="auto" w:sz="4" w:space="0"/>
                    <w:left w:val="single" w:color="auto" w:sz="4" w:space="0"/>
                    <w:bottom w:val="single" w:color="auto" w:sz="4" w:space="0"/>
                    <w:right w:val="single" w:color="auto" w:sz="4" w:space="0"/>
                  </w:tcBorders>
                  <w:shd w:val="clear" w:color="auto" w:fill="auto"/>
                  <w:vAlign w:val="center"/>
                </w:tcPr>
                <w:p w14:paraId="471163F3">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eastAsia" w:ascii="仿宋" w:hAnsi="仿宋" w:eastAsia="仿宋" w:cs="仿宋"/>
                      <w:b/>
                      <w:bCs/>
                      <w:color w:val="auto"/>
                      <w:kern w:val="0"/>
                      <w:sz w:val="21"/>
                      <w:szCs w:val="21"/>
                      <w:lang w:val="en-US" w:eastAsia="zh-CN" w:bidi="ar"/>
                    </w:rPr>
                  </w:pPr>
                  <w:r>
                    <w:rPr>
                      <w:rFonts w:hint="eastAsia" w:ascii="仿宋" w:hAnsi="仿宋" w:eastAsia="仿宋" w:cs="仿宋"/>
                      <w:b/>
                      <w:bCs/>
                      <w:color w:val="auto"/>
                      <w:kern w:val="0"/>
                      <w:sz w:val="21"/>
                      <w:szCs w:val="21"/>
                      <w:lang w:val="en-US" w:eastAsia="zh-CN" w:bidi="ar"/>
                    </w:rPr>
                    <w:t>工程内容</w:t>
                  </w:r>
                </w:p>
              </w:tc>
            </w:tr>
            <w:tr w14:paraId="01BC8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4" w:type="pct"/>
                  <w:vMerge w:val="restart"/>
                  <w:tcBorders>
                    <w:top w:val="single" w:color="auto" w:sz="4" w:space="0"/>
                    <w:left w:val="single" w:color="auto" w:sz="4" w:space="0"/>
                    <w:right w:val="single" w:color="auto" w:sz="4" w:space="0"/>
                  </w:tcBorders>
                  <w:shd w:val="clear" w:color="auto" w:fill="auto"/>
                  <w:vAlign w:val="center"/>
                </w:tcPr>
                <w:p w14:paraId="6A9E7AF7">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eastAsia" w:ascii="仿宋" w:hAnsi="仿宋" w:eastAsia="仿宋" w:cs="仿宋"/>
                      <w:color w:val="auto"/>
                      <w:sz w:val="21"/>
                      <w:szCs w:val="21"/>
                      <w:lang w:val="en-US"/>
                    </w:rPr>
                  </w:pPr>
                  <w:r>
                    <w:rPr>
                      <w:rFonts w:hint="eastAsia" w:ascii="仿宋" w:hAnsi="仿宋" w:eastAsia="仿宋" w:cs="仿宋"/>
                      <w:b/>
                      <w:bCs/>
                      <w:color w:val="auto"/>
                      <w:kern w:val="0"/>
                      <w:sz w:val="21"/>
                      <w:szCs w:val="21"/>
                      <w:lang w:val="en-US" w:eastAsia="zh-CN" w:bidi="ar"/>
                    </w:rPr>
                    <w:t>主体工程</w:t>
                  </w:r>
                </w:p>
              </w:tc>
              <w:tc>
                <w:tcPr>
                  <w:tcW w:w="640" w:type="pct"/>
                  <w:tcBorders>
                    <w:top w:val="single" w:color="auto" w:sz="4" w:space="0"/>
                    <w:left w:val="single" w:color="auto" w:sz="4" w:space="0"/>
                    <w:bottom w:val="single" w:color="auto" w:sz="4" w:space="0"/>
                    <w:right w:val="single" w:color="auto" w:sz="4" w:space="0"/>
                  </w:tcBorders>
                  <w:shd w:val="clear" w:color="auto" w:fill="auto"/>
                  <w:vAlign w:val="center"/>
                </w:tcPr>
                <w:p w14:paraId="7485F0E0">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路桥工程</w:t>
                  </w:r>
                </w:p>
              </w:tc>
              <w:tc>
                <w:tcPr>
                  <w:tcW w:w="3664" w:type="pct"/>
                  <w:tcBorders>
                    <w:top w:val="single" w:color="auto" w:sz="4" w:space="0"/>
                    <w:left w:val="single" w:color="auto" w:sz="4" w:space="0"/>
                    <w:bottom w:val="single" w:color="auto" w:sz="4" w:space="0"/>
                    <w:right w:val="single" w:color="auto" w:sz="4" w:space="0"/>
                  </w:tcBorders>
                  <w:shd w:val="clear" w:color="auto" w:fill="auto"/>
                  <w:vAlign w:val="center"/>
                </w:tcPr>
                <w:p w14:paraId="57304C8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kern w:val="2"/>
                      <w:sz w:val="21"/>
                      <w:szCs w:val="21"/>
                      <w:lang w:val="en-US" w:eastAsia="zh-CN" w:bidi="ar-SA"/>
                    </w:rPr>
                    <w:t>新建</w:t>
                  </w:r>
                  <w:r>
                    <w:rPr>
                      <w:rFonts w:hint="eastAsia" w:eastAsia="仿宋" w:cs="Times New Roman"/>
                      <w:color w:val="auto"/>
                      <w:kern w:val="2"/>
                      <w:sz w:val="21"/>
                      <w:szCs w:val="21"/>
                      <w:lang w:val="en-US" w:eastAsia="zh-CN" w:bidi="ar-SA"/>
                    </w:rPr>
                    <w:t>应急疏散通道</w:t>
                  </w:r>
                  <w:r>
                    <w:rPr>
                      <w:rFonts w:hint="default" w:ascii="Times New Roman" w:hAnsi="Times New Roman" w:eastAsia="仿宋" w:cs="Times New Roman"/>
                      <w:color w:val="auto"/>
                      <w:kern w:val="2"/>
                      <w:sz w:val="21"/>
                      <w:szCs w:val="21"/>
                      <w:lang w:val="en-US" w:eastAsia="zh-CN" w:bidi="ar-SA"/>
                    </w:rPr>
                    <w:t>，</w:t>
                  </w:r>
                  <w:r>
                    <w:rPr>
                      <w:rFonts w:hint="eastAsia" w:eastAsia="仿宋" w:cs="Times New Roman"/>
                      <w:color w:val="auto"/>
                      <w:kern w:val="2"/>
                      <w:sz w:val="21"/>
                      <w:szCs w:val="21"/>
                      <w:lang w:val="en-US" w:eastAsia="zh-CN" w:bidi="ar-SA"/>
                    </w:rPr>
                    <w:t>其中</w:t>
                  </w:r>
                  <w:r>
                    <w:rPr>
                      <w:rFonts w:hint="default" w:ascii="Times New Roman" w:hAnsi="Times New Roman" w:eastAsia="仿宋" w:cs="Times New Roman"/>
                      <w:color w:val="auto"/>
                      <w:kern w:val="2"/>
                      <w:sz w:val="21"/>
                      <w:szCs w:val="21"/>
                      <w:lang w:val="en-US" w:eastAsia="zh-CN" w:bidi="ar-SA"/>
                    </w:rPr>
                    <w:t>桥长约</w:t>
                  </w:r>
                  <w:r>
                    <w:rPr>
                      <w:rFonts w:hint="eastAsia" w:eastAsia="仿宋" w:cs="Times New Roman"/>
                      <w:color w:val="auto"/>
                      <w:kern w:val="2"/>
                      <w:sz w:val="21"/>
                      <w:szCs w:val="21"/>
                      <w:lang w:val="en-US" w:eastAsia="zh-CN" w:bidi="ar-SA"/>
                    </w:rPr>
                    <w:t>606</w:t>
                  </w:r>
                  <w:r>
                    <w:rPr>
                      <w:rFonts w:hint="default" w:ascii="Times New Roman" w:hAnsi="Times New Roman" w:eastAsia="仿宋" w:cs="Times New Roman"/>
                      <w:color w:val="auto"/>
                      <w:kern w:val="2"/>
                      <w:sz w:val="21"/>
                      <w:szCs w:val="21"/>
                      <w:lang w:val="en-US" w:eastAsia="zh-CN" w:bidi="ar-SA"/>
                    </w:rPr>
                    <w:t>m，宽</w:t>
                  </w:r>
                  <w:r>
                    <w:rPr>
                      <w:rFonts w:hint="eastAsia" w:eastAsia="仿宋" w:cs="Times New Roman"/>
                      <w:color w:val="auto"/>
                      <w:kern w:val="2"/>
                      <w:sz w:val="21"/>
                      <w:szCs w:val="21"/>
                      <w:lang w:val="en-US" w:eastAsia="zh-CN" w:bidi="ar-SA"/>
                    </w:rPr>
                    <w:t>5~15</w:t>
                  </w:r>
                  <w:r>
                    <w:rPr>
                      <w:rFonts w:hint="default" w:ascii="Times New Roman" w:hAnsi="Times New Roman" w:eastAsia="仿宋" w:cs="Times New Roman"/>
                      <w:color w:val="auto"/>
                      <w:kern w:val="2"/>
                      <w:sz w:val="21"/>
                      <w:szCs w:val="21"/>
                      <w:lang w:val="en-US" w:eastAsia="zh-CN" w:bidi="ar-SA"/>
                    </w:rPr>
                    <w:t>m，桥面面积约1.7272公顷，基础占地1360m</w:t>
                  </w:r>
                  <w:r>
                    <w:rPr>
                      <w:rFonts w:hint="default" w:ascii="Times New Roman" w:hAnsi="Times New Roman" w:eastAsia="仿宋" w:cs="Times New Roman"/>
                      <w:color w:val="auto"/>
                      <w:kern w:val="2"/>
                      <w:sz w:val="21"/>
                      <w:szCs w:val="21"/>
                      <w:vertAlign w:val="superscript"/>
                      <w:lang w:val="en-US" w:eastAsia="zh-CN" w:bidi="ar-SA"/>
                    </w:rPr>
                    <w:t>2</w:t>
                  </w:r>
                  <w:r>
                    <w:rPr>
                      <w:rFonts w:hint="default" w:ascii="Times New Roman" w:hAnsi="Times New Roman" w:eastAsia="仿宋" w:cs="Times New Roman"/>
                      <w:color w:val="auto"/>
                      <w:kern w:val="2"/>
                      <w:sz w:val="21"/>
                      <w:szCs w:val="21"/>
                      <w:lang w:val="en-US" w:eastAsia="zh-CN" w:bidi="ar-SA"/>
                    </w:rPr>
                    <w:t>。</w:t>
                  </w:r>
                </w:p>
              </w:tc>
            </w:tr>
            <w:tr w14:paraId="292EF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694" w:type="pct"/>
                  <w:vMerge w:val="continue"/>
                  <w:tcBorders>
                    <w:left w:val="single" w:color="auto" w:sz="4" w:space="0"/>
                    <w:right w:val="single" w:color="auto" w:sz="4" w:space="0"/>
                  </w:tcBorders>
                  <w:shd w:val="clear" w:color="auto" w:fill="auto"/>
                  <w:vAlign w:val="center"/>
                </w:tcPr>
                <w:p w14:paraId="658B4C5D">
                  <w:pPr>
                    <w:keepNext w:val="0"/>
                    <w:keepLines w:val="0"/>
                    <w:suppressLineNumbers w:val="0"/>
                    <w:spacing w:before="0" w:beforeAutospacing="0" w:after="0" w:afterAutospacing="0"/>
                    <w:ind w:left="0" w:right="0"/>
                    <w:rPr>
                      <w:rFonts w:hint="eastAsia" w:ascii="仿宋" w:hAnsi="仿宋" w:eastAsia="仿宋" w:cs="仿宋"/>
                      <w:color w:val="auto"/>
                      <w:sz w:val="21"/>
                      <w:szCs w:val="21"/>
                    </w:rPr>
                  </w:pPr>
                </w:p>
              </w:tc>
              <w:tc>
                <w:tcPr>
                  <w:tcW w:w="640" w:type="pct"/>
                  <w:tcBorders>
                    <w:top w:val="single" w:color="auto" w:sz="4" w:space="0"/>
                    <w:left w:val="single" w:color="auto" w:sz="4" w:space="0"/>
                    <w:bottom w:val="single" w:color="auto" w:sz="4" w:space="0"/>
                    <w:right w:val="single" w:color="auto" w:sz="4" w:space="0"/>
                  </w:tcBorders>
                  <w:shd w:val="clear" w:color="auto" w:fill="auto"/>
                  <w:vAlign w:val="center"/>
                </w:tcPr>
                <w:p w14:paraId="13E65183">
                  <w:pPr>
                    <w:pStyle w:val="19"/>
                    <w:keepNext w:val="0"/>
                    <w:keepLines w:val="0"/>
                    <w:widowControl w:val="0"/>
                    <w:suppressLineNumbers w:val="0"/>
                    <w:autoSpaceDE w:val="0"/>
                    <w:autoSpaceDN w:val="0"/>
                    <w:adjustRightInd w:val="0"/>
                    <w:spacing w:before="0" w:beforeAutospacing="0" w:after="0" w:afterAutospacing="0" w:line="240" w:lineRule="auto"/>
                    <w:ind w:left="0" w:leftChars="0" w:right="0" w:righ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景观工程</w:t>
                  </w:r>
                </w:p>
              </w:tc>
              <w:tc>
                <w:tcPr>
                  <w:tcW w:w="3664" w:type="pct"/>
                  <w:tcBorders>
                    <w:top w:val="single" w:color="auto" w:sz="4" w:space="0"/>
                    <w:left w:val="single" w:color="auto" w:sz="4" w:space="0"/>
                    <w:bottom w:val="single" w:color="auto" w:sz="4" w:space="0"/>
                    <w:right w:val="single" w:color="auto" w:sz="4" w:space="0"/>
                  </w:tcBorders>
                  <w:shd w:val="clear" w:color="auto" w:fill="auto"/>
                  <w:vAlign w:val="center"/>
                </w:tcPr>
                <w:p w14:paraId="43D539E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kern w:val="2"/>
                      <w:sz w:val="21"/>
                      <w:szCs w:val="21"/>
                      <w:lang w:val="en-US" w:eastAsia="zh-CN" w:bidi="ar-SA"/>
                    </w:rPr>
                    <w:t>步行桥周边景观提升，包含桥及周边景观含栈桥周边景观改造</w:t>
                  </w:r>
                  <w:r>
                    <w:rPr>
                      <w:rFonts w:hint="eastAsia" w:eastAsia="仿宋" w:cs="Times New Roman"/>
                      <w:color w:val="auto"/>
                      <w:kern w:val="2"/>
                      <w:sz w:val="21"/>
                      <w:szCs w:val="21"/>
                      <w:lang w:val="en-US" w:eastAsia="zh-CN" w:bidi="ar-SA"/>
                    </w:rPr>
                    <w:t>5083.42</w:t>
                  </w:r>
                  <w:r>
                    <w:rPr>
                      <w:rFonts w:hint="default" w:ascii="Times New Roman" w:hAnsi="Times New Roman" w:eastAsia="仿宋" w:cs="Times New Roman"/>
                      <w:color w:val="auto"/>
                      <w:kern w:val="2"/>
                      <w:sz w:val="21"/>
                      <w:szCs w:val="21"/>
                      <w:lang w:val="en-US" w:eastAsia="zh-CN" w:bidi="ar-SA"/>
                    </w:rPr>
                    <w:t>m</w:t>
                  </w:r>
                  <w:r>
                    <w:rPr>
                      <w:rFonts w:hint="default" w:ascii="Times New Roman" w:hAnsi="Times New Roman" w:eastAsia="仿宋" w:cs="Times New Roman"/>
                      <w:color w:val="auto"/>
                      <w:kern w:val="2"/>
                      <w:sz w:val="21"/>
                      <w:szCs w:val="21"/>
                      <w:vertAlign w:val="superscript"/>
                      <w:lang w:val="en-US" w:eastAsia="zh-CN" w:bidi="ar-SA"/>
                    </w:rPr>
                    <w:t>2</w:t>
                  </w:r>
                  <w:r>
                    <w:rPr>
                      <w:rFonts w:hint="eastAsia" w:eastAsia="仿宋" w:cs="Times New Roman"/>
                      <w:color w:val="auto"/>
                      <w:kern w:val="2"/>
                      <w:sz w:val="21"/>
                      <w:szCs w:val="21"/>
                      <w:lang w:val="en-US" w:eastAsia="zh-CN" w:bidi="ar-SA"/>
                    </w:rPr>
                    <w:t>，其中绿色浮岛及道路绿化4857.12</w:t>
                  </w:r>
                  <w:r>
                    <w:rPr>
                      <w:rFonts w:hint="default" w:ascii="Times New Roman" w:hAnsi="Times New Roman" w:eastAsia="仿宋" w:cs="Times New Roman"/>
                      <w:color w:val="auto"/>
                      <w:kern w:val="2"/>
                      <w:sz w:val="21"/>
                      <w:szCs w:val="21"/>
                      <w:lang w:val="en-US" w:eastAsia="zh-CN" w:bidi="ar-SA"/>
                    </w:rPr>
                    <w:t>m</w:t>
                  </w:r>
                  <w:r>
                    <w:rPr>
                      <w:rFonts w:hint="default" w:ascii="Times New Roman" w:hAnsi="Times New Roman" w:eastAsia="仿宋" w:cs="Times New Roman"/>
                      <w:color w:val="auto"/>
                      <w:kern w:val="2"/>
                      <w:sz w:val="21"/>
                      <w:szCs w:val="21"/>
                      <w:vertAlign w:val="superscript"/>
                      <w:lang w:val="en-US" w:eastAsia="zh-CN" w:bidi="ar-SA"/>
                    </w:rPr>
                    <w:t>2</w:t>
                  </w:r>
                  <w:r>
                    <w:rPr>
                      <w:rFonts w:hint="eastAsia" w:eastAsia="仿宋" w:cs="Times New Roman"/>
                      <w:color w:val="auto"/>
                      <w:kern w:val="2"/>
                      <w:sz w:val="21"/>
                      <w:szCs w:val="21"/>
                      <w:lang w:val="en-US" w:eastAsia="zh-CN" w:bidi="ar-SA"/>
                    </w:rPr>
                    <w:t>，桥面花坛绿化226.3</w:t>
                  </w:r>
                  <w:r>
                    <w:rPr>
                      <w:rFonts w:hint="default" w:ascii="Times New Roman" w:hAnsi="Times New Roman" w:eastAsia="仿宋" w:cs="Times New Roman"/>
                      <w:color w:val="auto"/>
                      <w:kern w:val="2"/>
                      <w:sz w:val="21"/>
                      <w:szCs w:val="21"/>
                      <w:lang w:val="en-US" w:eastAsia="zh-CN" w:bidi="ar-SA"/>
                    </w:rPr>
                    <w:t>m</w:t>
                  </w:r>
                  <w:r>
                    <w:rPr>
                      <w:rFonts w:hint="default" w:ascii="Times New Roman" w:hAnsi="Times New Roman" w:eastAsia="仿宋" w:cs="Times New Roman"/>
                      <w:color w:val="auto"/>
                      <w:kern w:val="2"/>
                      <w:sz w:val="21"/>
                      <w:szCs w:val="21"/>
                      <w:vertAlign w:val="superscript"/>
                      <w:lang w:val="en-US" w:eastAsia="zh-CN" w:bidi="ar-SA"/>
                    </w:rPr>
                    <w:t>2</w:t>
                  </w:r>
                  <w:r>
                    <w:rPr>
                      <w:rFonts w:hint="eastAsia" w:eastAsia="仿宋" w:cs="Times New Roman"/>
                      <w:color w:val="auto"/>
                      <w:kern w:val="2"/>
                      <w:sz w:val="21"/>
                      <w:szCs w:val="21"/>
                      <w:lang w:val="en-US" w:eastAsia="zh-CN" w:bidi="ar-SA"/>
                    </w:rPr>
                    <w:t>。</w:t>
                  </w:r>
                </w:p>
              </w:tc>
            </w:tr>
            <w:tr w14:paraId="2CA60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2" w:hRule="atLeast"/>
                <w:jc w:val="center"/>
              </w:trPr>
              <w:tc>
                <w:tcPr>
                  <w:tcW w:w="1335" w:type="pct"/>
                  <w:gridSpan w:val="2"/>
                  <w:tcBorders>
                    <w:top w:val="single" w:color="auto" w:sz="4" w:space="0"/>
                    <w:left w:val="single" w:color="auto" w:sz="4" w:space="0"/>
                    <w:right w:val="single" w:color="auto" w:sz="4" w:space="0"/>
                  </w:tcBorders>
                  <w:shd w:val="clear" w:color="auto" w:fill="auto"/>
                  <w:vAlign w:val="center"/>
                </w:tcPr>
                <w:p w14:paraId="1080348A">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eastAsia" w:ascii="仿宋" w:hAnsi="仿宋" w:eastAsia="仿宋" w:cs="仿宋"/>
                      <w:color w:val="auto"/>
                      <w:sz w:val="21"/>
                      <w:szCs w:val="21"/>
                      <w:lang w:val="en-US"/>
                    </w:rPr>
                  </w:pPr>
                  <w:r>
                    <w:rPr>
                      <w:rFonts w:hint="eastAsia" w:ascii="仿宋" w:hAnsi="仿宋" w:eastAsia="仿宋" w:cs="仿宋"/>
                      <w:b/>
                      <w:bCs/>
                      <w:color w:val="auto"/>
                      <w:kern w:val="0"/>
                      <w:sz w:val="21"/>
                      <w:szCs w:val="21"/>
                      <w:lang w:val="en-US" w:eastAsia="zh-CN" w:bidi="ar"/>
                    </w:rPr>
                    <w:t>征用土地</w:t>
                  </w:r>
                </w:p>
              </w:tc>
              <w:tc>
                <w:tcPr>
                  <w:tcW w:w="3664" w:type="pct"/>
                  <w:tcBorders>
                    <w:top w:val="single" w:color="auto" w:sz="4" w:space="0"/>
                    <w:left w:val="single" w:color="auto" w:sz="4" w:space="0"/>
                    <w:bottom w:val="single" w:color="auto" w:sz="4" w:space="0"/>
                    <w:right w:val="single" w:color="auto" w:sz="4" w:space="0"/>
                  </w:tcBorders>
                  <w:shd w:val="clear" w:color="auto" w:fill="auto"/>
                  <w:vAlign w:val="center"/>
                </w:tcPr>
                <w:p w14:paraId="08512E21">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eastAsiaTheme="minorEastAsia"/>
                      <w:color w:val="auto"/>
                      <w:lang w:val="en-US" w:eastAsia="zh-CN"/>
                    </w:rPr>
                  </w:pPr>
                  <w:r>
                    <w:rPr>
                      <w:rFonts w:hint="eastAsia" w:ascii="Times New Roman" w:hAnsi="Times New Roman" w:eastAsia="仿宋" w:cs="Times New Roman"/>
                      <w:color w:val="auto"/>
                      <w:kern w:val="2"/>
                      <w:sz w:val="21"/>
                      <w:szCs w:val="21"/>
                      <w:lang w:val="en-US" w:eastAsia="zh-CN" w:bidi="ar-SA"/>
                    </w:rPr>
                    <w:t>征用金坛区西城街道办事处农民集体用地中耕地、草地、交通运输用地、水工建筑用地、水域及农村道路合计1.7272公顷</w:t>
                  </w:r>
                  <w:r>
                    <w:rPr>
                      <w:rFonts w:hint="eastAsia" w:eastAsia="仿宋" w:cs="Times New Roman"/>
                      <w:color w:val="auto"/>
                      <w:kern w:val="2"/>
                      <w:sz w:val="21"/>
                      <w:szCs w:val="21"/>
                      <w:lang w:val="en-US" w:eastAsia="zh-CN" w:bidi="ar-SA"/>
                    </w:rPr>
                    <w:t>，其中耕地0.1772公顷，草地0.1347公顷，交通运输用地0.0003公顷，水工建筑用地0.0817公顷，水域1.2716公顷。</w:t>
                  </w:r>
                </w:p>
              </w:tc>
            </w:tr>
            <w:tr w14:paraId="79177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gridSpan w:val="2"/>
                  <w:tcBorders>
                    <w:left w:val="single" w:color="auto" w:sz="4" w:space="0"/>
                    <w:right w:val="single" w:color="auto" w:sz="4" w:space="0"/>
                  </w:tcBorders>
                  <w:shd w:val="clear" w:color="auto" w:fill="auto"/>
                  <w:vAlign w:val="center"/>
                </w:tcPr>
                <w:p w14:paraId="51565D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仿宋" w:hAnsi="仿宋" w:eastAsia="仿宋" w:cs="仿宋"/>
                      <w:color w:val="auto"/>
                      <w:kern w:val="0"/>
                      <w:sz w:val="21"/>
                      <w:szCs w:val="21"/>
                      <w:lang w:val="en-US" w:eastAsia="zh-CN" w:bidi="ar"/>
                    </w:rPr>
                  </w:pPr>
                  <w:r>
                    <w:rPr>
                      <w:rFonts w:hint="eastAsia" w:ascii="仿宋" w:hAnsi="仿宋" w:eastAsia="仿宋" w:cs="仿宋"/>
                      <w:b/>
                      <w:bCs/>
                      <w:color w:val="auto"/>
                      <w:kern w:val="0"/>
                      <w:sz w:val="21"/>
                      <w:szCs w:val="21"/>
                      <w:lang w:val="en-US" w:eastAsia="zh-CN" w:bidi="ar"/>
                    </w:rPr>
                    <w:t>管线工程</w:t>
                  </w:r>
                </w:p>
              </w:tc>
              <w:tc>
                <w:tcPr>
                  <w:tcW w:w="3664" w:type="pct"/>
                  <w:tcBorders>
                    <w:top w:val="single" w:color="auto" w:sz="4" w:space="0"/>
                    <w:left w:val="single" w:color="auto" w:sz="4" w:space="0"/>
                    <w:bottom w:val="single" w:color="auto" w:sz="4" w:space="0"/>
                    <w:right w:val="single" w:color="auto" w:sz="4" w:space="0"/>
                  </w:tcBorders>
                  <w:shd w:val="clear" w:color="auto" w:fill="auto"/>
                  <w:vAlign w:val="center"/>
                </w:tcPr>
                <w:p w14:paraId="33C75756">
                  <w:pPr>
                    <w:pStyle w:val="19"/>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仿宋" w:hAnsi="仿宋" w:eastAsia="仿宋" w:cs="仿宋"/>
                      <w:color w:val="auto"/>
                      <w:kern w:val="0"/>
                      <w:sz w:val="21"/>
                      <w:szCs w:val="21"/>
                      <w:lang w:val="en-US" w:eastAsia="zh-CN" w:bidi="ar"/>
                    </w:rPr>
                  </w:pPr>
                  <w:r>
                    <w:rPr>
                      <w:rFonts w:hint="eastAsia" w:ascii="Times New Roman" w:hAnsi="Times New Roman" w:eastAsia="仿宋" w:cs="Times New Roman"/>
                      <w:color w:val="auto"/>
                      <w:kern w:val="2"/>
                      <w:sz w:val="21"/>
                      <w:szCs w:val="21"/>
                      <w:lang w:val="en-US" w:eastAsia="zh-CN" w:bidi="ar-SA"/>
                    </w:rPr>
                    <w:t>本工程道路范围内涉及的市政管线主要为给水、排水、电力、信息、燃气、路灯六种管线。</w:t>
                  </w:r>
                </w:p>
              </w:tc>
            </w:tr>
            <w:tr w14:paraId="286D4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gridSpan w:val="2"/>
                  <w:tcBorders>
                    <w:left w:val="single" w:color="auto" w:sz="4" w:space="0"/>
                    <w:bottom w:val="single" w:color="auto" w:sz="4" w:space="0"/>
                    <w:right w:val="single" w:color="auto" w:sz="4" w:space="0"/>
                  </w:tcBorders>
                  <w:shd w:val="clear" w:color="auto" w:fill="auto"/>
                  <w:vAlign w:val="center"/>
                </w:tcPr>
                <w:p w14:paraId="59F2188C">
                  <w:pPr>
                    <w:pStyle w:val="30"/>
                    <w:jc w:val="center"/>
                    <w:rPr>
                      <w:rFonts w:hint="eastAsia" w:ascii="Times New Roman" w:hAnsi="Times New Roman" w:eastAsia="仿宋" w:cs="Times New Roman"/>
                      <w:color w:val="auto"/>
                      <w:kern w:val="0"/>
                      <w:sz w:val="21"/>
                      <w:szCs w:val="21"/>
                      <w:lang w:val="en-US" w:eastAsia="zh-CN" w:bidi="ar"/>
                    </w:rPr>
                  </w:pPr>
                  <w:r>
                    <w:rPr>
                      <w:rFonts w:hint="eastAsia" w:ascii="仿宋" w:hAnsi="仿宋" w:eastAsia="仿宋" w:cs="仿宋"/>
                      <w:b/>
                      <w:bCs/>
                      <w:color w:val="auto"/>
                      <w:kern w:val="0"/>
                      <w:sz w:val="21"/>
                      <w:szCs w:val="21"/>
                      <w:lang w:val="en-US" w:eastAsia="zh-CN" w:bidi="ar"/>
                    </w:rPr>
                    <w:t>临时工程</w:t>
                  </w:r>
                </w:p>
              </w:tc>
              <w:tc>
                <w:tcPr>
                  <w:tcW w:w="3664" w:type="pct"/>
                  <w:tcBorders>
                    <w:top w:val="single" w:color="auto" w:sz="4" w:space="0"/>
                    <w:left w:val="single" w:color="auto" w:sz="4" w:space="0"/>
                    <w:bottom w:val="single" w:color="auto" w:sz="4" w:space="0"/>
                    <w:right w:val="single" w:color="auto" w:sz="4" w:space="0"/>
                  </w:tcBorders>
                  <w:shd w:val="clear" w:color="auto" w:fill="auto"/>
                  <w:vAlign w:val="center"/>
                </w:tcPr>
                <w:p w14:paraId="74564011">
                  <w:pPr>
                    <w:pStyle w:val="30"/>
                    <w:jc w:val="both"/>
                    <w:rPr>
                      <w:rFonts w:hint="eastAsia" w:ascii="Times New Roman" w:hAnsi="Times New Roman" w:eastAsia="仿宋" w:cs="Times New Roman"/>
                      <w:color w:val="auto"/>
                      <w:kern w:val="0"/>
                      <w:sz w:val="21"/>
                      <w:szCs w:val="21"/>
                      <w:lang w:val="en-US" w:eastAsia="zh-CN" w:bidi="ar"/>
                    </w:rPr>
                  </w:pPr>
                  <w:r>
                    <w:rPr>
                      <w:rFonts w:hint="eastAsia" w:ascii="Times New Roman" w:hAnsi="Times New Roman" w:eastAsia="仿宋" w:cs="Times New Roman"/>
                      <w:color w:val="auto"/>
                      <w:kern w:val="0"/>
                      <w:sz w:val="21"/>
                      <w:szCs w:val="21"/>
                      <w:lang w:val="en-US" w:eastAsia="zh-CN" w:bidi="ar"/>
                    </w:rPr>
                    <w:t>①施工建筑材料堆放区、机械临时堆放区以及隔油沉淀池均为临时工程，占地位于道路永久用地红线内。</w:t>
                  </w:r>
                </w:p>
                <w:p w14:paraId="4020B1AA">
                  <w:pPr>
                    <w:pStyle w:val="30"/>
                    <w:jc w:val="both"/>
                    <w:rPr>
                      <w:rFonts w:hint="eastAsia" w:ascii="Times New Roman" w:hAnsi="Times New Roman" w:eastAsia="仿宋" w:cs="Times New Roman"/>
                      <w:color w:val="auto"/>
                      <w:kern w:val="0"/>
                      <w:sz w:val="21"/>
                      <w:szCs w:val="21"/>
                      <w:lang w:val="en-US" w:eastAsia="zh-CN" w:bidi="ar"/>
                    </w:rPr>
                  </w:pPr>
                  <w:r>
                    <w:rPr>
                      <w:rFonts w:hint="eastAsia" w:ascii="Times New Roman" w:hAnsi="Times New Roman" w:eastAsia="仿宋" w:cs="Times New Roman"/>
                      <w:color w:val="auto"/>
                      <w:kern w:val="0"/>
                      <w:sz w:val="21"/>
                      <w:szCs w:val="21"/>
                      <w:lang w:val="en-US" w:eastAsia="zh-CN" w:bidi="ar"/>
                    </w:rPr>
                    <w:t>②本项目施工便道陆路部分利用现状老路，不新增施工便道。干法施工区域湖床部分铺设临时便道，施工结束后拆除。临时用地均位于施工用地范围内，不需要另行规划临时用地。</w:t>
                  </w:r>
                </w:p>
                <w:p w14:paraId="31A14D5E">
                  <w:pPr>
                    <w:pStyle w:val="30"/>
                    <w:jc w:val="both"/>
                    <w:rPr>
                      <w:rFonts w:hint="default" w:ascii="Times New Roman" w:hAnsi="Times New Roman" w:eastAsia="仿宋" w:cs="Times New Roman"/>
                      <w:color w:val="auto"/>
                      <w:kern w:val="0"/>
                      <w:sz w:val="21"/>
                      <w:szCs w:val="21"/>
                      <w:lang w:val="en-US" w:eastAsia="zh-CN" w:bidi="ar"/>
                    </w:rPr>
                  </w:pPr>
                  <w:r>
                    <w:rPr>
                      <w:rFonts w:hint="eastAsia" w:ascii="Times New Roman" w:hAnsi="Times New Roman" w:eastAsia="仿宋" w:cs="Times New Roman"/>
                      <w:color w:val="auto"/>
                      <w:kern w:val="0"/>
                      <w:sz w:val="21"/>
                      <w:szCs w:val="21"/>
                      <w:lang w:val="en-US" w:eastAsia="zh-CN" w:bidi="ar"/>
                    </w:rPr>
                    <w:t>③本项目依托项目区周边退田环湖残余土埂构筑围堰，施工结束后围堰整体拆除，弃土填埋至指定弃土场。</w:t>
                  </w:r>
                </w:p>
                <w:p w14:paraId="476ED64A">
                  <w:pPr>
                    <w:pStyle w:val="30"/>
                    <w:jc w:val="both"/>
                    <w:rPr>
                      <w:rFonts w:hint="eastAsia" w:ascii="Times New Roman" w:hAnsi="Times New Roman" w:eastAsia="仿宋" w:cs="Times New Roman"/>
                      <w:color w:val="auto"/>
                      <w:kern w:val="0"/>
                      <w:sz w:val="21"/>
                      <w:szCs w:val="21"/>
                      <w:lang w:val="en-US" w:eastAsia="zh-CN" w:bidi="ar"/>
                    </w:rPr>
                  </w:pPr>
                  <w:r>
                    <w:rPr>
                      <w:rFonts w:hint="eastAsia" w:ascii="仿宋" w:hAnsi="仿宋" w:eastAsia="仿宋" w:cs="仿宋"/>
                      <w:color w:val="auto"/>
                      <w:kern w:val="0"/>
                      <w:sz w:val="21"/>
                      <w:szCs w:val="21"/>
                      <w:lang w:val="en-US" w:eastAsia="zh-CN" w:bidi="ar"/>
                    </w:rPr>
                    <w:t>④</w:t>
                  </w:r>
                  <w:r>
                    <w:rPr>
                      <w:rFonts w:hint="eastAsia" w:ascii="Times New Roman" w:hAnsi="Times New Roman" w:eastAsia="仿宋" w:cs="Times New Roman"/>
                      <w:color w:val="auto"/>
                      <w:kern w:val="0"/>
                      <w:sz w:val="21"/>
                      <w:szCs w:val="21"/>
                      <w:lang w:val="en-US" w:eastAsia="zh-CN" w:bidi="ar"/>
                    </w:rPr>
                    <w:t>本项目施工人员住宿租用附近民房，不设置集中施工营地。</w:t>
                  </w:r>
                </w:p>
              </w:tc>
            </w:tr>
          </w:tbl>
          <w:p w14:paraId="01C93765">
            <w:pPr>
              <w:pStyle w:val="30"/>
              <w:widowControl w:val="0"/>
              <w:numPr>
                <w:ilvl w:val="0"/>
                <w:numId w:val="0"/>
              </w:numPr>
              <w:autoSpaceDE w:val="0"/>
              <w:autoSpaceDN w:val="0"/>
              <w:adjustRightInd w:val="0"/>
              <w:rPr>
                <w:rFonts w:hint="default" w:ascii="Times New Roman" w:hAnsi="Times New Roman" w:eastAsia="仿宋" w:cs="Times New Roman"/>
                <w:color w:val="auto"/>
                <w:kern w:val="2"/>
                <w:sz w:val="21"/>
                <w:szCs w:val="21"/>
                <w:highlight w:val="none"/>
                <w:lang w:val="en-US" w:eastAsia="zh-CN" w:bidi="ar-SA"/>
              </w:rPr>
            </w:pPr>
          </w:p>
        </w:tc>
      </w:tr>
      <w:tr w14:paraId="58D262DB">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6492" w:hRule="atLeast"/>
        </w:trPr>
        <w:tc>
          <w:tcPr>
            <w:tcW w:w="426" w:type="dxa"/>
            <w:tcBorders>
              <w:top w:val="single" w:color="auto" w:sz="4" w:space="0"/>
            </w:tcBorders>
            <w:vAlign w:val="center"/>
          </w:tcPr>
          <w:p w14:paraId="7D054CCA">
            <w:pPr>
              <w:pStyle w:val="30"/>
              <w:numPr>
                <w:ilvl w:val="0"/>
                <w:numId w:val="0"/>
              </w:numPr>
              <w:rPr>
                <w:rFonts w:hint="default" w:ascii="Times New Roman" w:hAnsi="Times New Roman" w:eastAsia="仿宋" w:cs="Times New Roman"/>
                <w:color w:val="auto"/>
                <w:kern w:val="2"/>
                <w:sz w:val="21"/>
                <w:szCs w:val="21"/>
                <w:highlight w:val="none"/>
                <w:lang w:val="en-US" w:eastAsia="zh-CN" w:bidi="ar-SA"/>
              </w:rPr>
            </w:pPr>
            <w:r>
              <w:rPr>
                <w:rFonts w:hint="eastAsia" w:ascii="Times New Roman" w:hAnsi="Times New Roman" w:eastAsia="仿宋" w:cs="Times New Roman"/>
                <w:color w:val="auto"/>
                <w:kern w:val="2"/>
                <w:sz w:val="21"/>
                <w:szCs w:val="21"/>
                <w:highlight w:val="none"/>
                <w:lang w:val="en-US" w:eastAsia="zh-CN" w:bidi="ar-SA"/>
              </w:rPr>
              <w:t>总平面图及现场布置</w:t>
            </w:r>
          </w:p>
        </w:tc>
        <w:tc>
          <w:tcPr>
            <w:tcW w:w="8532" w:type="dxa"/>
            <w:tcBorders>
              <w:top w:val="single" w:color="auto" w:sz="4" w:space="0"/>
            </w:tcBorders>
            <w:vAlign w:val="top"/>
          </w:tcPr>
          <w:p w14:paraId="1E36FD07">
            <w:pPr>
              <w:keepNext w:val="0"/>
              <w:keepLines w:val="0"/>
              <w:widowControl/>
              <w:suppressLineNumbers w:val="0"/>
              <w:ind w:left="0" w:leftChars="0" w:firstLine="0" w:firstLineChars="0"/>
              <w:jc w:val="left"/>
              <w:rPr>
                <w:color w:val="auto"/>
              </w:rPr>
            </w:pPr>
            <w:r>
              <w:rPr>
                <w:rFonts w:hint="eastAsia" w:eastAsia="仿宋" w:cstheme="minorBidi"/>
                <w:b/>
                <w:bCs/>
                <w:color w:val="auto"/>
                <w:kern w:val="0"/>
                <w:sz w:val="24"/>
                <w:szCs w:val="22"/>
                <w:highlight w:val="none"/>
                <w:lang w:val="en-US" w:eastAsia="zh-CN" w:bidi="ar-SA"/>
              </w:rPr>
              <w:t>一、</w:t>
            </w:r>
            <w:r>
              <w:rPr>
                <w:rFonts w:hint="eastAsia" w:ascii="Times New Roman" w:hAnsi="Times New Roman" w:eastAsia="仿宋" w:cstheme="minorBidi"/>
                <w:b/>
                <w:bCs/>
                <w:color w:val="auto"/>
                <w:kern w:val="0"/>
                <w:sz w:val="24"/>
                <w:szCs w:val="22"/>
                <w:highlight w:val="none"/>
                <w:lang w:val="en-US" w:eastAsia="zh-CN" w:bidi="ar-SA"/>
              </w:rPr>
              <w:t>总平面部及情况</w:t>
            </w:r>
          </w:p>
          <w:p w14:paraId="08651BE0">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本工程的主要任务是以相关地区规划为背景，新建应急疏散通道，通道周边两侧景观提升，总体布置见图2-3。</w:t>
            </w:r>
          </w:p>
          <w:p w14:paraId="76800DE5">
            <w:pPr>
              <w:pStyle w:val="2"/>
              <w:rPr>
                <w:rFonts w:hint="eastAsia"/>
                <w:lang w:val="en-US" w:eastAsia="zh-CN"/>
              </w:rPr>
            </w:pPr>
            <w:r>
              <w:drawing>
                <wp:inline distT="0" distB="0" distL="114300" distR="114300">
                  <wp:extent cx="5269865" cy="3939540"/>
                  <wp:effectExtent l="0" t="0" r="6985" b="381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2"/>
                          <a:stretch>
                            <a:fillRect/>
                          </a:stretch>
                        </pic:blipFill>
                        <pic:spPr>
                          <a:xfrm>
                            <a:off x="0" y="0"/>
                            <a:ext cx="5269865" cy="3939540"/>
                          </a:xfrm>
                          <a:prstGeom prst="rect">
                            <a:avLst/>
                          </a:prstGeom>
                          <a:noFill/>
                          <a:ln>
                            <a:noFill/>
                          </a:ln>
                        </pic:spPr>
                      </pic:pic>
                    </a:graphicData>
                  </a:graphic>
                </wp:inline>
              </w:drawing>
            </w:r>
          </w:p>
          <w:p w14:paraId="3CFFBFF2">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仿宋"/>
                <w:b/>
                <w:bCs/>
                <w:color w:val="auto"/>
                <w:kern w:val="0"/>
                <w:sz w:val="24"/>
                <w:highlight w:val="none"/>
                <w:lang w:val="en-US" w:eastAsia="zh-CN"/>
              </w:rPr>
            </w:pPr>
            <w:r>
              <w:rPr>
                <w:rFonts w:hint="eastAsia" w:eastAsia="仿宋"/>
                <w:b/>
                <w:bCs/>
                <w:color w:val="auto"/>
                <w:kern w:val="0"/>
                <w:sz w:val="24"/>
                <w:highlight w:val="none"/>
                <w:lang w:val="en-US" w:eastAsia="zh-CN"/>
              </w:rPr>
              <w:t>图2-3 总平面布置图</w:t>
            </w:r>
          </w:p>
          <w:p w14:paraId="061514D7">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default" w:eastAsia="仿宋"/>
                <w:color w:val="auto"/>
                <w:kern w:val="0"/>
                <w:sz w:val="24"/>
                <w:highlight w:val="none"/>
                <w:lang w:val="en-US" w:eastAsia="zh-CN"/>
              </w:rPr>
            </w:pPr>
            <w:r>
              <w:rPr>
                <w:rFonts w:hint="eastAsia" w:eastAsia="仿宋"/>
                <w:color w:val="auto"/>
                <w:kern w:val="0"/>
                <w:sz w:val="24"/>
                <w:highlight w:val="none"/>
                <w:lang w:val="en-US" w:eastAsia="zh-CN"/>
              </w:rPr>
              <w:t>1、应急疏散通道</w:t>
            </w:r>
          </w:p>
          <w:p w14:paraId="4CB91246">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default" w:eastAsia="仿宋"/>
                <w:color w:val="auto"/>
                <w:kern w:val="0"/>
                <w:sz w:val="24"/>
                <w:highlight w:val="none"/>
                <w:lang w:val="en-US" w:eastAsia="zh-CN"/>
              </w:rPr>
            </w:pPr>
            <w:r>
              <w:rPr>
                <w:rFonts w:hint="eastAsia" w:eastAsia="仿宋"/>
                <w:color w:val="auto"/>
                <w:kern w:val="0"/>
                <w:sz w:val="24"/>
                <w:highlight w:val="none"/>
                <w:lang w:val="en-US" w:eastAsia="zh-CN"/>
              </w:rPr>
              <w:t>新建应急疏散通道，桥长约606m，宽5~15m，桥面面积约1.7272公顷，基础占地1360m</w:t>
            </w:r>
            <w:r>
              <w:rPr>
                <w:rFonts w:hint="eastAsia" w:eastAsia="仿宋"/>
                <w:color w:val="auto"/>
                <w:kern w:val="0"/>
                <w:sz w:val="24"/>
                <w:highlight w:val="none"/>
                <w:vertAlign w:val="superscript"/>
                <w:lang w:val="en-US" w:eastAsia="zh-CN"/>
              </w:rPr>
              <w:t>2</w:t>
            </w:r>
            <w:r>
              <w:rPr>
                <w:rFonts w:hint="eastAsia" w:eastAsia="仿宋"/>
                <w:color w:val="auto"/>
                <w:kern w:val="0"/>
                <w:sz w:val="24"/>
                <w:highlight w:val="none"/>
                <w:lang w:val="en-US" w:eastAsia="zh-CN"/>
              </w:rPr>
              <w:t>。桥的平面图类似飘带，桥梁宽度为变宽度。针对这一特点，桥梁上部结构可采用钢箱梁结构。项目建设过程中混凝土均外购后由混凝土搅拌运输车运送至现场浇筑。应急疏散通道桥体为景观人行桥梁，使用主体是行人，应与场地步行系统有较好的联系，因此将步行桥的位置与现状人行道的位置相对应较为合适，且能在长荡湖音乐节等人员密集时段提供必要的应急避险通道。项目建成后将完善环湖绿道系统，居民步行、骑行的舒适性、安全性将得到大幅度提高。应急疏散通道东侧通过沥青铺装路面与河海大道相连，沥青路面设计见图2-6。</w:t>
            </w:r>
          </w:p>
          <w:p w14:paraId="6ABCF071">
            <w:pPr>
              <w:pStyle w:val="2"/>
              <w:rPr>
                <w:rFonts w:hint="eastAsia" w:eastAsia="仿宋"/>
                <w:color w:val="auto"/>
                <w:kern w:val="0"/>
                <w:sz w:val="24"/>
                <w:highlight w:val="none"/>
                <w:lang w:val="en-US" w:eastAsia="zh-CN"/>
              </w:rPr>
            </w:pPr>
            <w:r>
              <w:drawing>
                <wp:inline distT="0" distB="0" distL="114300" distR="114300">
                  <wp:extent cx="5280025" cy="2708910"/>
                  <wp:effectExtent l="0" t="0" r="15875" b="1524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23"/>
                          <a:stretch>
                            <a:fillRect/>
                          </a:stretch>
                        </pic:blipFill>
                        <pic:spPr>
                          <a:xfrm>
                            <a:off x="0" y="0"/>
                            <a:ext cx="5280025" cy="2708910"/>
                          </a:xfrm>
                          <a:prstGeom prst="rect">
                            <a:avLst/>
                          </a:prstGeom>
                          <a:noFill/>
                          <a:ln>
                            <a:noFill/>
                          </a:ln>
                        </pic:spPr>
                      </pic:pic>
                    </a:graphicData>
                  </a:graphic>
                </wp:inline>
              </w:drawing>
            </w:r>
          </w:p>
          <w:p w14:paraId="725A1CDE">
            <w:pPr>
              <w:pStyle w:val="2"/>
              <w:jc w:val="center"/>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图2-4 桥梁立面图（单位：cm）</w:t>
            </w:r>
          </w:p>
          <w:p w14:paraId="54ECAE97">
            <w:pPr>
              <w:ind w:left="0" w:leftChars="0" w:firstLine="0" w:firstLineChars="0"/>
              <w:jc w:val="center"/>
            </w:pPr>
            <w:r>
              <w:rPr>
                <w:sz w:val="28"/>
              </w:rPr>
              <mc:AlternateContent>
                <mc:Choice Requires="wps">
                  <w:drawing>
                    <wp:anchor distT="0" distB="0" distL="114300" distR="114300" simplePos="0" relativeHeight="251681792" behindDoc="0" locked="0" layoutInCell="1" allowOverlap="1">
                      <wp:simplePos x="0" y="0"/>
                      <wp:positionH relativeFrom="column">
                        <wp:posOffset>362585</wp:posOffset>
                      </wp:positionH>
                      <wp:positionV relativeFrom="paragraph">
                        <wp:posOffset>20320</wp:posOffset>
                      </wp:positionV>
                      <wp:extent cx="1152525" cy="354965"/>
                      <wp:effectExtent l="0" t="0" r="9525" b="6985"/>
                      <wp:wrapNone/>
                      <wp:docPr id="74" name="文本框 74"/>
                      <wp:cNvGraphicFramePr/>
                      <a:graphic xmlns:a="http://schemas.openxmlformats.org/drawingml/2006/main">
                        <a:graphicData uri="http://schemas.microsoft.com/office/word/2010/wordprocessingShape">
                          <wps:wsp>
                            <wps:cNvSpPr txBox="1"/>
                            <wps:spPr>
                              <a:xfrm>
                                <a:off x="0" y="0"/>
                                <a:ext cx="1152525" cy="3549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E652B0">
                                  <w:pPr>
                                    <w:ind w:left="0" w:leftChars="0" w:firstLine="0" w:firstLineChars="0"/>
                                    <w:rPr>
                                      <w:rFonts w:hint="default" w:ascii="Times New Roman" w:hAnsi="Times New Roman" w:eastAsia="仿宋" w:cstheme="minorBidi"/>
                                      <w:b/>
                                      <w:bCs/>
                                      <w:color w:val="auto"/>
                                      <w:kern w:val="0"/>
                                      <w:sz w:val="24"/>
                                      <w:szCs w:val="30"/>
                                      <w:highlight w:val="none"/>
                                      <w:lang w:val="en-US" w:eastAsia="zh-CN" w:bidi="ar-SA"/>
                                    </w:rPr>
                                  </w:pPr>
                                  <w:r>
                                    <w:rPr>
                                      <w:rFonts w:hint="eastAsia" w:eastAsia="仿宋" w:cstheme="minorBidi"/>
                                      <w:b/>
                                      <w:bCs/>
                                      <w:color w:val="auto"/>
                                      <w:kern w:val="0"/>
                                      <w:sz w:val="24"/>
                                      <w:szCs w:val="30"/>
                                      <w:highlight w:val="none"/>
                                      <w:lang w:val="en-US" w:eastAsia="zh-CN" w:bidi="ar-SA"/>
                                    </w:rPr>
                                    <w:t>标准</w:t>
                                  </w:r>
                                  <w:r>
                                    <w:rPr>
                                      <w:rFonts w:hint="eastAsia" w:ascii="Times New Roman" w:hAnsi="Times New Roman" w:eastAsia="仿宋" w:cstheme="minorBidi"/>
                                      <w:b/>
                                      <w:bCs/>
                                      <w:color w:val="auto"/>
                                      <w:kern w:val="0"/>
                                      <w:sz w:val="24"/>
                                      <w:szCs w:val="30"/>
                                      <w:highlight w:val="none"/>
                                      <w:lang w:val="en-US" w:eastAsia="zh-CN" w:bidi="ar-SA"/>
                                    </w:rPr>
                                    <w:t>断面</w:t>
                                  </w:r>
                                  <w:r>
                                    <w:rPr>
                                      <w:rFonts w:hint="eastAsia" w:eastAsia="仿宋" w:cstheme="minorBidi"/>
                                      <w:b/>
                                      <w:bCs/>
                                      <w:color w:val="auto"/>
                                      <w:kern w:val="0"/>
                                      <w:sz w:val="24"/>
                                      <w:szCs w:val="30"/>
                                      <w:highlight w:val="none"/>
                                      <w:lang w:val="en-US" w:eastAsia="zh-CN" w:bidi="ar-SA"/>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5pt;margin-top:1.6pt;height:27.95pt;width:90.75pt;z-index:251681792;mso-width-relative:page;mso-height-relative:page;" fillcolor="#FFFFFF [3201]" filled="t" stroked="f" coordsize="21600,21600" o:gfxdata="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ci+odIAAAAHAQAADwAAAAAAAAAB&#10;ACAAAAAiAAAAZHJzL2Rvd25yZXYueG1sUEsBAhQAFAAAAAgAh07iQOthicZPAgAAkQQAAA4AAAAA&#10;AAAAAQAgAAAAIQEAAGRycy9lMm9Eb2MueG1sUEsFBgAAAAAGAAYAWQEAAOIFAAAAAA==&#10;">
                      <v:fill on="t" focussize="0,0"/>
                      <v:stroke on="f" weight="0.5pt"/>
                      <v:imagedata o:title=""/>
                      <o:lock v:ext="edit" aspectratio="f"/>
                      <v:textbox>
                        <w:txbxContent>
                          <w:p w14:paraId="02E652B0">
                            <w:pPr>
                              <w:ind w:left="0" w:leftChars="0" w:firstLine="0" w:firstLineChars="0"/>
                              <w:rPr>
                                <w:rFonts w:hint="default" w:ascii="Times New Roman" w:hAnsi="Times New Roman" w:eastAsia="仿宋" w:cstheme="minorBidi"/>
                                <w:b/>
                                <w:bCs/>
                                <w:color w:val="auto"/>
                                <w:kern w:val="0"/>
                                <w:sz w:val="24"/>
                                <w:szCs w:val="30"/>
                                <w:highlight w:val="none"/>
                                <w:lang w:val="en-US" w:eastAsia="zh-CN" w:bidi="ar-SA"/>
                              </w:rPr>
                            </w:pPr>
                            <w:r>
                              <w:rPr>
                                <w:rFonts w:hint="eastAsia" w:eastAsia="仿宋" w:cstheme="minorBidi"/>
                                <w:b/>
                                <w:bCs/>
                                <w:color w:val="auto"/>
                                <w:kern w:val="0"/>
                                <w:sz w:val="24"/>
                                <w:szCs w:val="30"/>
                                <w:highlight w:val="none"/>
                                <w:lang w:val="en-US" w:eastAsia="zh-CN" w:bidi="ar-SA"/>
                              </w:rPr>
                              <w:t>标准</w:t>
                            </w:r>
                            <w:r>
                              <w:rPr>
                                <w:rFonts w:hint="eastAsia" w:ascii="Times New Roman" w:hAnsi="Times New Roman" w:eastAsia="仿宋" w:cstheme="minorBidi"/>
                                <w:b/>
                                <w:bCs/>
                                <w:color w:val="auto"/>
                                <w:kern w:val="0"/>
                                <w:sz w:val="24"/>
                                <w:szCs w:val="30"/>
                                <w:highlight w:val="none"/>
                                <w:lang w:val="en-US" w:eastAsia="zh-CN" w:bidi="ar-SA"/>
                              </w:rPr>
                              <w:t>断面</w:t>
                            </w:r>
                            <w:r>
                              <w:rPr>
                                <w:rFonts w:hint="eastAsia" w:eastAsia="仿宋" w:cstheme="minorBidi"/>
                                <w:b/>
                                <w:bCs/>
                                <w:color w:val="auto"/>
                                <w:kern w:val="0"/>
                                <w:sz w:val="24"/>
                                <w:szCs w:val="30"/>
                                <w:highlight w:val="none"/>
                                <w:lang w:val="en-US" w:eastAsia="zh-CN" w:bidi="ar-SA"/>
                              </w:rPr>
                              <w:t>：</w:t>
                            </w:r>
                          </w:p>
                        </w:txbxContent>
                      </v:textbox>
                    </v:shape>
                  </w:pict>
                </mc:Fallback>
              </mc:AlternateContent>
            </w:r>
            <w:r>
              <w:rPr>
                <w:sz w:val="28"/>
              </w:rPr>
              <mc:AlternateContent>
                <mc:Choice Requires="wps">
                  <w:drawing>
                    <wp:anchor distT="0" distB="0" distL="114300" distR="114300" simplePos="0" relativeHeight="251680768" behindDoc="0" locked="0" layoutInCell="1" allowOverlap="1">
                      <wp:simplePos x="0" y="0"/>
                      <wp:positionH relativeFrom="column">
                        <wp:posOffset>349885</wp:posOffset>
                      </wp:positionH>
                      <wp:positionV relativeFrom="paragraph">
                        <wp:posOffset>3053715</wp:posOffset>
                      </wp:positionV>
                      <wp:extent cx="1152525" cy="354965"/>
                      <wp:effectExtent l="0" t="0" r="9525" b="6985"/>
                      <wp:wrapNone/>
                      <wp:docPr id="73" name="文本框 73"/>
                      <wp:cNvGraphicFramePr/>
                      <a:graphic xmlns:a="http://schemas.openxmlformats.org/drawingml/2006/main">
                        <a:graphicData uri="http://schemas.microsoft.com/office/word/2010/wordprocessingShape">
                          <wps:wsp>
                            <wps:cNvSpPr txBox="1"/>
                            <wps:spPr>
                              <a:xfrm>
                                <a:off x="1571625" y="7150100"/>
                                <a:ext cx="1152525" cy="3549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E8614B0">
                                  <w:pPr>
                                    <w:ind w:left="0" w:leftChars="0" w:firstLine="0" w:firstLineChars="0"/>
                                    <w:rPr>
                                      <w:rFonts w:hint="default" w:ascii="Times New Roman" w:hAnsi="Times New Roman" w:eastAsia="仿宋" w:cstheme="minorBidi"/>
                                      <w:b/>
                                      <w:bCs/>
                                      <w:color w:val="auto"/>
                                      <w:kern w:val="0"/>
                                      <w:sz w:val="24"/>
                                      <w:szCs w:val="30"/>
                                      <w:highlight w:val="none"/>
                                      <w:lang w:val="en-US" w:eastAsia="zh-CN" w:bidi="ar-SA"/>
                                    </w:rPr>
                                  </w:pPr>
                                  <w:r>
                                    <w:rPr>
                                      <w:rFonts w:hint="eastAsia" w:ascii="Times New Roman" w:hAnsi="Times New Roman" w:eastAsia="仿宋" w:cstheme="minorBidi"/>
                                      <w:b/>
                                      <w:bCs/>
                                      <w:color w:val="auto"/>
                                      <w:kern w:val="0"/>
                                      <w:sz w:val="24"/>
                                      <w:szCs w:val="30"/>
                                      <w:highlight w:val="none"/>
                                      <w:lang w:val="en-US" w:eastAsia="zh-CN" w:bidi="ar-SA"/>
                                    </w:rPr>
                                    <w:t>变宽断面</w:t>
                                  </w:r>
                                  <w:r>
                                    <w:rPr>
                                      <w:rFonts w:hint="eastAsia" w:eastAsia="仿宋" w:cstheme="minorBidi"/>
                                      <w:b/>
                                      <w:bCs/>
                                      <w:color w:val="auto"/>
                                      <w:kern w:val="0"/>
                                      <w:sz w:val="24"/>
                                      <w:szCs w:val="30"/>
                                      <w:highlight w:val="none"/>
                                      <w:lang w:val="en-US" w:eastAsia="zh-CN" w:bidi="ar-SA"/>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5pt;margin-top:240.45pt;height:27.95pt;width:90.75pt;z-index:251680768;mso-width-relative:page;mso-height-relative:page;" fillcolor="#FFFFFF [3201]" filled="t" stroked="f" coordsize="21600,21600" o:gfxdata="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4KvaVtYA&#10;AAAKAQAADwAAAAAAAAABACAAAAAiAAAAZHJzL2Rvd25yZXYueG1sUEsBAhQAFAAAAAgAh07iQNS0&#10;ZUdaAgAAnQQAAA4AAAAAAAAAAQAgAAAAJQEAAGRycy9lMm9Eb2MueG1sUEsFBgAAAAAGAAYAWQEA&#10;APEFAAAAAA==&#10;">
                      <v:fill on="t" focussize="0,0"/>
                      <v:stroke on="f" weight="0.5pt"/>
                      <v:imagedata o:title=""/>
                      <o:lock v:ext="edit" aspectratio="f"/>
                      <v:textbox>
                        <w:txbxContent>
                          <w:p w14:paraId="1E8614B0">
                            <w:pPr>
                              <w:ind w:left="0" w:leftChars="0" w:firstLine="0" w:firstLineChars="0"/>
                              <w:rPr>
                                <w:rFonts w:hint="default" w:ascii="Times New Roman" w:hAnsi="Times New Roman" w:eastAsia="仿宋" w:cstheme="minorBidi"/>
                                <w:b/>
                                <w:bCs/>
                                <w:color w:val="auto"/>
                                <w:kern w:val="0"/>
                                <w:sz w:val="24"/>
                                <w:szCs w:val="30"/>
                                <w:highlight w:val="none"/>
                                <w:lang w:val="en-US" w:eastAsia="zh-CN" w:bidi="ar-SA"/>
                              </w:rPr>
                            </w:pPr>
                            <w:r>
                              <w:rPr>
                                <w:rFonts w:hint="eastAsia" w:ascii="Times New Roman" w:hAnsi="Times New Roman" w:eastAsia="仿宋" w:cstheme="minorBidi"/>
                                <w:b/>
                                <w:bCs/>
                                <w:color w:val="auto"/>
                                <w:kern w:val="0"/>
                                <w:sz w:val="24"/>
                                <w:szCs w:val="30"/>
                                <w:highlight w:val="none"/>
                                <w:lang w:val="en-US" w:eastAsia="zh-CN" w:bidi="ar-SA"/>
                              </w:rPr>
                              <w:t>变宽断面</w:t>
                            </w:r>
                            <w:r>
                              <w:rPr>
                                <w:rFonts w:hint="eastAsia" w:eastAsia="仿宋" w:cstheme="minorBidi"/>
                                <w:b/>
                                <w:bCs/>
                                <w:color w:val="auto"/>
                                <w:kern w:val="0"/>
                                <w:sz w:val="24"/>
                                <w:szCs w:val="30"/>
                                <w:highlight w:val="none"/>
                                <w:lang w:val="en-US" w:eastAsia="zh-CN" w:bidi="ar-SA"/>
                              </w:rPr>
                              <w:t>：</w:t>
                            </w:r>
                          </w:p>
                        </w:txbxContent>
                      </v:textbox>
                    </v:shape>
                  </w:pict>
                </mc:Fallback>
              </mc:AlternateContent>
            </w:r>
            <w:r>
              <w:drawing>
                <wp:inline distT="0" distB="0" distL="114300" distR="114300">
                  <wp:extent cx="3815715" cy="3148965"/>
                  <wp:effectExtent l="0" t="0" r="13335" b="13335"/>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24"/>
                          <a:stretch>
                            <a:fillRect/>
                          </a:stretch>
                        </pic:blipFill>
                        <pic:spPr>
                          <a:xfrm>
                            <a:off x="0" y="0"/>
                            <a:ext cx="3815715" cy="3148965"/>
                          </a:xfrm>
                          <a:prstGeom prst="rect">
                            <a:avLst/>
                          </a:prstGeom>
                          <a:noFill/>
                          <a:ln>
                            <a:noFill/>
                          </a:ln>
                        </pic:spPr>
                      </pic:pic>
                    </a:graphicData>
                  </a:graphic>
                </wp:inline>
              </w:drawing>
            </w:r>
          </w:p>
          <w:p w14:paraId="6BAD160C">
            <w:pPr>
              <w:pStyle w:val="2"/>
              <w:rPr>
                <w:rFonts w:hint="eastAsia"/>
                <w:lang w:val="en-US" w:eastAsia="zh-CN"/>
              </w:rPr>
            </w:pPr>
            <w:r>
              <w:drawing>
                <wp:inline distT="0" distB="0" distL="114300" distR="114300">
                  <wp:extent cx="5274310" cy="968375"/>
                  <wp:effectExtent l="0" t="0" r="2540" b="317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25"/>
                          <a:stretch>
                            <a:fillRect/>
                          </a:stretch>
                        </pic:blipFill>
                        <pic:spPr>
                          <a:xfrm>
                            <a:off x="0" y="0"/>
                            <a:ext cx="5274310" cy="968375"/>
                          </a:xfrm>
                          <a:prstGeom prst="rect">
                            <a:avLst/>
                          </a:prstGeom>
                          <a:noFill/>
                          <a:ln>
                            <a:noFill/>
                          </a:ln>
                        </pic:spPr>
                      </pic:pic>
                    </a:graphicData>
                  </a:graphic>
                </wp:inline>
              </w:drawing>
            </w:r>
          </w:p>
          <w:p w14:paraId="0AAFD9AE">
            <w:pPr>
              <w:pStyle w:val="2"/>
              <w:jc w:val="center"/>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图2-5 桥梁断面图（单位：cm）</w:t>
            </w:r>
          </w:p>
          <w:p w14:paraId="1704A899">
            <w:pPr>
              <w:ind w:left="0" w:leftChars="0" w:firstLine="0" w:firstLineChars="0"/>
              <w:jc w:val="center"/>
              <w:rPr>
                <w:rFonts w:hint="eastAsia" w:eastAsia="仿宋"/>
                <w:color w:val="auto"/>
                <w:kern w:val="0"/>
                <w:sz w:val="24"/>
                <w:highlight w:val="none"/>
                <w:lang w:val="en-US" w:eastAsia="zh-CN"/>
              </w:rPr>
            </w:pPr>
            <w:r>
              <w:drawing>
                <wp:inline distT="0" distB="0" distL="114300" distR="114300">
                  <wp:extent cx="5278755" cy="2451735"/>
                  <wp:effectExtent l="0" t="0" r="17145" b="571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26"/>
                          <a:stretch>
                            <a:fillRect/>
                          </a:stretch>
                        </pic:blipFill>
                        <pic:spPr>
                          <a:xfrm>
                            <a:off x="0" y="0"/>
                            <a:ext cx="5278755" cy="2451735"/>
                          </a:xfrm>
                          <a:prstGeom prst="rect">
                            <a:avLst/>
                          </a:prstGeom>
                          <a:noFill/>
                          <a:ln>
                            <a:noFill/>
                          </a:ln>
                        </pic:spPr>
                      </pic:pic>
                    </a:graphicData>
                  </a:graphic>
                </wp:inline>
              </w:drawing>
            </w:r>
          </w:p>
          <w:p w14:paraId="0044B1AF">
            <w:pPr>
              <w:pStyle w:val="2"/>
              <w:jc w:val="center"/>
              <w:rPr>
                <w:rFonts w:hint="default"/>
                <w:lang w:val="en-US" w:eastAsia="zh-CN"/>
              </w:rPr>
            </w:pPr>
            <w:r>
              <w:rPr>
                <w:rFonts w:hint="eastAsia" w:eastAsia="仿宋"/>
                <w:color w:val="auto"/>
                <w:kern w:val="0"/>
                <w:sz w:val="24"/>
                <w:highlight w:val="none"/>
                <w:lang w:val="en-US" w:eastAsia="zh-CN"/>
              </w:rPr>
              <w:t>图2-6 沥青铺装路面剖面图</w:t>
            </w:r>
          </w:p>
          <w:p w14:paraId="5F7D6178">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2、桥体周边景观提升</w:t>
            </w:r>
          </w:p>
          <w:p w14:paraId="62E0F4BF">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应急疏散通道桥体周边边两侧空间适当设置一些木廊和挑台，创造可供市民休闲、停留、赏景的休憩空间；步行桥下部连接生态浮岛，增加亲水生态景观。</w:t>
            </w:r>
          </w:p>
          <w:p w14:paraId="482A4D5D">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南岸景观较好，可以在石墩上架设挑台，使其变成可使用空间，供路人休憩使用，也为南岸的长荡湖等景观提供了较好的观景节点。通过桥面曲线与周边岸线及既有道路的整合，营造自然、协调的岸线景观。增加标识标牌。明确整体风格，进行界定空间元素的创意、整合，通过恰当的色调、图形、材料来把握环境与标识信息传达的一致性。</w:t>
            </w:r>
          </w:p>
          <w:p w14:paraId="298616FE">
            <w:pPr>
              <w:keepNext w:val="0"/>
              <w:keepLines w:val="0"/>
              <w:pageBreakBefore w:val="0"/>
              <w:widowControl/>
              <w:kinsoku/>
              <w:wordWrap/>
              <w:overflowPunct/>
              <w:topLinePunct w:val="0"/>
              <w:autoSpaceDE/>
              <w:autoSpaceDN/>
              <w:bidi w:val="0"/>
              <w:adjustRightInd/>
              <w:snapToGrid/>
              <w:ind w:left="0" w:leftChars="0" w:firstLine="0" w:firstLineChars="0"/>
              <w:jc w:val="left"/>
              <w:textAlignment w:val="auto"/>
              <w:rPr>
                <w:rFonts w:hint="eastAsia" w:eastAsia="仿宋"/>
                <w:color w:val="auto"/>
                <w:kern w:val="0"/>
                <w:sz w:val="24"/>
                <w:highlight w:val="none"/>
                <w:lang w:val="en-US" w:eastAsia="zh-CN"/>
              </w:rPr>
            </w:pPr>
            <w:r>
              <w:drawing>
                <wp:inline distT="0" distB="0" distL="114300" distR="114300">
                  <wp:extent cx="5281295" cy="2759710"/>
                  <wp:effectExtent l="0" t="0" r="14605" b="254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27"/>
                          <a:stretch>
                            <a:fillRect/>
                          </a:stretch>
                        </pic:blipFill>
                        <pic:spPr>
                          <a:xfrm>
                            <a:off x="0" y="0"/>
                            <a:ext cx="5281295" cy="2759710"/>
                          </a:xfrm>
                          <a:prstGeom prst="rect">
                            <a:avLst/>
                          </a:prstGeom>
                          <a:noFill/>
                          <a:ln>
                            <a:noFill/>
                          </a:ln>
                        </pic:spPr>
                      </pic:pic>
                    </a:graphicData>
                  </a:graphic>
                </wp:inline>
              </w:drawing>
            </w:r>
          </w:p>
          <w:p w14:paraId="10A66DDD">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 w:cs="Times New Roman"/>
                <w:b/>
                <w:bCs/>
                <w:color w:val="auto"/>
                <w:kern w:val="0"/>
                <w:sz w:val="24"/>
                <w:highlight w:val="none"/>
                <w:lang w:val="en-US" w:eastAsia="zh-CN"/>
              </w:rPr>
            </w:pPr>
            <w:r>
              <w:rPr>
                <w:rFonts w:hint="eastAsia" w:eastAsia="仿宋"/>
                <w:b/>
                <w:bCs/>
                <w:color w:val="auto"/>
                <w:kern w:val="0"/>
                <w:sz w:val="24"/>
                <w:highlight w:val="none"/>
                <w:lang w:val="en-US" w:eastAsia="zh-CN"/>
              </w:rPr>
              <w:t>图2-7 效果鸟瞰图</w:t>
            </w:r>
          </w:p>
          <w:p w14:paraId="7F0C5127">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default"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项目工程统计如下表。</w:t>
            </w:r>
          </w:p>
          <w:p w14:paraId="2DAB7801">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4"/>
                <w:highlight w:val="none"/>
                <w:lang w:val="en-US" w:eastAsia="zh-CN"/>
              </w:rPr>
            </w:pPr>
            <w:r>
              <w:rPr>
                <w:rFonts w:hint="default" w:ascii="Times New Roman" w:hAnsi="Times New Roman" w:eastAsia="仿宋" w:cs="Times New Roman"/>
                <w:b/>
                <w:bCs/>
                <w:color w:val="auto"/>
                <w:kern w:val="0"/>
                <w:sz w:val="24"/>
                <w:highlight w:val="none"/>
                <w:lang w:val="en-US" w:eastAsia="zh-CN"/>
              </w:rPr>
              <w:t>表2-</w:t>
            </w:r>
            <w:r>
              <w:rPr>
                <w:rFonts w:hint="eastAsia" w:ascii="Times New Roman" w:hAnsi="Times New Roman" w:eastAsia="仿宋" w:cs="Times New Roman"/>
                <w:b/>
                <w:bCs/>
                <w:color w:val="auto"/>
                <w:kern w:val="0"/>
                <w:sz w:val="24"/>
                <w:highlight w:val="none"/>
                <w:lang w:val="en-US" w:eastAsia="zh-CN"/>
              </w:rPr>
              <w:t>3</w:t>
            </w:r>
            <w:r>
              <w:rPr>
                <w:rFonts w:hint="default" w:ascii="Times New Roman" w:hAnsi="Times New Roman" w:eastAsia="仿宋" w:cs="Times New Roman"/>
                <w:b/>
                <w:bCs/>
                <w:color w:val="auto"/>
                <w:kern w:val="0"/>
                <w:sz w:val="24"/>
                <w:highlight w:val="none"/>
                <w:lang w:val="en-US" w:eastAsia="zh-CN"/>
              </w:rPr>
              <w:t xml:space="preserve"> 工程统计表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1427"/>
              <w:gridCol w:w="3349"/>
              <w:gridCol w:w="724"/>
              <w:gridCol w:w="1000"/>
              <w:gridCol w:w="1002"/>
            </w:tblGrid>
            <w:tr w14:paraId="60993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04" w:type="dxa"/>
                  <w:vAlign w:val="center"/>
                </w:tcPr>
                <w:p w14:paraId="11E08533">
                  <w:pPr>
                    <w:pStyle w:val="30"/>
                    <w:jc w:val="center"/>
                    <w:rPr>
                      <w:rFonts w:hint="default" w:ascii="Times New Roman" w:hAnsi="Times New Roman" w:eastAsia="仿宋" w:cs="Times New Roman"/>
                      <w:b/>
                      <w:bCs/>
                      <w:color w:val="auto"/>
                      <w:kern w:val="0"/>
                      <w:sz w:val="21"/>
                      <w:szCs w:val="21"/>
                      <w:highlight w:val="none"/>
                      <w:vertAlign w:val="baseline"/>
                      <w:lang w:val="en-US" w:eastAsia="zh-CN"/>
                    </w:rPr>
                  </w:pPr>
                  <w:r>
                    <w:rPr>
                      <w:rFonts w:hint="default" w:ascii="Times New Roman" w:hAnsi="Times New Roman" w:eastAsia="仿宋" w:cs="Times New Roman"/>
                      <w:b/>
                      <w:bCs/>
                      <w:color w:val="auto"/>
                      <w:kern w:val="0"/>
                      <w:sz w:val="21"/>
                      <w:szCs w:val="21"/>
                      <w:highlight w:val="none"/>
                      <w:vertAlign w:val="baseline"/>
                      <w:lang w:val="en-US" w:eastAsia="zh-CN"/>
                    </w:rPr>
                    <w:t>序号</w:t>
                  </w:r>
                </w:p>
              </w:tc>
              <w:tc>
                <w:tcPr>
                  <w:tcW w:w="1427" w:type="dxa"/>
                  <w:vAlign w:val="center"/>
                </w:tcPr>
                <w:p w14:paraId="05A3FF40">
                  <w:pPr>
                    <w:pStyle w:val="30"/>
                    <w:jc w:val="center"/>
                    <w:rPr>
                      <w:rFonts w:hint="default" w:ascii="Times New Roman" w:hAnsi="Times New Roman" w:eastAsia="仿宋" w:cs="Times New Roman"/>
                      <w:b/>
                      <w:bCs/>
                      <w:color w:val="auto"/>
                      <w:kern w:val="0"/>
                      <w:sz w:val="21"/>
                      <w:szCs w:val="21"/>
                      <w:highlight w:val="none"/>
                      <w:vertAlign w:val="baseline"/>
                      <w:lang w:val="en-US" w:eastAsia="zh-CN"/>
                    </w:rPr>
                  </w:pPr>
                  <w:r>
                    <w:rPr>
                      <w:rFonts w:hint="default" w:ascii="Times New Roman" w:hAnsi="Times New Roman" w:eastAsia="仿宋" w:cs="Times New Roman"/>
                      <w:b/>
                      <w:bCs/>
                      <w:color w:val="auto"/>
                      <w:kern w:val="0"/>
                      <w:sz w:val="21"/>
                      <w:szCs w:val="21"/>
                      <w:highlight w:val="none"/>
                      <w:vertAlign w:val="baseline"/>
                      <w:lang w:val="en-US" w:eastAsia="zh-CN"/>
                    </w:rPr>
                    <w:t>项目名称</w:t>
                  </w:r>
                </w:p>
              </w:tc>
              <w:tc>
                <w:tcPr>
                  <w:tcW w:w="3349" w:type="dxa"/>
                  <w:vAlign w:val="center"/>
                </w:tcPr>
                <w:p w14:paraId="11DE5E2C">
                  <w:pPr>
                    <w:pStyle w:val="30"/>
                    <w:jc w:val="center"/>
                    <w:rPr>
                      <w:rFonts w:hint="default" w:ascii="Times New Roman" w:hAnsi="Times New Roman" w:eastAsia="仿宋" w:cs="Times New Roman"/>
                      <w:b/>
                      <w:bCs/>
                      <w:color w:val="auto"/>
                      <w:kern w:val="0"/>
                      <w:sz w:val="21"/>
                      <w:szCs w:val="21"/>
                      <w:highlight w:val="none"/>
                      <w:vertAlign w:val="baseline"/>
                      <w:lang w:val="en-US" w:eastAsia="zh-CN"/>
                    </w:rPr>
                  </w:pPr>
                  <w:r>
                    <w:rPr>
                      <w:rFonts w:hint="default" w:ascii="Times New Roman" w:hAnsi="Times New Roman" w:eastAsia="仿宋" w:cs="Times New Roman"/>
                      <w:b/>
                      <w:bCs/>
                      <w:color w:val="auto"/>
                      <w:kern w:val="0"/>
                      <w:sz w:val="21"/>
                      <w:szCs w:val="21"/>
                      <w:highlight w:val="none"/>
                      <w:vertAlign w:val="baseline"/>
                      <w:lang w:val="en-US" w:eastAsia="zh-CN"/>
                    </w:rPr>
                    <w:t>规格型号</w:t>
                  </w:r>
                </w:p>
              </w:tc>
              <w:tc>
                <w:tcPr>
                  <w:tcW w:w="724" w:type="dxa"/>
                  <w:vAlign w:val="center"/>
                </w:tcPr>
                <w:p w14:paraId="30391080">
                  <w:pPr>
                    <w:pStyle w:val="30"/>
                    <w:jc w:val="center"/>
                    <w:rPr>
                      <w:rFonts w:hint="default" w:ascii="Times New Roman" w:hAnsi="Times New Roman" w:eastAsia="仿宋" w:cs="Times New Roman"/>
                      <w:b/>
                      <w:bCs/>
                      <w:color w:val="auto"/>
                      <w:kern w:val="0"/>
                      <w:sz w:val="21"/>
                      <w:szCs w:val="21"/>
                      <w:highlight w:val="none"/>
                      <w:vertAlign w:val="baseline"/>
                      <w:lang w:val="en-US" w:eastAsia="zh-CN"/>
                    </w:rPr>
                  </w:pPr>
                  <w:r>
                    <w:rPr>
                      <w:rFonts w:hint="default" w:ascii="Times New Roman" w:hAnsi="Times New Roman" w:eastAsia="仿宋" w:cs="Times New Roman"/>
                      <w:b/>
                      <w:bCs/>
                      <w:color w:val="auto"/>
                      <w:kern w:val="0"/>
                      <w:sz w:val="21"/>
                      <w:szCs w:val="21"/>
                      <w:highlight w:val="none"/>
                      <w:vertAlign w:val="baseline"/>
                      <w:lang w:val="en-US" w:eastAsia="zh-CN"/>
                    </w:rPr>
                    <w:t>单位</w:t>
                  </w:r>
                </w:p>
              </w:tc>
              <w:tc>
                <w:tcPr>
                  <w:tcW w:w="1000" w:type="dxa"/>
                  <w:vAlign w:val="center"/>
                </w:tcPr>
                <w:p w14:paraId="23F5E714">
                  <w:pPr>
                    <w:pStyle w:val="30"/>
                    <w:jc w:val="center"/>
                    <w:rPr>
                      <w:rFonts w:hint="default" w:ascii="Times New Roman" w:hAnsi="Times New Roman" w:eastAsia="仿宋" w:cs="Times New Roman"/>
                      <w:b/>
                      <w:bCs/>
                      <w:color w:val="auto"/>
                      <w:kern w:val="0"/>
                      <w:sz w:val="21"/>
                      <w:szCs w:val="21"/>
                      <w:highlight w:val="none"/>
                      <w:vertAlign w:val="baseline"/>
                      <w:lang w:val="en-US" w:eastAsia="zh-CN"/>
                    </w:rPr>
                  </w:pPr>
                  <w:r>
                    <w:rPr>
                      <w:rFonts w:hint="default" w:ascii="Times New Roman" w:hAnsi="Times New Roman" w:eastAsia="仿宋" w:cs="Times New Roman"/>
                      <w:b/>
                      <w:bCs/>
                      <w:color w:val="auto"/>
                      <w:kern w:val="0"/>
                      <w:sz w:val="21"/>
                      <w:szCs w:val="21"/>
                      <w:highlight w:val="none"/>
                      <w:vertAlign w:val="baseline"/>
                      <w:lang w:val="en-US" w:eastAsia="zh-CN"/>
                    </w:rPr>
                    <w:t>数量</w:t>
                  </w:r>
                </w:p>
              </w:tc>
              <w:tc>
                <w:tcPr>
                  <w:tcW w:w="1002" w:type="dxa"/>
                  <w:vAlign w:val="center"/>
                </w:tcPr>
                <w:p w14:paraId="4A26D8CF">
                  <w:pPr>
                    <w:pStyle w:val="30"/>
                    <w:jc w:val="center"/>
                    <w:rPr>
                      <w:rFonts w:hint="default" w:ascii="Times New Roman" w:hAnsi="Times New Roman" w:eastAsia="仿宋" w:cs="Times New Roman"/>
                      <w:b/>
                      <w:bCs/>
                      <w:color w:val="auto"/>
                      <w:kern w:val="0"/>
                      <w:sz w:val="21"/>
                      <w:szCs w:val="21"/>
                      <w:highlight w:val="none"/>
                      <w:vertAlign w:val="baseline"/>
                      <w:lang w:val="en-US" w:eastAsia="zh-CN"/>
                    </w:rPr>
                  </w:pPr>
                  <w:r>
                    <w:rPr>
                      <w:rFonts w:hint="default" w:ascii="Times New Roman" w:hAnsi="Times New Roman" w:eastAsia="仿宋" w:cs="Times New Roman"/>
                      <w:b/>
                      <w:bCs/>
                      <w:color w:val="auto"/>
                      <w:kern w:val="0"/>
                      <w:sz w:val="21"/>
                      <w:szCs w:val="21"/>
                      <w:highlight w:val="none"/>
                      <w:vertAlign w:val="baseline"/>
                      <w:lang w:val="en-US" w:eastAsia="zh-CN"/>
                    </w:rPr>
                    <w:t>备注</w:t>
                  </w:r>
                </w:p>
              </w:tc>
            </w:tr>
            <w:tr w14:paraId="73836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176774DE">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1</w:t>
                  </w:r>
                </w:p>
              </w:tc>
              <w:tc>
                <w:tcPr>
                  <w:tcW w:w="1427" w:type="dxa"/>
                  <w:vAlign w:val="center"/>
                </w:tcPr>
                <w:p w14:paraId="361C5B3F">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桥台</w:t>
                  </w:r>
                </w:p>
              </w:tc>
              <w:tc>
                <w:tcPr>
                  <w:tcW w:w="3349" w:type="dxa"/>
                  <w:vAlign w:val="center"/>
                </w:tcPr>
                <w:p w14:paraId="47679F19">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孔跨2.15m</w:t>
                  </w:r>
                </w:p>
              </w:tc>
              <w:tc>
                <w:tcPr>
                  <w:tcW w:w="724" w:type="dxa"/>
                  <w:vAlign w:val="center"/>
                </w:tcPr>
                <w:p w14:paraId="5B732DE7">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b w:val="0"/>
                      <w:bCs w:val="0"/>
                      <w:color w:val="auto"/>
                      <w:kern w:val="0"/>
                      <w:sz w:val="21"/>
                      <w:szCs w:val="21"/>
                      <w:highlight w:val="none"/>
                      <w:vertAlign w:val="baseline"/>
                      <w:lang w:val="en-US" w:eastAsia="zh-CN" w:bidi="ar"/>
                    </w:rPr>
                    <w:t>个</w:t>
                  </w:r>
                </w:p>
              </w:tc>
              <w:tc>
                <w:tcPr>
                  <w:tcW w:w="1000" w:type="dxa"/>
                  <w:vAlign w:val="center"/>
                </w:tcPr>
                <w:p w14:paraId="3AAFE352">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2</w:t>
                  </w:r>
                </w:p>
              </w:tc>
              <w:tc>
                <w:tcPr>
                  <w:tcW w:w="1002" w:type="dxa"/>
                  <w:vAlign w:val="center"/>
                </w:tcPr>
                <w:p w14:paraId="00EF6E21">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7B281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005F05F3">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2</w:t>
                  </w:r>
                </w:p>
              </w:tc>
              <w:tc>
                <w:tcPr>
                  <w:tcW w:w="1427" w:type="dxa"/>
                  <w:vAlign w:val="center"/>
                </w:tcPr>
                <w:p w14:paraId="1470BB8B">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钢箱梁</w:t>
                  </w:r>
                </w:p>
              </w:tc>
              <w:tc>
                <w:tcPr>
                  <w:tcW w:w="3349" w:type="dxa"/>
                  <w:vAlign w:val="center"/>
                </w:tcPr>
                <w:p w14:paraId="18094A92">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Q355C钢，一联3*20m长，宽度随桥面设计调整，高0.8m</w:t>
                  </w:r>
                </w:p>
              </w:tc>
              <w:tc>
                <w:tcPr>
                  <w:tcW w:w="724" w:type="dxa"/>
                  <w:vAlign w:val="center"/>
                </w:tcPr>
                <w:p w14:paraId="1542BA3B">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b w:val="0"/>
                      <w:bCs w:val="0"/>
                      <w:color w:val="auto"/>
                      <w:kern w:val="0"/>
                      <w:sz w:val="21"/>
                      <w:szCs w:val="21"/>
                      <w:highlight w:val="none"/>
                      <w:vertAlign w:val="baseline"/>
                      <w:lang w:val="en-US" w:eastAsia="zh-CN" w:bidi="ar"/>
                    </w:rPr>
                    <w:t>联</w:t>
                  </w:r>
                </w:p>
              </w:tc>
              <w:tc>
                <w:tcPr>
                  <w:tcW w:w="1000" w:type="dxa"/>
                  <w:vAlign w:val="center"/>
                </w:tcPr>
                <w:p w14:paraId="7361EFDB">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10</w:t>
                  </w:r>
                </w:p>
              </w:tc>
              <w:tc>
                <w:tcPr>
                  <w:tcW w:w="1002" w:type="dxa"/>
                  <w:vAlign w:val="center"/>
                </w:tcPr>
                <w:p w14:paraId="1BFB3D9D">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4438E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04468021">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3</w:t>
                  </w:r>
                </w:p>
              </w:tc>
              <w:tc>
                <w:tcPr>
                  <w:tcW w:w="1427" w:type="dxa"/>
                  <w:vAlign w:val="center"/>
                </w:tcPr>
                <w:p w14:paraId="38949635">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边墩</w:t>
                  </w:r>
                </w:p>
              </w:tc>
              <w:tc>
                <w:tcPr>
                  <w:tcW w:w="3349" w:type="dxa"/>
                  <w:vAlign w:val="center"/>
                </w:tcPr>
                <w:p w14:paraId="3ABB3F0B">
                  <w:pPr>
                    <w:pStyle w:val="30"/>
                    <w:keepNext w:val="0"/>
                    <w:keepLines w:val="0"/>
                    <w:pageBreakBefore w:val="0"/>
                    <w:widowControl w:val="0"/>
                    <w:kinsoku/>
                    <w:wordWrap w:val="0"/>
                    <w:overflowPunct/>
                    <w:topLinePunct w:val="0"/>
                    <w:autoSpaceDE w:val="0"/>
                    <w:autoSpaceDN w:val="0"/>
                    <w:bidi w:val="0"/>
                    <w:adjustRightInd w:val="0"/>
                    <w:snapToGrid/>
                    <w:jc w:val="center"/>
                    <w:textAlignment w:val="auto"/>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 xml:space="preserve"> Y 形钢混组合结构桥墩，设置支撑主梁，Y 形分叉距离2.5m，总高3m，基础钻孔桩直径1.3m，深3m。</w:t>
                  </w:r>
                </w:p>
              </w:tc>
              <w:tc>
                <w:tcPr>
                  <w:tcW w:w="724" w:type="dxa"/>
                  <w:vAlign w:val="center"/>
                </w:tcPr>
                <w:p w14:paraId="690A30AB">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个</w:t>
                  </w:r>
                </w:p>
              </w:tc>
              <w:tc>
                <w:tcPr>
                  <w:tcW w:w="1000" w:type="dxa"/>
                  <w:vAlign w:val="center"/>
                </w:tcPr>
                <w:p w14:paraId="238A2EA5">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4</w:t>
                  </w:r>
                </w:p>
              </w:tc>
              <w:tc>
                <w:tcPr>
                  <w:tcW w:w="1002" w:type="dxa"/>
                  <w:vAlign w:val="center"/>
                </w:tcPr>
                <w:p w14:paraId="04011277">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23CDA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3424966F">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4</w:t>
                  </w:r>
                </w:p>
              </w:tc>
              <w:tc>
                <w:tcPr>
                  <w:tcW w:w="1427" w:type="dxa"/>
                  <w:vAlign w:val="center"/>
                </w:tcPr>
                <w:p w14:paraId="5E45B7FB">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中墩</w:t>
                  </w:r>
                </w:p>
              </w:tc>
              <w:tc>
                <w:tcPr>
                  <w:tcW w:w="3349" w:type="dxa"/>
                  <w:vAlign w:val="center"/>
                </w:tcPr>
                <w:p w14:paraId="71C07F5D">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Y 形钢混组合结构桥墩，桥墩与钢梁固结，Y 形分叉距离2.5m，总高3m，基础钻孔桩1.3m</w:t>
                  </w:r>
                </w:p>
              </w:tc>
              <w:tc>
                <w:tcPr>
                  <w:tcW w:w="724" w:type="dxa"/>
                  <w:vAlign w:val="center"/>
                </w:tcPr>
                <w:p w14:paraId="5EF35C18">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b w:val="0"/>
                      <w:bCs w:val="0"/>
                      <w:color w:val="auto"/>
                      <w:kern w:val="0"/>
                      <w:sz w:val="21"/>
                      <w:szCs w:val="21"/>
                      <w:highlight w:val="none"/>
                      <w:vertAlign w:val="baseline"/>
                      <w:lang w:val="en-US" w:eastAsia="zh-CN" w:bidi="ar"/>
                    </w:rPr>
                    <w:t>个</w:t>
                  </w:r>
                </w:p>
              </w:tc>
              <w:tc>
                <w:tcPr>
                  <w:tcW w:w="1000" w:type="dxa"/>
                  <w:vAlign w:val="center"/>
                </w:tcPr>
                <w:p w14:paraId="64E9244A">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6</w:t>
                  </w:r>
                </w:p>
              </w:tc>
              <w:tc>
                <w:tcPr>
                  <w:tcW w:w="1002" w:type="dxa"/>
                  <w:vAlign w:val="center"/>
                </w:tcPr>
                <w:p w14:paraId="0BBE1145">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26B43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5BB5736B">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5</w:t>
                  </w:r>
                </w:p>
              </w:tc>
              <w:tc>
                <w:tcPr>
                  <w:tcW w:w="1427" w:type="dxa"/>
                  <w:vAlign w:val="center"/>
                </w:tcPr>
                <w:p w14:paraId="1D32D00B">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桥面护栏</w:t>
                  </w:r>
                </w:p>
              </w:tc>
              <w:tc>
                <w:tcPr>
                  <w:tcW w:w="3349" w:type="dxa"/>
                  <w:vAlign w:val="center"/>
                </w:tcPr>
                <w:p w14:paraId="0D61A1C2">
                  <w:pPr>
                    <w:pStyle w:val="30"/>
                    <w:keepNext w:val="0"/>
                    <w:keepLines w:val="0"/>
                    <w:pageBreakBefore w:val="0"/>
                    <w:widowControl w:val="0"/>
                    <w:kinsoku/>
                    <w:wordWrap w:val="0"/>
                    <w:overflowPunct/>
                    <w:topLinePunct w:val="0"/>
                    <w:autoSpaceDE w:val="0"/>
                    <w:autoSpaceDN w:val="0"/>
                    <w:bidi w:val="0"/>
                    <w:adjustRightInd w:val="0"/>
                    <w:snapToGrid/>
                    <w:jc w:val="center"/>
                    <w:textAlignment w:val="auto"/>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护栏高1.4m，段长11.1m，基座高80mm，立柱矩形钢管采用20*80mm断面，厚3mm，立柱间距1.1m，设三条横梁，胡亮内侧设置圆形钢管扶手，直径40mm，厚3mm</w:t>
                  </w:r>
                </w:p>
              </w:tc>
              <w:tc>
                <w:tcPr>
                  <w:tcW w:w="724" w:type="dxa"/>
                  <w:vAlign w:val="center"/>
                </w:tcPr>
                <w:p w14:paraId="67351AD2">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b w:val="0"/>
                      <w:bCs w:val="0"/>
                      <w:color w:val="auto"/>
                      <w:kern w:val="0"/>
                      <w:sz w:val="21"/>
                      <w:szCs w:val="21"/>
                      <w:highlight w:val="none"/>
                      <w:vertAlign w:val="baseline"/>
                      <w:lang w:val="en-US" w:eastAsia="zh-CN" w:bidi="ar"/>
                    </w:rPr>
                    <w:t>段</w:t>
                  </w:r>
                </w:p>
              </w:tc>
              <w:tc>
                <w:tcPr>
                  <w:tcW w:w="1000" w:type="dxa"/>
                  <w:vAlign w:val="center"/>
                </w:tcPr>
                <w:p w14:paraId="3DE80D18">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110</w:t>
                  </w:r>
                </w:p>
              </w:tc>
              <w:tc>
                <w:tcPr>
                  <w:tcW w:w="1002" w:type="dxa"/>
                  <w:vAlign w:val="center"/>
                </w:tcPr>
                <w:p w14:paraId="3DB757B9">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4AD96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21C3E45B">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6</w:t>
                  </w:r>
                </w:p>
              </w:tc>
              <w:tc>
                <w:tcPr>
                  <w:tcW w:w="1427" w:type="dxa"/>
                  <w:vAlign w:val="center"/>
                </w:tcPr>
                <w:p w14:paraId="67624948">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地面铺装</w:t>
                  </w:r>
                </w:p>
              </w:tc>
              <w:tc>
                <w:tcPr>
                  <w:tcW w:w="3349" w:type="dxa"/>
                  <w:vAlign w:val="center"/>
                </w:tcPr>
                <w:p w14:paraId="160BF1A3">
                  <w:pPr>
                    <w:pStyle w:val="30"/>
                    <w:keepNext w:val="0"/>
                    <w:keepLines w:val="0"/>
                    <w:pageBreakBefore w:val="0"/>
                    <w:widowControl w:val="0"/>
                    <w:kinsoku/>
                    <w:wordWrap w:val="0"/>
                    <w:overflowPunct/>
                    <w:topLinePunct w:val="0"/>
                    <w:autoSpaceDE w:val="0"/>
                    <w:autoSpaceDN w:val="0"/>
                    <w:bidi w:val="0"/>
                    <w:adjustRightInd w:val="0"/>
                    <w:snapToGrid/>
                    <w:jc w:val="center"/>
                    <w:textAlignment w:val="auto"/>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桥面采用高分子树脂混凝土结合料薄层铺装，厚7mm。路面采用细粒式改性黑色沥青砼AC-13，厚40mm；粗粒式混凝土，厚60mm；改性乳化沥青下封层，厚5mm；水泥稳定碎石层，厚300mm；石灰土底基层，厚200mm，素土夯实</w:t>
                  </w:r>
                </w:p>
              </w:tc>
              <w:tc>
                <w:tcPr>
                  <w:tcW w:w="724" w:type="dxa"/>
                  <w:vAlign w:val="center"/>
                </w:tcPr>
                <w:p w14:paraId="05BFB58F">
                  <w:pPr>
                    <w:pStyle w:val="30"/>
                    <w:jc w:val="center"/>
                    <w:rPr>
                      <w:rFonts w:hint="default" w:ascii="Times New Roman" w:hAnsi="Times New Roman" w:eastAsia="仿宋" w:cs="Times New Roman"/>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
                    </w:rPr>
                    <w:t>m</w:t>
                  </w:r>
                  <w:r>
                    <w:rPr>
                      <w:rFonts w:hint="default" w:ascii="Times New Roman" w:hAnsi="Times New Roman" w:eastAsia="仿宋" w:cs="Times New Roman"/>
                      <w:b w:val="0"/>
                      <w:bCs w:val="0"/>
                      <w:color w:val="auto"/>
                      <w:kern w:val="0"/>
                      <w:sz w:val="21"/>
                      <w:szCs w:val="21"/>
                      <w:highlight w:val="none"/>
                      <w:vertAlign w:val="superscript"/>
                      <w:lang w:val="en-US" w:eastAsia="zh-CN" w:bidi="ar"/>
                    </w:rPr>
                    <w:t>2</w:t>
                  </w:r>
                </w:p>
              </w:tc>
              <w:tc>
                <w:tcPr>
                  <w:tcW w:w="1000" w:type="dxa"/>
                  <w:vAlign w:val="center"/>
                </w:tcPr>
                <w:p w14:paraId="548FC925">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17272</w:t>
                  </w:r>
                </w:p>
              </w:tc>
              <w:tc>
                <w:tcPr>
                  <w:tcW w:w="1002" w:type="dxa"/>
                  <w:vAlign w:val="center"/>
                </w:tcPr>
                <w:p w14:paraId="39CF2C40">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3CFAB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2A0CCB6E">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7</w:t>
                  </w:r>
                </w:p>
              </w:tc>
              <w:tc>
                <w:tcPr>
                  <w:tcW w:w="1427" w:type="dxa"/>
                  <w:vAlign w:val="center"/>
                </w:tcPr>
                <w:p w14:paraId="500DE5B5">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泄水管</w:t>
                  </w:r>
                </w:p>
              </w:tc>
              <w:tc>
                <w:tcPr>
                  <w:tcW w:w="3349" w:type="dxa"/>
                  <w:vAlign w:val="center"/>
                </w:tcPr>
                <w:p w14:paraId="2201AFB2">
                  <w:pPr>
                    <w:pStyle w:val="30"/>
                    <w:keepNext w:val="0"/>
                    <w:keepLines w:val="0"/>
                    <w:pageBreakBefore w:val="0"/>
                    <w:widowControl w:val="0"/>
                    <w:kinsoku/>
                    <w:wordWrap w:val="0"/>
                    <w:overflowPunct/>
                    <w:topLinePunct w:val="0"/>
                    <w:autoSpaceDE w:val="0"/>
                    <w:autoSpaceDN w:val="0"/>
                    <w:bidi w:val="0"/>
                    <w:adjustRightInd w:val="0"/>
                    <w:snapToGrid/>
                    <w:jc w:val="center"/>
                    <w:textAlignment w:val="auto"/>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管径100mm，布置间距5m</w:t>
                  </w:r>
                </w:p>
              </w:tc>
              <w:tc>
                <w:tcPr>
                  <w:tcW w:w="724" w:type="dxa"/>
                  <w:vAlign w:val="center"/>
                </w:tcPr>
                <w:p w14:paraId="49DBE0F9">
                  <w:pPr>
                    <w:pStyle w:val="30"/>
                    <w:jc w:val="center"/>
                    <w:rPr>
                      <w:rFonts w:hint="default" w:ascii="Times New Roman" w:hAnsi="Times New Roman" w:eastAsia="仿宋" w:cs="Times New Roman"/>
                      <w:color w:val="auto"/>
                      <w:kern w:val="0"/>
                      <w:sz w:val="21"/>
                      <w:szCs w:val="21"/>
                      <w:highlight w:val="none"/>
                      <w:vertAlign w:val="baseline"/>
                      <w:lang w:val="en-US" w:eastAsia="zh-CN" w:bidi="ar-SA"/>
                    </w:rPr>
                  </w:pPr>
                  <w:r>
                    <w:rPr>
                      <w:rFonts w:hint="eastAsia" w:ascii="Times New Roman" w:hAnsi="Times New Roman" w:eastAsia="仿宋" w:cs="Times New Roman"/>
                      <w:b w:val="0"/>
                      <w:bCs w:val="0"/>
                      <w:color w:val="auto"/>
                      <w:kern w:val="0"/>
                      <w:sz w:val="21"/>
                      <w:szCs w:val="21"/>
                      <w:highlight w:val="none"/>
                      <w:vertAlign w:val="baseline"/>
                      <w:lang w:val="en-US" w:eastAsia="zh-CN" w:bidi="ar"/>
                    </w:rPr>
                    <w:t>根</w:t>
                  </w:r>
                </w:p>
              </w:tc>
              <w:tc>
                <w:tcPr>
                  <w:tcW w:w="1000" w:type="dxa"/>
                  <w:vAlign w:val="center"/>
                </w:tcPr>
                <w:p w14:paraId="27633E92">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24</w:t>
                  </w:r>
                </w:p>
              </w:tc>
              <w:tc>
                <w:tcPr>
                  <w:tcW w:w="1002" w:type="dxa"/>
                  <w:vAlign w:val="center"/>
                </w:tcPr>
                <w:p w14:paraId="27AEC66A">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1B71A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4DEB0C80">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8</w:t>
                  </w:r>
                </w:p>
              </w:tc>
              <w:tc>
                <w:tcPr>
                  <w:tcW w:w="1427" w:type="dxa"/>
                  <w:vAlign w:val="center"/>
                </w:tcPr>
                <w:p w14:paraId="1A605C1A">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生态浮岛</w:t>
                  </w:r>
                </w:p>
              </w:tc>
              <w:tc>
                <w:tcPr>
                  <w:tcW w:w="3349" w:type="dxa"/>
                  <w:vAlign w:val="center"/>
                </w:tcPr>
                <w:p w14:paraId="21DFF3A0">
                  <w:pPr>
                    <w:pStyle w:val="30"/>
                    <w:keepNext w:val="0"/>
                    <w:keepLines w:val="0"/>
                    <w:pageBreakBefore w:val="0"/>
                    <w:widowControl w:val="0"/>
                    <w:kinsoku/>
                    <w:wordWrap w:val="0"/>
                    <w:overflowPunct/>
                    <w:topLinePunct w:val="0"/>
                    <w:autoSpaceDE w:val="0"/>
                    <w:autoSpaceDN w:val="0"/>
                    <w:bidi w:val="0"/>
                    <w:adjustRightInd w:val="0"/>
                    <w:snapToGrid/>
                    <w:jc w:val="center"/>
                    <w:textAlignment w:val="auto"/>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选用菖蒲、芦苇、鸢尾、狐尾藻等适应当地水生态的水生植物，平均每占水域面积167.63m</w:t>
                  </w:r>
                  <w:r>
                    <w:rPr>
                      <w:rFonts w:hint="eastAsia" w:ascii="Times New Roman" w:hAnsi="Times New Roman" w:eastAsia="仿宋" w:cs="Times New Roman"/>
                      <w:color w:val="auto"/>
                      <w:kern w:val="0"/>
                      <w:sz w:val="21"/>
                      <w:szCs w:val="21"/>
                      <w:highlight w:val="none"/>
                      <w:vertAlign w:val="superscript"/>
                      <w:lang w:val="en-US" w:eastAsia="zh-CN"/>
                    </w:rPr>
                    <w:t>2</w:t>
                  </w:r>
                </w:p>
              </w:tc>
              <w:tc>
                <w:tcPr>
                  <w:tcW w:w="724" w:type="dxa"/>
                  <w:vAlign w:val="center"/>
                </w:tcPr>
                <w:p w14:paraId="0EDE661C">
                  <w:pPr>
                    <w:pStyle w:val="30"/>
                    <w:jc w:val="center"/>
                    <w:rPr>
                      <w:rFonts w:hint="default" w:ascii="Times New Roman" w:hAnsi="Times New Roman" w:eastAsia="仿宋" w:cs="Times New Roman"/>
                      <w:color w:val="auto"/>
                      <w:kern w:val="0"/>
                      <w:sz w:val="21"/>
                      <w:szCs w:val="21"/>
                      <w:highlight w:val="none"/>
                      <w:vertAlign w:val="baseline"/>
                      <w:lang w:val="en-US" w:eastAsia="zh-CN" w:bidi="ar-SA"/>
                    </w:rPr>
                  </w:pPr>
                  <w:r>
                    <w:rPr>
                      <w:rFonts w:hint="eastAsia" w:ascii="Times New Roman" w:hAnsi="Times New Roman" w:eastAsia="仿宋" w:cs="Times New Roman"/>
                      <w:color w:val="auto"/>
                      <w:kern w:val="0"/>
                      <w:sz w:val="21"/>
                      <w:szCs w:val="21"/>
                      <w:highlight w:val="none"/>
                      <w:vertAlign w:val="baseline"/>
                      <w:lang w:val="en-US" w:eastAsia="zh-CN" w:bidi="ar-SA"/>
                    </w:rPr>
                    <w:t>座</w:t>
                  </w:r>
                </w:p>
              </w:tc>
              <w:tc>
                <w:tcPr>
                  <w:tcW w:w="1000" w:type="dxa"/>
                  <w:vAlign w:val="center"/>
                </w:tcPr>
                <w:p w14:paraId="3601E11D">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10</w:t>
                  </w:r>
                </w:p>
              </w:tc>
              <w:tc>
                <w:tcPr>
                  <w:tcW w:w="1002" w:type="dxa"/>
                  <w:vAlign w:val="center"/>
                </w:tcPr>
                <w:p w14:paraId="34EC6781">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1423F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63FFEBB2">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9</w:t>
                  </w:r>
                </w:p>
              </w:tc>
              <w:tc>
                <w:tcPr>
                  <w:tcW w:w="1427" w:type="dxa"/>
                  <w:vAlign w:val="center"/>
                </w:tcPr>
                <w:p w14:paraId="340C5DAA">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地面绿化</w:t>
                  </w:r>
                </w:p>
              </w:tc>
              <w:tc>
                <w:tcPr>
                  <w:tcW w:w="3349" w:type="dxa"/>
                  <w:vAlign w:val="center"/>
                </w:tcPr>
                <w:p w14:paraId="143E2668">
                  <w:pPr>
                    <w:pStyle w:val="30"/>
                    <w:keepNext w:val="0"/>
                    <w:keepLines w:val="0"/>
                    <w:pageBreakBefore w:val="0"/>
                    <w:widowControl w:val="0"/>
                    <w:kinsoku/>
                    <w:wordWrap w:val="0"/>
                    <w:overflowPunct/>
                    <w:topLinePunct w:val="0"/>
                    <w:autoSpaceDE w:val="0"/>
                    <w:autoSpaceDN w:val="0"/>
                    <w:bidi w:val="0"/>
                    <w:adjustRightInd w:val="0"/>
                    <w:snapToGrid/>
                    <w:jc w:val="center"/>
                    <w:textAlignment w:val="auto"/>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包含染井吉野樱、水杉、落羽杉及鸢尾、紫花地丁、紫娇花、草花、宿根地被、小灌木、球及特型植物组成的混合地被</w:t>
                  </w:r>
                </w:p>
              </w:tc>
              <w:tc>
                <w:tcPr>
                  <w:tcW w:w="724" w:type="dxa"/>
                  <w:vAlign w:val="center"/>
                </w:tcPr>
                <w:p w14:paraId="4215B152">
                  <w:pPr>
                    <w:pStyle w:val="30"/>
                    <w:jc w:val="center"/>
                    <w:rPr>
                      <w:rFonts w:hint="default" w:ascii="Times New Roman" w:hAnsi="Times New Roman" w:eastAsia="仿宋" w:cs="Times New Roman"/>
                      <w:color w:val="auto"/>
                      <w:kern w:val="0"/>
                      <w:sz w:val="21"/>
                      <w:szCs w:val="21"/>
                      <w:highlight w:val="none"/>
                      <w:vertAlign w:val="baseline"/>
                      <w:lang w:val="en-US" w:eastAsia="zh-CN" w:bidi="ar-SA"/>
                    </w:rPr>
                  </w:pPr>
                  <w:r>
                    <w:rPr>
                      <w:rFonts w:hint="eastAsia" w:ascii="Times New Roman" w:hAnsi="Times New Roman" w:eastAsia="仿宋" w:cs="Times New Roman"/>
                      <w:color w:val="auto"/>
                      <w:kern w:val="0"/>
                      <w:sz w:val="21"/>
                      <w:szCs w:val="21"/>
                      <w:highlight w:val="none"/>
                      <w:vertAlign w:val="baseline"/>
                      <w:lang w:val="en-US" w:eastAsia="zh-CN" w:bidi="ar-SA"/>
                    </w:rPr>
                    <w:t>项</w:t>
                  </w:r>
                </w:p>
              </w:tc>
              <w:tc>
                <w:tcPr>
                  <w:tcW w:w="1000" w:type="dxa"/>
                  <w:vAlign w:val="center"/>
                </w:tcPr>
                <w:p w14:paraId="0091F575">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1</w:t>
                  </w:r>
                </w:p>
              </w:tc>
              <w:tc>
                <w:tcPr>
                  <w:tcW w:w="1002" w:type="dxa"/>
                  <w:vAlign w:val="center"/>
                </w:tcPr>
                <w:p w14:paraId="5148B2B4">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4E2D9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0FB80AAC">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10</w:t>
                  </w:r>
                </w:p>
              </w:tc>
              <w:tc>
                <w:tcPr>
                  <w:tcW w:w="1427" w:type="dxa"/>
                  <w:vAlign w:val="center"/>
                </w:tcPr>
                <w:p w14:paraId="7DA39CCA">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标志标牌</w:t>
                  </w:r>
                </w:p>
              </w:tc>
              <w:tc>
                <w:tcPr>
                  <w:tcW w:w="3349" w:type="dxa"/>
                  <w:vAlign w:val="center"/>
                </w:tcPr>
                <w:p w14:paraId="660233A3">
                  <w:pPr>
                    <w:pStyle w:val="30"/>
                    <w:keepNext w:val="0"/>
                    <w:keepLines w:val="0"/>
                    <w:pageBreakBefore w:val="0"/>
                    <w:widowControl w:val="0"/>
                    <w:kinsoku/>
                    <w:wordWrap w:val="0"/>
                    <w:overflowPunct/>
                    <w:topLinePunct w:val="0"/>
                    <w:autoSpaceDE w:val="0"/>
                    <w:autoSpaceDN w:val="0"/>
                    <w:bidi w:val="0"/>
                    <w:adjustRightInd w:val="0"/>
                    <w:snapToGrid/>
                    <w:jc w:val="center"/>
                    <w:textAlignment w:val="auto"/>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道路线条线宽150mm，厚度不小于1.5mm</w:t>
                  </w:r>
                </w:p>
              </w:tc>
              <w:tc>
                <w:tcPr>
                  <w:tcW w:w="724" w:type="dxa"/>
                  <w:vAlign w:val="center"/>
                </w:tcPr>
                <w:p w14:paraId="6BDB89AE">
                  <w:pPr>
                    <w:pStyle w:val="30"/>
                    <w:jc w:val="center"/>
                    <w:rPr>
                      <w:rFonts w:hint="default" w:ascii="Times New Roman" w:hAnsi="Times New Roman" w:eastAsia="仿宋" w:cs="Times New Roman"/>
                      <w:color w:val="auto"/>
                      <w:kern w:val="0"/>
                      <w:sz w:val="21"/>
                      <w:szCs w:val="21"/>
                      <w:highlight w:val="none"/>
                      <w:vertAlign w:val="baseline"/>
                      <w:lang w:val="en-US" w:eastAsia="zh-CN" w:bidi="ar-SA"/>
                    </w:rPr>
                  </w:pPr>
                  <w:r>
                    <w:rPr>
                      <w:rFonts w:hint="eastAsia" w:ascii="Times New Roman" w:hAnsi="Times New Roman" w:eastAsia="仿宋" w:cs="Times New Roman"/>
                      <w:color w:val="auto"/>
                      <w:kern w:val="0"/>
                      <w:sz w:val="21"/>
                      <w:szCs w:val="21"/>
                      <w:highlight w:val="none"/>
                      <w:vertAlign w:val="baseline"/>
                      <w:lang w:val="en-US" w:eastAsia="zh-CN" w:bidi="ar-SA"/>
                    </w:rPr>
                    <w:t>项</w:t>
                  </w:r>
                </w:p>
              </w:tc>
              <w:tc>
                <w:tcPr>
                  <w:tcW w:w="1000" w:type="dxa"/>
                  <w:vAlign w:val="center"/>
                </w:tcPr>
                <w:p w14:paraId="07B6B4A0">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1</w:t>
                  </w:r>
                </w:p>
              </w:tc>
              <w:tc>
                <w:tcPr>
                  <w:tcW w:w="1002" w:type="dxa"/>
                  <w:vAlign w:val="center"/>
                </w:tcPr>
                <w:p w14:paraId="770A133A">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r w14:paraId="00039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 w:type="dxa"/>
                  <w:vAlign w:val="center"/>
                </w:tcPr>
                <w:p w14:paraId="69E87E3A">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11</w:t>
                  </w:r>
                </w:p>
              </w:tc>
              <w:tc>
                <w:tcPr>
                  <w:tcW w:w="1427" w:type="dxa"/>
                  <w:vAlign w:val="center"/>
                </w:tcPr>
                <w:p w14:paraId="1E99B959">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驳岸景观照明、监控及升降桩等</w:t>
                  </w:r>
                </w:p>
              </w:tc>
              <w:tc>
                <w:tcPr>
                  <w:tcW w:w="3349" w:type="dxa"/>
                  <w:vAlign w:val="center"/>
                </w:tcPr>
                <w:p w14:paraId="7106713E">
                  <w:pPr>
                    <w:pStyle w:val="30"/>
                    <w:keepNext w:val="0"/>
                    <w:keepLines w:val="0"/>
                    <w:pageBreakBefore w:val="0"/>
                    <w:widowControl w:val="0"/>
                    <w:kinsoku/>
                    <w:wordWrap w:val="0"/>
                    <w:overflowPunct/>
                    <w:topLinePunct w:val="0"/>
                    <w:autoSpaceDE w:val="0"/>
                    <w:autoSpaceDN w:val="0"/>
                    <w:bidi w:val="0"/>
                    <w:adjustRightInd w:val="0"/>
                    <w:snapToGrid/>
                    <w:jc w:val="center"/>
                    <w:textAlignment w:val="auto"/>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草坪灯61套，射树灯16套，扶手等108套，线条灯2560m，洗墙灯103套，监控系统采用400w高清红外智能球机与枪机，升降桩直径0.2m，高0.6m</w:t>
                  </w:r>
                </w:p>
              </w:tc>
              <w:tc>
                <w:tcPr>
                  <w:tcW w:w="724" w:type="dxa"/>
                  <w:vAlign w:val="center"/>
                </w:tcPr>
                <w:p w14:paraId="3878291E">
                  <w:pPr>
                    <w:pStyle w:val="30"/>
                    <w:jc w:val="center"/>
                    <w:rPr>
                      <w:rFonts w:hint="default" w:ascii="Times New Roman" w:hAnsi="Times New Roman" w:eastAsia="仿宋" w:cs="Times New Roman"/>
                      <w:color w:val="auto"/>
                      <w:kern w:val="0"/>
                      <w:sz w:val="21"/>
                      <w:szCs w:val="21"/>
                      <w:highlight w:val="none"/>
                      <w:vertAlign w:val="baseline"/>
                      <w:lang w:val="en-US" w:eastAsia="zh-CN" w:bidi="ar-SA"/>
                    </w:rPr>
                  </w:pPr>
                  <w:r>
                    <w:rPr>
                      <w:rFonts w:hint="eastAsia" w:ascii="Times New Roman" w:hAnsi="Times New Roman" w:eastAsia="仿宋" w:cs="Times New Roman"/>
                      <w:color w:val="auto"/>
                      <w:kern w:val="0"/>
                      <w:sz w:val="21"/>
                      <w:szCs w:val="21"/>
                      <w:highlight w:val="none"/>
                      <w:vertAlign w:val="baseline"/>
                      <w:lang w:val="en-US" w:eastAsia="zh-CN" w:bidi="ar-SA"/>
                    </w:rPr>
                    <w:t>项</w:t>
                  </w:r>
                </w:p>
              </w:tc>
              <w:tc>
                <w:tcPr>
                  <w:tcW w:w="1000" w:type="dxa"/>
                  <w:vAlign w:val="center"/>
                </w:tcPr>
                <w:p w14:paraId="1FAE2971">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eastAsia" w:ascii="Times New Roman" w:hAnsi="Times New Roman" w:eastAsia="仿宋" w:cs="Times New Roman"/>
                      <w:color w:val="auto"/>
                      <w:kern w:val="0"/>
                      <w:sz w:val="21"/>
                      <w:szCs w:val="21"/>
                      <w:highlight w:val="none"/>
                      <w:vertAlign w:val="baseline"/>
                      <w:lang w:val="en-US" w:eastAsia="zh-CN"/>
                    </w:rPr>
                    <w:t>1</w:t>
                  </w:r>
                </w:p>
              </w:tc>
              <w:tc>
                <w:tcPr>
                  <w:tcW w:w="1002" w:type="dxa"/>
                  <w:vAlign w:val="center"/>
                </w:tcPr>
                <w:p w14:paraId="0AF3C975">
                  <w:pPr>
                    <w:pStyle w:val="30"/>
                    <w:jc w:val="center"/>
                    <w:rPr>
                      <w:rFonts w:hint="default" w:ascii="Times New Roman" w:hAnsi="Times New Roman" w:eastAsia="仿宋" w:cs="Times New Roman"/>
                      <w:color w:val="auto"/>
                      <w:kern w:val="0"/>
                      <w:sz w:val="21"/>
                      <w:szCs w:val="21"/>
                      <w:highlight w:val="none"/>
                      <w:vertAlign w:val="baseline"/>
                      <w:lang w:val="en-US" w:eastAsia="zh-CN"/>
                    </w:rPr>
                  </w:pPr>
                  <w:r>
                    <w:rPr>
                      <w:rFonts w:hint="default" w:ascii="Times New Roman" w:hAnsi="Times New Roman" w:eastAsia="仿宋" w:cs="Times New Roman"/>
                      <w:color w:val="auto"/>
                      <w:kern w:val="0"/>
                      <w:sz w:val="21"/>
                      <w:szCs w:val="21"/>
                      <w:highlight w:val="none"/>
                      <w:vertAlign w:val="baseline"/>
                      <w:lang w:val="en-US" w:eastAsia="zh-CN"/>
                    </w:rPr>
                    <w:t>新建</w:t>
                  </w:r>
                </w:p>
              </w:tc>
            </w:tr>
          </w:tbl>
          <w:p w14:paraId="013083D8">
            <w:pPr>
              <w:keepNext w:val="0"/>
              <w:keepLines w:val="0"/>
              <w:widowControl/>
              <w:numPr>
                <w:ilvl w:val="0"/>
                <w:numId w:val="2"/>
              </w:numPr>
              <w:suppressLineNumbers w:val="0"/>
              <w:ind w:left="0" w:leftChars="0" w:firstLine="0" w:firstLineChars="0"/>
              <w:jc w:val="left"/>
              <w:rPr>
                <w:rFonts w:hint="eastAsia" w:ascii="Times New Roman" w:hAnsi="Times New Roman" w:eastAsia="仿宋" w:cstheme="minorBidi"/>
                <w:b/>
                <w:bCs/>
                <w:color w:val="auto"/>
                <w:kern w:val="0"/>
                <w:sz w:val="24"/>
                <w:szCs w:val="22"/>
                <w:highlight w:val="none"/>
                <w:lang w:val="en-US" w:eastAsia="zh-CN" w:bidi="ar-SA"/>
              </w:rPr>
            </w:pPr>
            <w:r>
              <w:rPr>
                <w:rFonts w:hint="eastAsia" w:ascii="Times New Roman" w:hAnsi="Times New Roman" w:eastAsia="仿宋" w:cstheme="minorBidi"/>
                <w:b/>
                <w:bCs/>
                <w:color w:val="auto"/>
                <w:kern w:val="0"/>
                <w:sz w:val="24"/>
                <w:szCs w:val="22"/>
                <w:highlight w:val="none"/>
                <w:lang w:val="en-US" w:eastAsia="zh-CN" w:bidi="ar-SA"/>
              </w:rPr>
              <w:t>施工布置情况</w:t>
            </w:r>
          </w:p>
          <w:p w14:paraId="3449892C">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1</w:t>
            </w:r>
            <w:r>
              <w:rPr>
                <w:rFonts w:hint="eastAsia" w:ascii="Times New Roman" w:hAnsi="Times New Roman" w:eastAsia="仿宋"/>
                <w:color w:val="auto"/>
                <w:kern w:val="0"/>
                <w:sz w:val="24"/>
                <w:highlight w:val="none"/>
                <w:lang w:val="en-US" w:eastAsia="zh-CN"/>
              </w:rPr>
              <w:t>、布置原则</w:t>
            </w:r>
          </w:p>
          <w:p w14:paraId="2213991F">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工场布置应符合方便施工、占地少、节省投资、兼顾全局、突出重点的原则</w:t>
            </w:r>
            <w:r>
              <w:rPr>
                <w:rFonts w:hint="eastAsia" w:eastAsia="仿宋"/>
                <w:color w:val="auto"/>
                <w:kern w:val="0"/>
                <w:sz w:val="24"/>
                <w:highlight w:val="none"/>
                <w:lang w:val="en-US" w:eastAsia="zh-CN"/>
              </w:rPr>
              <w:t>。</w:t>
            </w:r>
          </w:p>
          <w:p w14:paraId="3FB7EB00">
            <w:pPr>
              <w:keepNext w:val="0"/>
              <w:keepLines w:val="0"/>
              <w:widowControl/>
              <w:suppressLineNumbers w:val="0"/>
              <w:adjustRightInd w:val="0"/>
              <w:ind w:firstLine="480" w:firstLineChars="200"/>
              <w:jc w:val="left"/>
              <w:rPr>
                <w:rFonts w:hint="default" w:ascii="Times New Roman" w:hAnsi="Times New Roman" w:eastAsia="仿宋" w:cs="Times New Roman"/>
                <w:b w:val="0"/>
                <w:bCs w:val="0"/>
                <w:color w:val="auto"/>
                <w:kern w:val="0"/>
                <w:sz w:val="24"/>
                <w:szCs w:val="24"/>
                <w:lang w:val="en-US" w:eastAsia="zh-CN" w:bidi="ar"/>
              </w:rPr>
            </w:pPr>
            <w:r>
              <w:rPr>
                <w:rFonts w:hint="default" w:ascii="Times New Roman" w:hAnsi="Times New Roman" w:eastAsia="仿宋" w:cs="Times New Roman"/>
                <w:color w:val="auto"/>
                <w:kern w:val="0"/>
                <w:sz w:val="24"/>
                <w:szCs w:val="24"/>
                <w:highlight w:val="none"/>
                <w:lang w:val="en-US" w:eastAsia="zh-CN"/>
              </w:rPr>
              <w:t>本项目属于新建</w:t>
            </w:r>
            <w:r>
              <w:rPr>
                <w:rFonts w:hint="eastAsia" w:eastAsia="仿宋" w:cs="Times New Roman"/>
                <w:color w:val="auto"/>
                <w:kern w:val="0"/>
                <w:sz w:val="24"/>
                <w:szCs w:val="24"/>
                <w:highlight w:val="none"/>
                <w:lang w:val="en-US" w:eastAsia="zh-CN"/>
              </w:rPr>
              <w:t>桥梁</w:t>
            </w:r>
            <w:r>
              <w:rPr>
                <w:rFonts w:hint="default" w:ascii="Times New Roman" w:hAnsi="Times New Roman" w:eastAsia="仿宋" w:cs="Times New Roman"/>
                <w:color w:val="auto"/>
                <w:kern w:val="0"/>
                <w:sz w:val="24"/>
                <w:szCs w:val="24"/>
                <w:highlight w:val="none"/>
                <w:lang w:val="en-US" w:eastAsia="zh-CN"/>
              </w:rPr>
              <w:t>工程项目，</w:t>
            </w:r>
            <w:r>
              <w:rPr>
                <w:rFonts w:hint="default" w:ascii="Times New Roman" w:hAnsi="Times New Roman" w:eastAsia="仿宋" w:cs="Times New Roman"/>
                <w:b w:val="0"/>
                <w:bCs w:val="0"/>
                <w:color w:val="auto"/>
                <w:kern w:val="0"/>
                <w:sz w:val="24"/>
                <w:szCs w:val="24"/>
                <w:lang w:val="en-US" w:eastAsia="zh-CN" w:bidi="ar"/>
              </w:rPr>
              <w:t>制定了科学合理的施工、安装方案，对用于本工程的材料、设备严格把关，施工工艺、操作程序遵循相关施工规范要求，并严格按施工图纸进行施工。</w:t>
            </w:r>
          </w:p>
          <w:p w14:paraId="17665539">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施工现场布置满足现场文明施工的要求，便于安全文明施工的管理。具体布置要求为：</w:t>
            </w:r>
          </w:p>
          <w:p w14:paraId="324B77A8">
            <w:pPr>
              <w:widowControl/>
              <w:ind w:firstLine="480" w:firstLineChars="200"/>
              <w:rPr>
                <w:rFonts w:hint="default" w:eastAsia="仿宋" w:cs="Times New Roman"/>
                <w:color w:val="auto"/>
                <w:kern w:val="0"/>
                <w:szCs w:val="24"/>
                <w:lang w:val="en-US" w:eastAsia="zh-CN" w:bidi="ar"/>
              </w:rPr>
            </w:pPr>
            <w:r>
              <w:rPr>
                <w:rFonts w:hint="eastAsia" w:eastAsia="仿宋" w:cs="Times New Roman"/>
                <w:b w:val="0"/>
                <w:bCs w:val="0"/>
                <w:color w:val="auto"/>
                <w:kern w:val="0"/>
                <w:sz w:val="24"/>
                <w:szCs w:val="24"/>
                <w:lang w:val="en-US" w:eastAsia="zh-CN" w:bidi="ar"/>
              </w:rPr>
              <w:t>（1）施工</w:t>
            </w:r>
            <w:r>
              <w:rPr>
                <w:rFonts w:hint="default" w:eastAsia="仿宋" w:cs="Times New Roman"/>
                <w:b w:val="0"/>
                <w:bCs w:val="0"/>
                <w:color w:val="auto"/>
                <w:kern w:val="0"/>
                <w:sz w:val="24"/>
                <w:szCs w:val="24"/>
                <w:lang w:val="en-US" w:eastAsia="zh-CN" w:bidi="ar"/>
              </w:rPr>
              <w:t>废水</w:t>
            </w:r>
            <w:r>
              <w:rPr>
                <w:rFonts w:hint="default" w:ascii="Times New Roman" w:hAnsi="Times New Roman" w:eastAsia="仿宋" w:cs="Times New Roman"/>
                <w:b w:val="0"/>
                <w:bCs w:val="0"/>
                <w:color w:val="auto"/>
                <w:kern w:val="0"/>
                <w:sz w:val="24"/>
                <w:szCs w:val="24"/>
                <w:lang w:val="en-US" w:eastAsia="zh-CN" w:bidi="ar"/>
              </w:rPr>
              <w:t>经</w:t>
            </w:r>
            <w:r>
              <w:rPr>
                <w:rFonts w:hint="eastAsia" w:eastAsia="仿宋" w:cs="Times New Roman"/>
                <w:b w:val="0"/>
                <w:bCs w:val="0"/>
                <w:color w:val="auto"/>
                <w:kern w:val="0"/>
                <w:sz w:val="24"/>
                <w:szCs w:val="24"/>
                <w:lang w:val="en-US" w:eastAsia="zh-CN" w:bidi="ar"/>
              </w:rPr>
              <w:t>沉淀池、</w:t>
            </w:r>
            <w:r>
              <w:rPr>
                <w:rFonts w:hint="default" w:ascii="Times New Roman" w:hAnsi="Times New Roman" w:eastAsia="仿宋" w:cs="Times New Roman"/>
                <w:b w:val="0"/>
                <w:bCs w:val="0"/>
                <w:color w:val="auto"/>
                <w:kern w:val="0"/>
                <w:sz w:val="24"/>
                <w:szCs w:val="24"/>
                <w:lang w:val="en-US" w:eastAsia="zh-CN" w:bidi="ar"/>
              </w:rPr>
              <w:t>隔油池处理达标后回用</w:t>
            </w:r>
            <w:r>
              <w:rPr>
                <w:rFonts w:hint="eastAsia" w:eastAsia="仿宋" w:cs="Times New Roman"/>
                <w:b w:val="0"/>
                <w:bCs w:val="0"/>
                <w:color w:val="auto"/>
                <w:kern w:val="0"/>
                <w:sz w:val="24"/>
                <w:szCs w:val="24"/>
                <w:lang w:val="en-US" w:eastAsia="zh-CN" w:bidi="ar"/>
              </w:rPr>
              <w:t>于场地洒水降尘，不对外排放。</w:t>
            </w:r>
          </w:p>
          <w:p w14:paraId="5E5CBFC7">
            <w:pPr>
              <w:keepNext w:val="0"/>
              <w:keepLines w:val="0"/>
              <w:widowControl/>
              <w:suppressLineNumbers w:val="0"/>
              <w:adjustRightInd w:val="0"/>
              <w:ind w:firstLine="480" w:firstLineChars="200"/>
              <w:jc w:val="left"/>
              <w:rPr>
                <w:rFonts w:hint="default" w:ascii="Times New Roman" w:hAnsi="Times New Roman" w:eastAsia="仿宋" w:cs="Times New Roman"/>
                <w:color w:val="auto"/>
                <w:kern w:val="0"/>
                <w:sz w:val="24"/>
                <w:szCs w:val="24"/>
                <w:lang w:val="en-US" w:eastAsia="zh-CN" w:bidi="ar"/>
              </w:rPr>
            </w:pPr>
            <w:r>
              <w:rPr>
                <w:rFonts w:hint="eastAsia" w:eastAsia="仿宋" w:cs="Times New Roman"/>
                <w:b w:val="0"/>
                <w:bCs w:val="0"/>
                <w:color w:val="auto"/>
                <w:kern w:val="0"/>
                <w:sz w:val="24"/>
                <w:szCs w:val="24"/>
                <w:lang w:val="en-US" w:eastAsia="zh-CN" w:bidi="ar"/>
              </w:rPr>
              <w:t>（2）</w:t>
            </w:r>
            <w:r>
              <w:rPr>
                <w:rFonts w:hint="default" w:ascii="Times New Roman" w:hAnsi="Times New Roman" w:eastAsia="仿宋" w:cs="Times New Roman"/>
                <w:b w:val="0"/>
                <w:bCs w:val="0"/>
                <w:color w:val="auto"/>
                <w:kern w:val="0"/>
                <w:sz w:val="24"/>
                <w:szCs w:val="24"/>
                <w:lang w:val="en-US" w:eastAsia="zh-CN" w:bidi="ar"/>
              </w:rPr>
              <w:t>为防止粉尘污染伤害施工人员的身心健康，为施工人员配备防尘面罩；散装材料运输应采取有效遮盖，并避免超载所造成的洒泄现象；对产生扬尘的工序及工程活动可采取洒水方式减少尘量，采取具体措施如下：加强道路管理和养护、保持路面平整，及时清扫浮尘，另配置洒水车，适时对施工现场进行洒水。</w:t>
            </w:r>
          </w:p>
          <w:p w14:paraId="16D104C2">
            <w:pPr>
              <w:keepNext w:val="0"/>
              <w:keepLines w:val="0"/>
              <w:widowControl/>
              <w:numPr>
                <w:ilvl w:val="0"/>
                <w:numId w:val="0"/>
              </w:numPr>
              <w:suppressLineNumbers w:val="0"/>
              <w:adjustRightInd/>
              <w:ind w:firstLine="480" w:firstLineChars="200"/>
              <w:jc w:val="left"/>
              <w:rPr>
                <w:rFonts w:hint="default" w:ascii="Times New Roman" w:hAnsi="Times New Roman" w:eastAsia="仿宋" w:cs="Times New Roman"/>
                <w:color w:val="auto"/>
                <w:kern w:val="0"/>
                <w:sz w:val="24"/>
                <w:szCs w:val="24"/>
                <w:lang w:val="en-US" w:eastAsia="zh-CN" w:bidi="ar"/>
              </w:rPr>
            </w:pPr>
            <w:r>
              <w:rPr>
                <w:rFonts w:hint="eastAsia" w:eastAsia="仿宋" w:cs="Times New Roman"/>
                <w:b w:val="0"/>
                <w:bCs w:val="0"/>
                <w:color w:val="auto"/>
                <w:kern w:val="0"/>
                <w:sz w:val="24"/>
                <w:szCs w:val="24"/>
                <w:lang w:val="en-US" w:eastAsia="zh-CN" w:bidi="ar"/>
              </w:rPr>
              <w:t>（3）</w:t>
            </w:r>
            <w:r>
              <w:rPr>
                <w:rFonts w:hint="default" w:ascii="Times New Roman" w:hAnsi="Times New Roman" w:eastAsia="仿宋" w:cs="Times New Roman"/>
                <w:b w:val="0"/>
                <w:bCs w:val="0"/>
                <w:color w:val="auto"/>
                <w:kern w:val="0"/>
                <w:sz w:val="24"/>
                <w:szCs w:val="24"/>
                <w:lang w:val="en-US" w:eastAsia="zh-CN" w:bidi="ar"/>
              </w:rPr>
              <w:t>选用低噪声设备</w:t>
            </w:r>
            <w:r>
              <w:rPr>
                <w:rFonts w:hint="default" w:eastAsia="仿宋" w:cs="Times New Roman"/>
                <w:b w:val="0"/>
                <w:bCs w:val="0"/>
                <w:color w:val="auto"/>
                <w:kern w:val="0"/>
                <w:sz w:val="24"/>
                <w:szCs w:val="24"/>
                <w:lang w:val="en-US" w:eastAsia="zh-CN" w:bidi="ar"/>
              </w:rPr>
              <w:t>，</w:t>
            </w:r>
            <w:r>
              <w:rPr>
                <w:rFonts w:hint="default" w:ascii="Times New Roman" w:hAnsi="Times New Roman" w:eastAsia="仿宋" w:cs="Times New Roman"/>
                <w:b w:val="0"/>
                <w:bCs w:val="0"/>
                <w:color w:val="auto"/>
                <w:kern w:val="0"/>
                <w:sz w:val="24"/>
                <w:szCs w:val="24"/>
                <w:lang w:val="en-US" w:eastAsia="zh-CN" w:bidi="ar"/>
              </w:rPr>
              <w:t>闲置的设备应予关闭</w:t>
            </w:r>
            <w:r>
              <w:rPr>
                <w:rFonts w:hint="default" w:eastAsia="仿宋" w:cs="Times New Roman"/>
                <w:b w:val="0"/>
                <w:bCs w:val="0"/>
                <w:color w:val="auto"/>
                <w:kern w:val="0"/>
                <w:sz w:val="24"/>
                <w:szCs w:val="24"/>
                <w:lang w:val="en-US" w:eastAsia="zh-CN" w:bidi="ar"/>
              </w:rPr>
              <w:t>，</w:t>
            </w:r>
            <w:r>
              <w:rPr>
                <w:rFonts w:hint="default" w:ascii="Times New Roman" w:hAnsi="Times New Roman" w:eastAsia="仿宋" w:cs="Times New Roman"/>
                <w:b w:val="0"/>
                <w:bCs w:val="0"/>
                <w:color w:val="auto"/>
                <w:kern w:val="0"/>
                <w:sz w:val="24"/>
                <w:szCs w:val="24"/>
                <w:lang w:val="en-US" w:eastAsia="zh-CN" w:bidi="ar"/>
              </w:rPr>
              <w:t>一切施工机械均应适时维修，以减少因松动部件的震动或减振部件的损坏而产生的噪声</w:t>
            </w:r>
            <w:r>
              <w:rPr>
                <w:rFonts w:hint="default" w:eastAsia="仿宋" w:cs="Times New Roman"/>
                <w:b w:val="0"/>
                <w:bCs w:val="0"/>
                <w:color w:val="auto"/>
                <w:kern w:val="0"/>
                <w:sz w:val="24"/>
                <w:szCs w:val="24"/>
                <w:lang w:val="en-US" w:eastAsia="zh-CN" w:bidi="ar"/>
              </w:rPr>
              <w:t>；</w:t>
            </w:r>
            <w:r>
              <w:rPr>
                <w:rFonts w:hint="default" w:ascii="Times New Roman" w:hAnsi="Times New Roman" w:eastAsia="仿宋" w:cs="Times New Roman"/>
                <w:b w:val="0"/>
                <w:bCs w:val="0"/>
                <w:color w:val="auto"/>
                <w:kern w:val="0"/>
                <w:sz w:val="24"/>
                <w:szCs w:val="24"/>
                <w:lang w:val="en-US" w:eastAsia="zh-CN" w:bidi="ar"/>
              </w:rPr>
              <w:t>合理安排施工时间</w:t>
            </w:r>
            <w:r>
              <w:rPr>
                <w:rFonts w:hint="default" w:eastAsia="仿宋" w:cs="Times New Roman"/>
                <w:b w:val="0"/>
                <w:bCs w:val="0"/>
                <w:color w:val="auto"/>
                <w:kern w:val="0"/>
                <w:sz w:val="24"/>
                <w:szCs w:val="24"/>
                <w:lang w:val="en-US" w:eastAsia="zh-CN" w:bidi="ar"/>
              </w:rPr>
              <w:t>；</w:t>
            </w:r>
            <w:r>
              <w:rPr>
                <w:rFonts w:hint="default" w:ascii="Times New Roman" w:hAnsi="Times New Roman" w:eastAsia="仿宋" w:cs="Times New Roman"/>
                <w:b w:val="0"/>
                <w:bCs w:val="0"/>
                <w:color w:val="auto"/>
                <w:kern w:val="0"/>
                <w:sz w:val="24"/>
                <w:szCs w:val="24"/>
                <w:lang w:val="en-US" w:eastAsia="zh-CN" w:bidi="ar"/>
              </w:rPr>
              <w:t>加强管理，合理安排交通运输时间，尽可能减少夜间施工车辆的车流量。</w:t>
            </w:r>
          </w:p>
          <w:p w14:paraId="7CAB7120">
            <w:pPr>
              <w:keepNext w:val="0"/>
              <w:keepLines w:val="0"/>
              <w:widowControl/>
              <w:suppressLineNumbers w:val="0"/>
              <w:adjustRightInd w:val="0"/>
              <w:ind w:firstLine="480" w:firstLineChars="200"/>
              <w:jc w:val="left"/>
              <w:rPr>
                <w:rFonts w:hint="default" w:ascii="Times New Roman" w:hAnsi="Times New Roman" w:eastAsia="仿宋" w:cs="Times New Roman"/>
                <w:color w:val="auto"/>
                <w:kern w:val="0"/>
                <w:sz w:val="24"/>
                <w:szCs w:val="24"/>
                <w:lang w:val="en-US" w:eastAsia="zh-CN" w:bidi="ar"/>
              </w:rPr>
            </w:pPr>
            <w:r>
              <w:rPr>
                <w:rFonts w:hint="eastAsia" w:eastAsia="仿宋" w:cs="Times New Roman"/>
                <w:color w:val="auto"/>
                <w:kern w:val="0"/>
                <w:sz w:val="24"/>
                <w:szCs w:val="24"/>
                <w:lang w:val="en-US" w:eastAsia="zh-CN" w:bidi="ar"/>
              </w:rPr>
              <w:t>（4）</w:t>
            </w:r>
            <w:r>
              <w:rPr>
                <w:rFonts w:hint="default" w:ascii="Times New Roman" w:hAnsi="Times New Roman" w:eastAsia="仿宋" w:cs="Times New Roman"/>
                <w:color w:val="auto"/>
                <w:kern w:val="0"/>
                <w:sz w:val="24"/>
                <w:szCs w:val="24"/>
                <w:lang w:val="en-US" w:eastAsia="zh-CN" w:bidi="ar"/>
              </w:rPr>
              <w:t>对新进入工区的施工人员进行卫生检疫，对施工人员作定期健康观察，对工地炊事人员进行全面体检和卫生防疫知识培训；保护水源，消除污染，定期对饮用水水质和民工食品进行卫生检查，切断污染饮用水的途径；按卫生要求及时清理生活垃圾送往指定地点堆放或掩埋，不得在周边任意倾倒。</w:t>
            </w:r>
          </w:p>
          <w:p w14:paraId="6703A1FB">
            <w:pPr>
              <w:keepNext w:val="0"/>
              <w:keepLines w:val="0"/>
              <w:widowControl/>
              <w:suppressLineNumbers w:val="0"/>
              <w:adjustRightInd w:val="0"/>
              <w:ind w:firstLine="480" w:firstLineChars="200"/>
              <w:jc w:val="left"/>
              <w:rPr>
                <w:rFonts w:hint="eastAsia" w:ascii="Times New Roman" w:hAnsi="Times New Roman" w:eastAsia="仿宋" w:cs="Times New Roman"/>
                <w:color w:val="auto"/>
                <w:kern w:val="0"/>
                <w:sz w:val="24"/>
                <w:szCs w:val="24"/>
                <w:lang w:val="en-US" w:eastAsia="zh-CN" w:bidi="ar"/>
              </w:rPr>
            </w:pPr>
            <w:r>
              <w:rPr>
                <w:rFonts w:hint="default" w:ascii="Times New Roman" w:hAnsi="Times New Roman" w:eastAsia="仿宋" w:cs="Times New Roman"/>
                <w:color w:val="auto"/>
                <w:kern w:val="0"/>
                <w:sz w:val="24"/>
                <w:szCs w:val="24"/>
                <w:lang w:val="en-US" w:eastAsia="zh-CN" w:bidi="ar"/>
              </w:rPr>
              <w:t>2</w:t>
            </w:r>
            <w:r>
              <w:rPr>
                <w:rFonts w:hint="eastAsia" w:ascii="Times New Roman" w:hAnsi="Times New Roman" w:eastAsia="仿宋" w:cs="Times New Roman"/>
                <w:color w:val="auto"/>
                <w:kern w:val="0"/>
                <w:sz w:val="24"/>
                <w:szCs w:val="24"/>
                <w:lang w:val="en-US" w:eastAsia="zh-CN" w:bidi="ar"/>
              </w:rPr>
              <w:t>、施工工场布置</w:t>
            </w:r>
          </w:p>
          <w:p w14:paraId="449AB5FC">
            <w:pPr>
              <w:keepNext w:val="0"/>
              <w:keepLines w:val="0"/>
              <w:widowControl/>
              <w:suppressLineNumbers w:val="0"/>
              <w:adjustRightInd w:val="0"/>
              <w:ind w:firstLine="480" w:firstLineChars="200"/>
              <w:jc w:val="left"/>
              <w:rPr>
                <w:rFonts w:hint="default" w:ascii="Times New Roman" w:hAnsi="Times New Roman" w:eastAsia="仿宋" w:cs="Times New Roman"/>
                <w:color w:val="auto"/>
                <w:kern w:val="2"/>
                <w:sz w:val="21"/>
                <w:szCs w:val="21"/>
                <w:highlight w:val="none"/>
                <w:lang w:val="en-US" w:eastAsia="zh-CN" w:bidi="ar-SA"/>
              </w:rPr>
            </w:pPr>
            <w:r>
              <w:rPr>
                <w:rFonts w:hint="eastAsia" w:ascii="Times New Roman" w:hAnsi="Times New Roman" w:eastAsia="仿宋" w:cs="Times New Roman"/>
                <w:color w:val="auto"/>
                <w:kern w:val="0"/>
                <w:sz w:val="24"/>
                <w:szCs w:val="24"/>
                <w:lang w:val="en-US" w:eastAsia="zh-CN" w:bidi="ar"/>
              </w:rPr>
              <w:t>本项目</w:t>
            </w:r>
            <w:r>
              <w:rPr>
                <w:rFonts w:hint="eastAsia" w:eastAsia="仿宋" w:cs="Times New Roman"/>
                <w:color w:val="auto"/>
                <w:kern w:val="0"/>
                <w:sz w:val="24"/>
                <w:szCs w:val="24"/>
                <w:lang w:val="en-US" w:eastAsia="zh-CN" w:bidi="ar"/>
              </w:rPr>
              <w:t>位于长荡湖旅游开发区内，</w:t>
            </w:r>
            <w:r>
              <w:rPr>
                <w:rFonts w:hint="eastAsia" w:ascii="Times New Roman" w:hAnsi="Times New Roman" w:eastAsia="仿宋" w:cs="Times New Roman"/>
                <w:color w:val="auto"/>
                <w:kern w:val="0"/>
                <w:sz w:val="24"/>
                <w:szCs w:val="24"/>
                <w:lang w:val="en-US" w:eastAsia="zh-CN" w:bidi="ar"/>
              </w:rPr>
              <w:t>施工人员住宿租用附近民房，不设置集中施工营地</w:t>
            </w:r>
            <w:r>
              <w:rPr>
                <w:rFonts w:hint="eastAsia" w:eastAsia="仿宋" w:cs="Times New Roman"/>
                <w:color w:val="auto"/>
                <w:kern w:val="0"/>
                <w:sz w:val="24"/>
                <w:szCs w:val="24"/>
                <w:lang w:val="en-US" w:eastAsia="zh-CN" w:bidi="ar"/>
              </w:rPr>
              <w:t>。</w:t>
            </w:r>
            <w:r>
              <w:rPr>
                <w:rFonts w:hint="eastAsia" w:ascii="Times New Roman" w:hAnsi="Times New Roman" w:eastAsia="仿宋" w:cs="Times New Roman"/>
                <w:color w:val="auto"/>
                <w:kern w:val="0"/>
                <w:sz w:val="24"/>
                <w:szCs w:val="24"/>
                <w:lang w:val="en-US" w:eastAsia="zh-CN" w:bidi="ar"/>
              </w:rPr>
              <w:t>施工建筑材料堆放区、机械临时堆放区以及隔油沉淀池均为临时工程，占地位于道路永久用地红线内，本项目施工便道利用现状老路，不新增施工便道，不再另行占地。</w:t>
            </w:r>
          </w:p>
        </w:tc>
      </w:tr>
    </w:tbl>
    <w:p w14:paraId="4AEBD721">
      <w:pPr>
        <w:rPr>
          <w:rFonts w:hint="eastAsia" w:ascii="黑体" w:hAnsi="黑体" w:eastAsia="黑体"/>
          <w:snapToGrid w:val="0"/>
          <w:color w:val="auto"/>
          <w:sz w:val="30"/>
          <w:szCs w:val="30"/>
          <w:highlight w:val="none"/>
          <w:lang w:val="en-US" w:eastAsia="zh-CN"/>
        </w:rPr>
      </w:pPr>
      <w:r>
        <w:rPr>
          <w:rFonts w:hint="eastAsia" w:ascii="黑体" w:hAnsi="黑体" w:eastAsia="黑体"/>
          <w:snapToGrid w:val="0"/>
          <w:color w:val="auto"/>
          <w:sz w:val="30"/>
          <w:szCs w:val="30"/>
          <w:highlight w:val="none"/>
          <w:lang w:val="en-US" w:eastAsia="zh-CN"/>
        </w:rPr>
        <w:br w:type="page"/>
      </w:r>
    </w:p>
    <w:tbl>
      <w:tblPr>
        <w:tblStyle w:val="24"/>
        <w:tblW w:w="8980" w:type="dxa"/>
        <w:tblInd w:w="-170"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fixed"/>
        <w:tblCellMar>
          <w:top w:w="0" w:type="dxa"/>
          <w:left w:w="108" w:type="dxa"/>
          <w:bottom w:w="0" w:type="dxa"/>
          <w:right w:w="108" w:type="dxa"/>
        </w:tblCellMar>
      </w:tblPr>
      <w:tblGrid>
        <w:gridCol w:w="426"/>
        <w:gridCol w:w="8554"/>
      </w:tblGrid>
      <w:tr w14:paraId="49C2DFA8">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12372" w:hRule="atLeast"/>
        </w:trPr>
        <w:tc>
          <w:tcPr>
            <w:tcW w:w="426" w:type="dxa"/>
            <w:tcBorders>
              <w:tl2br w:val="nil"/>
              <w:tr2bl w:val="nil"/>
            </w:tcBorders>
            <w:vAlign w:val="center"/>
          </w:tcPr>
          <w:p w14:paraId="5684BDF8">
            <w:pPr>
              <w:pStyle w:val="30"/>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仿宋" w:cs="Times New Roman"/>
                <w:color w:val="auto"/>
                <w:kern w:val="2"/>
                <w:sz w:val="21"/>
                <w:szCs w:val="21"/>
                <w:highlight w:val="none"/>
                <w:lang w:val="en-US" w:eastAsia="zh-CN" w:bidi="ar-SA"/>
              </w:rPr>
              <w:t>施工方案</w:t>
            </w:r>
          </w:p>
        </w:tc>
        <w:tc>
          <w:tcPr>
            <w:tcW w:w="8554" w:type="dxa"/>
            <w:tcBorders>
              <w:tl2br w:val="nil"/>
              <w:tr2bl w:val="nil"/>
            </w:tcBorders>
            <w:vAlign w:val="top"/>
          </w:tcPr>
          <w:p w14:paraId="2F95BC64">
            <w:pPr>
              <w:keepNext w:val="0"/>
              <w:keepLines w:val="0"/>
              <w:pageBreakBefore w:val="0"/>
              <w:widowControl/>
              <w:kinsoku/>
              <w:wordWrap/>
              <w:overflowPunct/>
              <w:topLinePunct w:val="0"/>
              <w:autoSpaceDE/>
              <w:autoSpaceDN/>
              <w:bidi w:val="0"/>
              <w:adjustRightInd w:val="0"/>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本项目拟施工方案如下：</w:t>
            </w:r>
          </w:p>
          <w:p w14:paraId="59FA9B9C">
            <w:pPr>
              <w:widowControl/>
              <w:autoSpaceDE/>
              <w:autoSpaceDN/>
              <w:adjustRightInd/>
              <w:ind w:left="0" w:leftChars="0" w:firstLine="0" w:firstLineChars="0"/>
              <w:rPr>
                <w:rFonts w:hint="default" w:ascii="Times New Roman" w:hAnsi="Times New Roman" w:eastAsia="仿宋"/>
                <w:b/>
                <w:bCs/>
                <w:color w:val="auto"/>
                <w:kern w:val="0"/>
                <w:sz w:val="24"/>
                <w:highlight w:val="none"/>
                <w:lang w:val="en-US" w:eastAsia="zh-CN"/>
              </w:rPr>
            </w:pPr>
            <w:r>
              <w:rPr>
                <w:rFonts w:hint="eastAsia" w:ascii="Times New Roman" w:hAnsi="Times New Roman" w:eastAsia="仿宋"/>
                <w:b/>
                <w:bCs/>
                <w:color w:val="auto"/>
                <w:kern w:val="0"/>
                <w:sz w:val="24"/>
                <w:highlight w:val="none"/>
                <w:lang w:val="en-US" w:eastAsia="zh-CN"/>
              </w:rPr>
              <w:t>一、新建</w:t>
            </w:r>
            <w:r>
              <w:rPr>
                <w:rFonts w:hint="eastAsia" w:eastAsia="仿宋"/>
                <w:b/>
                <w:bCs/>
                <w:color w:val="auto"/>
                <w:kern w:val="0"/>
                <w:sz w:val="24"/>
                <w:highlight w:val="none"/>
                <w:lang w:val="en-US" w:eastAsia="zh-CN"/>
              </w:rPr>
              <w:t>应急疏散通道</w:t>
            </w:r>
          </w:p>
          <w:p w14:paraId="717DAE93">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新建应急疏散通道，桥长约606m，宽5~15m，桥面面积约1.7272公顷，基础占地1360m</w:t>
            </w:r>
            <w:r>
              <w:rPr>
                <w:rFonts w:hint="eastAsia" w:eastAsia="仿宋"/>
                <w:color w:val="auto"/>
                <w:kern w:val="0"/>
                <w:sz w:val="24"/>
                <w:highlight w:val="none"/>
                <w:vertAlign w:val="superscript"/>
                <w:lang w:val="en-US" w:eastAsia="zh-CN"/>
              </w:rPr>
              <w:t>2</w:t>
            </w:r>
            <w:r>
              <w:rPr>
                <w:rFonts w:hint="eastAsia" w:eastAsia="仿宋"/>
                <w:color w:val="auto"/>
                <w:kern w:val="0"/>
                <w:sz w:val="24"/>
                <w:highlight w:val="none"/>
                <w:lang w:val="en-US" w:eastAsia="zh-CN"/>
              </w:rPr>
              <w:t>。桥的平面图类似飘带，采用钢箱连续梁方案施工。</w:t>
            </w:r>
          </w:p>
          <w:p w14:paraId="539AA8EE">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w:t>
            </w:r>
            <w:r>
              <w:rPr>
                <w:rFonts w:hint="default" w:eastAsia="仿宋"/>
                <w:color w:val="auto"/>
                <w:kern w:val="0"/>
                <w:sz w:val="24"/>
                <w:highlight w:val="none"/>
                <w:lang w:val="en-US" w:eastAsia="zh-CN"/>
              </w:rPr>
              <w:t>1</w:t>
            </w:r>
            <w:r>
              <w:rPr>
                <w:rFonts w:hint="eastAsia" w:eastAsia="仿宋"/>
                <w:color w:val="auto"/>
                <w:kern w:val="0"/>
                <w:sz w:val="24"/>
                <w:highlight w:val="none"/>
                <w:lang w:val="en-US" w:eastAsia="zh-CN"/>
              </w:rPr>
              <w:t>）桩基基础施工</w:t>
            </w:r>
          </w:p>
          <w:p w14:paraId="280D6264">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在施工之前，首先放出桥边线，根据桥边线确定便桥边线及中心线，确定便桥的起点位置和终点位置，并做好标记，同时测量出便桥两岸处的地面标高及便桥桥墩处的河底标。</w:t>
            </w:r>
          </w:p>
          <w:p w14:paraId="0BD64E0F">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施工进场后，先修补沿线土埂，在围堰合龙前，采用拉网赶鱼的方式将施工区域内鱼群赶入长荡湖水域，围堰合龙后进行抽水，场地内采用干法施工，施工便道沿围堰靠近桥梁一侧铺设，便道宽度不小于7m，支便道根据场地及施工需求铺设，宽度不小于3.5m，便道及支便道均采用抛石法铺设基底，并覆盖Q235B钢作为临时路面，桥桩采用吊机吊装，两桩并联浇筑，浇筑桩基础。桩基基础施工工艺流程图如图</w:t>
            </w:r>
            <w:r>
              <w:rPr>
                <w:rFonts w:hint="default" w:eastAsia="仿宋"/>
                <w:color w:val="auto"/>
                <w:kern w:val="0"/>
                <w:sz w:val="24"/>
                <w:highlight w:val="none"/>
                <w:lang w:val="en-US" w:eastAsia="zh-CN"/>
              </w:rPr>
              <w:t>2-</w:t>
            </w:r>
            <w:r>
              <w:rPr>
                <w:rFonts w:hint="eastAsia" w:eastAsia="仿宋"/>
                <w:color w:val="auto"/>
                <w:kern w:val="0"/>
                <w:sz w:val="24"/>
                <w:highlight w:val="none"/>
                <w:lang w:val="en-US" w:eastAsia="zh-CN"/>
              </w:rPr>
              <w:t>8所示。</w:t>
            </w:r>
          </w:p>
          <w:p w14:paraId="692AD43E">
            <w:pPr>
              <w:pStyle w:val="2"/>
              <w:jc w:val="center"/>
              <w:rPr>
                <w:rFonts w:hint="eastAsia"/>
                <w:lang w:val="en-US" w:eastAsia="zh-CN"/>
              </w:rPr>
            </w:pPr>
            <w:r>
              <w:rPr>
                <w:rFonts w:hint="eastAsia"/>
                <w:lang w:val="en-US" w:eastAsia="zh-CN"/>
              </w:rPr>
              <w:drawing>
                <wp:inline distT="0" distB="0" distL="114300" distR="114300">
                  <wp:extent cx="3177540" cy="3978910"/>
                  <wp:effectExtent l="0" t="0" r="0" b="0"/>
                  <wp:docPr id="14" name="ECB019B1-382A-4266-B25C-5B523AA43C14-1" descr="C:/Users/Administrator/AppData/Local/Temp/wps.fFzscA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CB019B1-382A-4266-B25C-5B523AA43C14-1" descr="C:/Users/Administrator/AppData/Local/Temp/wps.fFzscAwps"/>
                          <pic:cNvPicPr>
                            <a:picLocks noChangeAspect="1"/>
                          </pic:cNvPicPr>
                        </pic:nvPicPr>
                        <pic:blipFill>
                          <a:blip r:embed="rId28"/>
                          <a:stretch>
                            <a:fillRect/>
                          </a:stretch>
                        </pic:blipFill>
                        <pic:spPr>
                          <a:xfrm>
                            <a:off x="0" y="0"/>
                            <a:ext cx="3177540" cy="3978910"/>
                          </a:xfrm>
                          <a:prstGeom prst="rect">
                            <a:avLst/>
                          </a:prstGeom>
                        </pic:spPr>
                      </pic:pic>
                    </a:graphicData>
                  </a:graphic>
                </wp:inline>
              </w:drawing>
            </w:r>
          </w:p>
          <w:p w14:paraId="47971D03">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lang w:val="en-US" w:eastAsia="zh-CN"/>
              </w:rPr>
            </w:pPr>
            <w:r>
              <w:rPr>
                <w:rFonts w:hint="eastAsia" w:eastAsia="仿宋"/>
                <w:b/>
                <w:bCs/>
                <w:color w:val="auto"/>
                <w:kern w:val="0"/>
                <w:sz w:val="24"/>
                <w:highlight w:val="none"/>
                <w:lang w:val="en-US" w:eastAsia="zh-CN"/>
              </w:rPr>
              <w:t>图2-8 桩基基础施工工艺图</w:t>
            </w:r>
          </w:p>
          <w:p w14:paraId="4FFB4C6C">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w:t>
            </w:r>
            <w:r>
              <w:rPr>
                <w:rFonts w:hint="default" w:eastAsia="仿宋"/>
                <w:color w:val="auto"/>
                <w:kern w:val="0"/>
                <w:sz w:val="24"/>
                <w:highlight w:val="none"/>
                <w:lang w:val="en-US" w:eastAsia="zh-CN"/>
              </w:rPr>
              <w:t>2</w:t>
            </w:r>
            <w:r>
              <w:rPr>
                <w:rFonts w:hint="eastAsia" w:eastAsia="仿宋"/>
                <w:color w:val="auto"/>
                <w:kern w:val="0"/>
                <w:sz w:val="24"/>
                <w:highlight w:val="none"/>
                <w:lang w:val="en-US" w:eastAsia="zh-CN"/>
              </w:rPr>
              <w:t>）桥墩施工</w:t>
            </w:r>
          </w:p>
          <w:p w14:paraId="760B308F">
            <w:pPr>
              <w:keepNext w:val="0"/>
              <w:keepLines w:val="0"/>
              <w:widowControl/>
              <w:suppressLineNumbers w:val="0"/>
              <w:jc w:val="left"/>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本项目桥墩为实体方形墩，采用厂制钢模板拼装，钢筋在加工场加工好后运至现场绑扎，逐节浇筑混凝土墩柱，安装桥墩V形钢构，浇筑钢混结合段混凝土。墩身浇筑完成后先带模浇水养护，拆模后覆盖塑料膜养护。项目共计完成43个桥墩立柱，占地面积约0.0035公顷，墩身施工工艺流程图如图</w:t>
            </w:r>
            <w:r>
              <w:rPr>
                <w:rFonts w:hint="default" w:eastAsia="仿宋"/>
                <w:color w:val="auto"/>
                <w:kern w:val="0"/>
                <w:sz w:val="24"/>
                <w:highlight w:val="none"/>
                <w:lang w:val="en-US" w:eastAsia="zh-CN"/>
              </w:rPr>
              <w:t>2-</w:t>
            </w:r>
            <w:r>
              <w:rPr>
                <w:rFonts w:hint="eastAsia" w:eastAsia="仿宋"/>
                <w:color w:val="auto"/>
                <w:kern w:val="0"/>
                <w:sz w:val="24"/>
                <w:highlight w:val="none"/>
                <w:lang w:val="en-US" w:eastAsia="zh-CN"/>
              </w:rPr>
              <w:t>9所示。</w:t>
            </w:r>
          </w:p>
          <w:p w14:paraId="26D00778">
            <w:pPr>
              <w:keepNext w:val="0"/>
              <w:keepLines w:val="0"/>
              <w:pageBreakBefore w:val="0"/>
              <w:widowControl/>
              <w:kinsoku/>
              <w:wordWrap/>
              <w:overflowPunct/>
              <w:topLinePunct w:val="0"/>
              <w:autoSpaceDE/>
              <w:autoSpaceDN/>
              <w:bidi w:val="0"/>
              <w:adjustRightInd/>
              <w:snapToGrid/>
              <w:ind w:firstLine="480" w:firstLineChars="200"/>
              <w:jc w:val="center"/>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drawing>
                <wp:inline distT="0" distB="0" distL="114300" distR="114300">
                  <wp:extent cx="2334260" cy="3194050"/>
                  <wp:effectExtent l="0" t="0" r="0" b="0"/>
                  <wp:docPr id="27" name="ECB019B1-382A-4266-B25C-5B523AA43C14-2" descr="C:/Users/Administrator/AppData/Local/Temp/wps.XlpYM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CB019B1-382A-4266-B25C-5B523AA43C14-2" descr="C:/Users/Administrator/AppData/Local/Temp/wps.XlpYMLwps"/>
                          <pic:cNvPicPr>
                            <a:picLocks noChangeAspect="1"/>
                          </pic:cNvPicPr>
                        </pic:nvPicPr>
                        <pic:blipFill>
                          <a:blip r:embed="rId29"/>
                          <a:stretch>
                            <a:fillRect/>
                          </a:stretch>
                        </pic:blipFill>
                        <pic:spPr>
                          <a:xfrm>
                            <a:off x="0" y="0"/>
                            <a:ext cx="2334260" cy="3194050"/>
                          </a:xfrm>
                          <a:prstGeom prst="rect">
                            <a:avLst/>
                          </a:prstGeom>
                        </pic:spPr>
                      </pic:pic>
                    </a:graphicData>
                  </a:graphic>
                </wp:inline>
              </w:drawing>
            </w:r>
          </w:p>
          <w:p w14:paraId="201A0A45">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lang w:val="en-US" w:eastAsia="zh-CN"/>
              </w:rPr>
            </w:pPr>
            <w:r>
              <w:rPr>
                <w:rFonts w:hint="eastAsia" w:eastAsia="仿宋"/>
                <w:b/>
                <w:bCs/>
                <w:color w:val="auto"/>
                <w:kern w:val="0"/>
                <w:sz w:val="24"/>
                <w:highlight w:val="none"/>
                <w:lang w:val="en-US" w:eastAsia="zh-CN"/>
              </w:rPr>
              <w:t>图2-9 墩身施工工艺图</w:t>
            </w:r>
          </w:p>
          <w:p w14:paraId="2352ED5A">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default" w:eastAsia="仿宋"/>
                <w:color w:val="auto"/>
                <w:kern w:val="0"/>
                <w:sz w:val="24"/>
                <w:highlight w:val="none"/>
                <w:lang w:val="en-US" w:eastAsia="zh-CN"/>
              </w:rPr>
            </w:pPr>
            <w:r>
              <w:rPr>
                <w:rFonts w:hint="eastAsia" w:eastAsia="仿宋"/>
                <w:color w:val="auto"/>
                <w:kern w:val="0"/>
                <w:sz w:val="24"/>
                <w:highlight w:val="none"/>
                <w:lang w:val="en-US" w:eastAsia="zh-CN"/>
              </w:rPr>
              <w:t>（</w:t>
            </w:r>
            <w:r>
              <w:rPr>
                <w:rFonts w:hint="default" w:eastAsia="仿宋"/>
                <w:color w:val="auto"/>
                <w:kern w:val="0"/>
                <w:sz w:val="24"/>
                <w:highlight w:val="none"/>
                <w:lang w:val="en-US" w:eastAsia="zh-CN"/>
              </w:rPr>
              <w:t>3</w:t>
            </w:r>
            <w:r>
              <w:rPr>
                <w:rFonts w:hint="eastAsia" w:eastAsia="仿宋"/>
                <w:color w:val="auto"/>
                <w:kern w:val="0"/>
                <w:sz w:val="24"/>
                <w:highlight w:val="none"/>
                <w:lang w:val="en-US" w:eastAsia="zh-CN"/>
              </w:rPr>
              <w:t>）钢箱梁及桥台施工</w:t>
            </w:r>
          </w:p>
          <w:p w14:paraId="5AE9CC88">
            <w:pPr>
              <w:keepNext w:val="0"/>
              <w:keepLines w:val="0"/>
              <w:widowControl/>
              <w:suppressLineNumbers w:val="0"/>
              <w:jc w:val="left"/>
              <w:rPr>
                <w:rFonts w:hint="default" w:eastAsia="仿宋"/>
                <w:color w:val="auto"/>
                <w:kern w:val="0"/>
                <w:sz w:val="24"/>
                <w:highlight w:val="none"/>
                <w:lang w:val="en-US" w:eastAsia="zh-CN"/>
              </w:rPr>
            </w:pPr>
            <w:r>
              <w:rPr>
                <w:rFonts w:hint="eastAsia" w:eastAsia="仿宋"/>
                <w:color w:val="auto"/>
                <w:kern w:val="0"/>
                <w:sz w:val="24"/>
                <w:highlight w:val="none"/>
                <w:lang w:val="en-US" w:eastAsia="zh-CN"/>
              </w:rPr>
              <w:t>钢箱梁施工采用工厂整体制作，分段运输，现场搭设临时支撑，分段吊装，桥位焊接的模式进行。主梁分段根据设计分段要求进行，应急疏散通道分成10联（3×20=60m钢箱梁）制作，单联钢箱梁长60米，高0.8m，桥面宽为变宽度设计，最窄处宽 5m，最宽处为 15.8m，设置两处休息区及一处雕塑摆放区。桥面宽度由起点处的 5m→10m（休息区）→5m→15.8m（雕塑摆放区）→5m→10m（休息区）→5m→终点。再叠加平面曲线布置。钢箱梁采用吊机吊装方式入场，东西两岸同步施工，于桥梁中点合龙。</w:t>
            </w:r>
          </w:p>
          <w:p w14:paraId="2AD5E12A">
            <w:pPr>
              <w:keepNext w:val="0"/>
              <w:keepLines w:val="0"/>
              <w:widowControl/>
              <w:suppressLineNumbers w:val="0"/>
              <w:jc w:val="left"/>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本工程桥台为两座现浇实体方形桥台，台帽采用厂制钢模板拼装，钢筋在加工场加工好后运至现场绑扎，混凝土均为外购，由混凝土搅拌运输车运送至现场，混凝土一次整体浇筑成形，混凝土通过泵送入模。砼浇筑完成后先带模浇水养生，拆模后覆盖塑料膜养生，模板在钢箱梁钢箱梁及桥台间充当安装合龙，钢箱梁及桥台施工工艺流程图如图</w:t>
            </w:r>
            <w:r>
              <w:rPr>
                <w:rFonts w:hint="default" w:eastAsia="仿宋"/>
                <w:color w:val="auto"/>
                <w:kern w:val="0"/>
                <w:sz w:val="24"/>
                <w:highlight w:val="none"/>
                <w:lang w:val="en-US" w:eastAsia="zh-CN"/>
              </w:rPr>
              <w:t>2</w:t>
            </w:r>
            <w:r>
              <w:rPr>
                <w:rFonts w:hint="eastAsia" w:eastAsia="仿宋"/>
                <w:color w:val="auto"/>
                <w:kern w:val="0"/>
                <w:sz w:val="24"/>
                <w:highlight w:val="none"/>
                <w:lang w:val="en-US" w:eastAsia="zh-CN"/>
              </w:rPr>
              <w:t>-10所示。</w:t>
            </w:r>
          </w:p>
          <w:p w14:paraId="03B7EBFC">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
                <w:b/>
                <w:bCs/>
                <w:color w:val="auto"/>
                <w:kern w:val="0"/>
                <w:sz w:val="24"/>
                <w:highlight w:val="none"/>
                <w:lang w:val="en-US" w:eastAsia="zh-CN"/>
              </w:rPr>
            </w:pPr>
            <w:r>
              <w:rPr>
                <w:rFonts w:hint="eastAsia" w:eastAsia="仿宋"/>
                <w:b/>
                <w:bCs/>
                <w:color w:val="auto"/>
                <w:kern w:val="0"/>
                <w:sz w:val="24"/>
                <w:highlight w:val="none"/>
                <w:lang w:val="en-US" w:eastAsia="zh-CN"/>
              </w:rPr>
              <w:drawing>
                <wp:inline distT="0" distB="0" distL="114300" distR="114300">
                  <wp:extent cx="3928110" cy="5281930"/>
                  <wp:effectExtent l="0" t="0" r="0" b="0"/>
                  <wp:docPr id="28" name="ECB019B1-382A-4266-B25C-5B523AA43C14-3" descr="C:/Users/Administrator/AppData/Local/Temp/wps.jVhBJC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CB019B1-382A-4266-B25C-5B523AA43C14-3" descr="C:/Users/Administrator/AppData/Local/Temp/wps.jVhBJCwps"/>
                          <pic:cNvPicPr>
                            <a:picLocks noChangeAspect="1"/>
                          </pic:cNvPicPr>
                        </pic:nvPicPr>
                        <pic:blipFill>
                          <a:blip r:embed="rId30"/>
                          <a:stretch>
                            <a:fillRect/>
                          </a:stretch>
                        </pic:blipFill>
                        <pic:spPr>
                          <a:xfrm>
                            <a:off x="0" y="0"/>
                            <a:ext cx="3928110" cy="5281930"/>
                          </a:xfrm>
                          <a:prstGeom prst="rect">
                            <a:avLst/>
                          </a:prstGeom>
                        </pic:spPr>
                      </pic:pic>
                    </a:graphicData>
                  </a:graphic>
                </wp:inline>
              </w:drawing>
            </w:r>
          </w:p>
          <w:p w14:paraId="07127D5D">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
                <w:color w:val="auto"/>
                <w:kern w:val="0"/>
                <w:sz w:val="24"/>
                <w:highlight w:val="none"/>
                <w:lang w:val="en-US" w:eastAsia="zh-CN"/>
              </w:rPr>
            </w:pPr>
            <w:r>
              <w:rPr>
                <w:rFonts w:hint="eastAsia" w:eastAsia="仿宋"/>
                <w:b/>
                <w:bCs/>
                <w:color w:val="auto"/>
                <w:kern w:val="0"/>
                <w:sz w:val="24"/>
                <w:highlight w:val="none"/>
                <w:lang w:val="en-US" w:eastAsia="zh-CN"/>
              </w:rPr>
              <w:t>图2-10 钢箱梁及桥台施工工艺图</w:t>
            </w:r>
          </w:p>
          <w:p w14:paraId="62DF075F">
            <w:pPr>
              <w:keepNext w:val="0"/>
              <w:keepLines w:val="0"/>
              <w:widowControl/>
              <w:suppressLineNumbers w:val="0"/>
              <w:jc w:val="left"/>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（4）桥面施工</w:t>
            </w:r>
          </w:p>
          <w:p w14:paraId="1CAEC527">
            <w:pPr>
              <w:keepNext w:val="0"/>
              <w:keepLines w:val="0"/>
              <w:widowControl/>
              <w:suppressLineNumbers w:val="0"/>
              <w:jc w:val="left"/>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钢桥面铺装采用薄层铺装体系。材料为高分子胶粘剂与单级配集料组成的高分子树脂混凝土结合料。薄层铺装主要是指由树脂类高分子胶粘剂和单粒径集料组成，本工程采用摊铺厚度为7mm。桥面铺装结束后，还将进行桥面护栏、眺望大台阶、花池坐凳、标线绘制、监控、灯光、升降桩、装饰牌等附属设施的施工，桥面施工工艺流程图如图</w:t>
            </w:r>
            <w:r>
              <w:rPr>
                <w:rFonts w:hint="default" w:eastAsia="仿宋"/>
                <w:color w:val="auto"/>
                <w:kern w:val="0"/>
                <w:sz w:val="24"/>
                <w:highlight w:val="none"/>
                <w:lang w:val="en-US" w:eastAsia="zh-CN"/>
              </w:rPr>
              <w:t>2-</w:t>
            </w:r>
            <w:r>
              <w:rPr>
                <w:rFonts w:hint="eastAsia" w:eastAsia="仿宋"/>
                <w:color w:val="auto"/>
                <w:kern w:val="0"/>
                <w:sz w:val="24"/>
                <w:highlight w:val="none"/>
                <w:lang w:val="en-US" w:eastAsia="zh-CN"/>
              </w:rPr>
              <w:t>11所示。</w:t>
            </w:r>
          </w:p>
          <w:p w14:paraId="14B8967D">
            <w:pPr>
              <w:keepNext w:val="0"/>
              <w:keepLines w:val="0"/>
              <w:widowControl/>
              <w:suppressLineNumbers w:val="0"/>
              <w:ind w:left="0" w:leftChars="0" w:firstLine="0" w:firstLineChars="0"/>
              <w:jc w:val="center"/>
              <w:rPr>
                <w:rFonts w:hint="eastAsia"/>
                <w:lang w:val="en-US" w:eastAsia="zh-CN"/>
              </w:rPr>
            </w:pPr>
            <w:r>
              <w:rPr>
                <w:rFonts w:hint="eastAsia"/>
                <w:lang w:val="en-US" w:eastAsia="zh-CN"/>
              </w:rPr>
              <w:drawing>
                <wp:inline distT="0" distB="0" distL="114300" distR="114300">
                  <wp:extent cx="1409700" cy="3308350"/>
                  <wp:effectExtent l="0" t="0" r="0" b="0"/>
                  <wp:docPr id="36" name="ECB019B1-382A-4266-B25C-5B523AA43C14-4"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CB019B1-382A-4266-B25C-5B523AA43C14-4" descr="wps"/>
                          <pic:cNvPicPr>
                            <a:picLocks noChangeAspect="1"/>
                          </pic:cNvPicPr>
                        </pic:nvPicPr>
                        <pic:blipFill>
                          <a:blip r:embed="rId31"/>
                          <a:stretch>
                            <a:fillRect/>
                          </a:stretch>
                        </pic:blipFill>
                        <pic:spPr>
                          <a:xfrm>
                            <a:off x="0" y="0"/>
                            <a:ext cx="1409700" cy="3308350"/>
                          </a:xfrm>
                          <a:prstGeom prst="rect">
                            <a:avLst/>
                          </a:prstGeom>
                        </pic:spPr>
                      </pic:pic>
                    </a:graphicData>
                  </a:graphic>
                </wp:inline>
              </w:drawing>
            </w:r>
          </w:p>
          <w:p w14:paraId="146E5ED4">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
                <w:color w:val="auto"/>
                <w:kern w:val="0"/>
                <w:sz w:val="24"/>
                <w:highlight w:val="none"/>
                <w:lang w:val="en-US" w:eastAsia="zh-CN"/>
              </w:rPr>
            </w:pPr>
            <w:r>
              <w:rPr>
                <w:rFonts w:hint="eastAsia" w:eastAsia="仿宋"/>
                <w:b/>
                <w:bCs/>
                <w:color w:val="auto"/>
                <w:kern w:val="0"/>
                <w:sz w:val="24"/>
                <w:highlight w:val="none"/>
                <w:lang w:val="en-US" w:eastAsia="zh-CN"/>
              </w:rPr>
              <w:t>图2-11 桥面施工工艺图</w:t>
            </w:r>
          </w:p>
          <w:p w14:paraId="78252352">
            <w:pPr>
              <w:keepNext w:val="0"/>
              <w:keepLines w:val="0"/>
              <w:widowControl/>
              <w:suppressLineNumbers w:val="0"/>
              <w:jc w:val="left"/>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（5）路面施工</w:t>
            </w:r>
          </w:p>
          <w:p w14:paraId="09E03FC7">
            <w:pPr>
              <w:keepNext w:val="0"/>
              <w:keepLines w:val="0"/>
              <w:widowControl/>
              <w:suppressLineNumbers w:val="0"/>
              <w:jc w:val="left"/>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项目经前期勘察、施工设计后，对现状地面进行破土开挖工作，路基施工以机械施工为主，配合人工作业，以分层平铺法平铺填筑，分层压实，土石方均采用机械化施工，土方在场地内平衡。路面填土必须符合《道路路基施工技术规范》要求，分层进行碾压，并达到规定压实度。填土按照规范设置一定的排水横披，填土时分层填土、压实，适当加大填土宽度和高度，多余部分利用平地机或其他方法铲除修整；路面施工为沥青混合料采用拌和场集中生产的沥青混合料，由自卸卡车运送至施工现场，由沥青摊铺机摊铺，并采用压路机进行压实。路面施工结束后，对道路进行划线及道路绿化，项目整体完成后与应急疏散通道一同验收。</w:t>
            </w:r>
          </w:p>
          <w:p w14:paraId="16F43B46">
            <w:pPr>
              <w:widowControl/>
              <w:autoSpaceDE/>
              <w:autoSpaceDN/>
              <w:adjustRightInd/>
              <w:ind w:left="0" w:leftChars="0" w:firstLine="0" w:firstLineChars="0"/>
              <w:rPr>
                <w:rFonts w:hint="eastAsia" w:ascii="Times New Roman" w:hAnsi="Times New Roman" w:eastAsia="仿宋"/>
                <w:b/>
                <w:bCs/>
                <w:color w:val="auto"/>
                <w:kern w:val="0"/>
                <w:sz w:val="24"/>
                <w:highlight w:val="none"/>
                <w:lang w:val="en-US" w:eastAsia="zh-CN"/>
              </w:rPr>
            </w:pPr>
            <w:r>
              <w:rPr>
                <w:rFonts w:hint="eastAsia" w:ascii="Times New Roman" w:hAnsi="Times New Roman" w:eastAsia="仿宋"/>
                <w:b/>
                <w:bCs/>
                <w:color w:val="auto"/>
                <w:kern w:val="0"/>
                <w:sz w:val="24"/>
                <w:highlight w:val="none"/>
                <w:lang w:val="en-US" w:eastAsia="zh-CN"/>
              </w:rPr>
              <w:drawing>
                <wp:inline distT="0" distB="0" distL="114300" distR="114300">
                  <wp:extent cx="5292090" cy="802005"/>
                  <wp:effectExtent l="0" t="0" r="0" b="0"/>
                  <wp:docPr id="68" name="ECB019B1-382A-4266-B25C-5B523AA43C14-5"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CB019B1-382A-4266-B25C-5B523AA43C14-5" descr="wps"/>
                          <pic:cNvPicPr>
                            <a:picLocks noChangeAspect="1"/>
                          </pic:cNvPicPr>
                        </pic:nvPicPr>
                        <pic:blipFill>
                          <a:blip r:embed="rId32"/>
                          <a:stretch>
                            <a:fillRect/>
                          </a:stretch>
                        </pic:blipFill>
                        <pic:spPr>
                          <a:xfrm>
                            <a:off x="0" y="0"/>
                            <a:ext cx="5292090" cy="802005"/>
                          </a:xfrm>
                          <a:prstGeom prst="rect">
                            <a:avLst/>
                          </a:prstGeom>
                        </pic:spPr>
                      </pic:pic>
                    </a:graphicData>
                  </a:graphic>
                </wp:inline>
              </w:drawing>
            </w:r>
          </w:p>
          <w:p w14:paraId="245C065D">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
                <w:color w:val="auto"/>
                <w:kern w:val="0"/>
                <w:sz w:val="24"/>
                <w:highlight w:val="none"/>
                <w:lang w:val="en-US" w:eastAsia="zh-CN"/>
              </w:rPr>
            </w:pPr>
            <w:r>
              <w:rPr>
                <w:rFonts w:hint="eastAsia" w:eastAsia="仿宋"/>
                <w:b/>
                <w:bCs/>
                <w:color w:val="auto"/>
                <w:kern w:val="0"/>
                <w:sz w:val="24"/>
                <w:highlight w:val="none"/>
                <w:lang w:val="en-US" w:eastAsia="zh-CN"/>
              </w:rPr>
              <w:t>图2-12 路面施工工艺图</w:t>
            </w:r>
          </w:p>
          <w:p w14:paraId="1FA64121">
            <w:pPr>
              <w:widowControl/>
              <w:autoSpaceDE/>
              <w:autoSpaceDN/>
              <w:adjustRightInd/>
              <w:ind w:left="0" w:leftChars="0" w:firstLine="0" w:firstLineChars="0"/>
              <w:rPr>
                <w:rFonts w:hint="default" w:ascii="Times New Roman" w:hAnsi="Times New Roman" w:eastAsia="仿宋"/>
                <w:b/>
                <w:bCs/>
                <w:color w:val="auto"/>
                <w:kern w:val="0"/>
                <w:sz w:val="24"/>
                <w:highlight w:val="none"/>
                <w:lang w:val="en-US" w:eastAsia="zh-CN"/>
              </w:rPr>
            </w:pPr>
            <w:r>
              <w:rPr>
                <w:rFonts w:hint="eastAsia" w:ascii="Times New Roman" w:hAnsi="Times New Roman" w:eastAsia="仿宋"/>
                <w:b/>
                <w:bCs/>
                <w:color w:val="auto"/>
                <w:kern w:val="0"/>
                <w:sz w:val="24"/>
                <w:highlight w:val="none"/>
                <w:lang w:val="en-US" w:eastAsia="zh-CN"/>
              </w:rPr>
              <w:t>二、步行桥景观提升</w:t>
            </w:r>
          </w:p>
          <w:p w14:paraId="16C2E7A5">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default" w:ascii="Times New Roman" w:hAnsi="Times New Roman" w:eastAsia="仿宋"/>
                <w:b w:val="0"/>
                <w:bCs w:val="0"/>
                <w:color w:val="auto"/>
                <w:kern w:val="0"/>
                <w:sz w:val="24"/>
                <w:highlight w:val="none"/>
                <w:lang w:val="en-US" w:eastAsia="zh-CN"/>
              </w:rPr>
            </w:pPr>
            <w:r>
              <w:rPr>
                <w:rFonts w:hint="eastAsia" w:ascii="Times New Roman" w:hAnsi="Times New Roman" w:eastAsia="仿宋"/>
                <w:b w:val="0"/>
                <w:bCs w:val="0"/>
                <w:color w:val="auto"/>
                <w:kern w:val="0"/>
                <w:sz w:val="24"/>
                <w:highlight w:val="none"/>
                <w:lang w:val="en-US" w:eastAsia="zh-CN"/>
              </w:rPr>
              <w:t>（1）</w:t>
            </w:r>
            <w:r>
              <w:rPr>
                <w:rFonts w:hint="eastAsia" w:eastAsia="仿宋"/>
                <w:b w:val="0"/>
                <w:bCs w:val="0"/>
                <w:color w:val="auto"/>
                <w:kern w:val="0"/>
                <w:sz w:val="24"/>
                <w:highlight w:val="none"/>
                <w:lang w:val="en-US" w:eastAsia="zh-CN"/>
              </w:rPr>
              <w:t>眺望大台阶</w:t>
            </w:r>
          </w:p>
          <w:p w14:paraId="784FEE47">
            <w:pPr>
              <w:pStyle w:val="9"/>
              <w:rPr>
                <w:rFonts w:hint="default" w:eastAsia="仿宋"/>
                <w:color w:val="auto"/>
                <w:kern w:val="0"/>
                <w:sz w:val="24"/>
                <w:highlight w:val="none"/>
                <w:lang w:val="en-US" w:eastAsia="zh-CN"/>
              </w:rPr>
            </w:pPr>
            <w:r>
              <w:rPr>
                <w:rFonts w:hint="eastAsia" w:eastAsia="仿宋"/>
                <w:color w:val="auto"/>
                <w:kern w:val="0"/>
                <w:sz w:val="24"/>
                <w:highlight w:val="none"/>
                <w:lang w:val="en-US" w:eastAsia="zh-CN"/>
              </w:rPr>
              <w:t>本项目于步行桥中段设计一处</w:t>
            </w:r>
            <w:r>
              <w:rPr>
                <w:rFonts w:hint="eastAsia" w:eastAsia="仿宋"/>
                <w:b w:val="0"/>
                <w:bCs w:val="0"/>
                <w:color w:val="auto"/>
                <w:kern w:val="0"/>
                <w:sz w:val="24"/>
                <w:highlight w:val="none"/>
                <w:lang w:val="en-US" w:eastAsia="zh-CN"/>
              </w:rPr>
              <w:t>眺望大台阶面向长荡湖湖面，大台阶不仅提供了一个供人们休息、集会的空间，还为长荡湖自然景观提供了一个观景点，增强了长荡湖体育运动公园的公共空间和景观体验。</w:t>
            </w:r>
          </w:p>
          <w:p w14:paraId="13651B3D">
            <w:pPr>
              <w:pStyle w:val="9"/>
              <w:rPr>
                <w:rFonts w:hint="default" w:ascii="Times New Roman" w:hAnsi="Times New Roman" w:eastAsia="仿宋"/>
                <w:b w:val="0"/>
                <w:bCs w:val="0"/>
                <w:color w:val="auto"/>
                <w:kern w:val="0"/>
                <w:sz w:val="24"/>
                <w:highlight w:val="none"/>
                <w:lang w:val="en-US" w:eastAsia="zh-CN"/>
              </w:rPr>
            </w:pPr>
            <w:r>
              <w:rPr>
                <w:rFonts w:hint="eastAsia" w:eastAsia="仿宋"/>
                <w:color w:val="auto"/>
                <w:kern w:val="0"/>
                <w:sz w:val="24"/>
                <w:highlight w:val="none"/>
                <w:lang w:val="en-US" w:eastAsia="zh-CN"/>
              </w:rPr>
              <w:t>搭建支架</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完善设施</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玻璃铺装</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表面装饰</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完工。</w:t>
            </w:r>
          </w:p>
          <w:p w14:paraId="29F48ACC">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
                <w:b/>
                <w:bCs/>
                <w:color w:val="auto"/>
                <w:kern w:val="0"/>
                <w:sz w:val="24"/>
                <w:highlight w:val="none"/>
                <w:lang w:val="en-US" w:eastAsia="zh-CN"/>
              </w:rPr>
            </w:pPr>
            <w:r>
              <w:drawing>
                <wp:inline distT="0" distB="0" distL="114300" distR="114300">
                  <wp:extent cx="5288280" cy="1751330"/>
                  <wp:effectExtent l="0" t="0" r="7620" b="1270"/>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33"/>
                          <a:stretch>
                            <a:fillRect/>
                          </a:stretch>
                        </pic:blipFill>
                        <pic:spPr>
                          <a:xfrm>
                            <a:off x="0" y="0"/>
                            <a:ext cx="5288280" cy="1751330"/>
                          </a:xfrm>
                          <a:prstGeom prst="rect">
                            <a:avLst/>
                          </a:prstGeom>
                          <a:noFill/>
                          <a:ln>
                            <a:noFill/>
                          </a:ln>
                        </pic:spPr>
                      </pic:pic>
                    </a:graphicData>
                  </a:graphic>
                </wp:inline>
              </w:drawing>
            </w:r>
          </w:p>
          <w:p w14:paraId="275463BB">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
                <w:b w:val="0"/>
                <w:bCs w:val="0"/>
                <w:color w:val="auto"/>
                <w:kern w:val="0"/>
                <w:sz w:val="24"/>
                <w:highlight w:val="none"/>
                <w:lang w:val="en-US" w:eastAsia="zh-CN"/>
              </w:rPr>
            </w:pPr>
            <w:r>
              <w:rPr>
                <w:rFonts w:hint="eastAsia" w:eastAsia="仿宋"/>
                <w:b/>
                <w:bCs/>
                <w:color w:val="auto"/>
                <w:kern w:val="0"/>
                <w:sz w:val="24"/>
                <w:highlight w:val="none"/>
                <w:lang w:val="en-US" w:eastAsia="zh-CN"/>
              </w:rPr>
              <w:t>图2-13 眺望大台阶模型图</w:t>
            </w:r>
          </w:p>
          <w:p w14:paraId="786DAC05">
            <w:pPr>
              <w:pStyle w:val="10"/>
              <w:numPr>
                <w:ilvl w:val="0"/>
                <w:numId w:val="0"/>
              </w:numPr>
              <w:ind w:leftChars="200"/>
              <w:rPr>
                <w:rFonts w:hint="default" w:ascii="Times New Roman" w:hAnsi="Times New Roman" w:eastAsia="仿宋"/>
                <w:b w:val="0"/>
                <w:bCs w:val="0"/>
                <w:color w:val="auto"/>
                <w:kern w:val="0"/>
                <w:sz w:val="24"/>
                <w:highlight w:val="none"/>
                <w:lang w:val="en-US" w:eastAsia="zh-CN"/>
              </w:rPr>
            </w:pPr>
            <w:r>
              <w:rPr>
                <w:rFonts w:hint="eastAsia" w:ascii="Times New Roman" w:hAnsi="Times New Roman" w:eastAsia="仿宋"/>
                <w:b w:val="0"/>
                <w:bCs w:val="0"/>
                <w:color w:val="auto"/>
                <w:kern w:val="0"/>
                <w:sz w:val="24"/>
                <w:highlight w:val="none"/>
                <w:lang w:val="en-US" w:eastAsia="zh-CN"/>
              </w:rPr>
              <w:t>（2）</w:t>
            </w:r>
            <w:r>
              <w:rPr>
                <w:rFonts w:hint="eastAsia" w:eastAsia="仿宋"/>
                <w:b w:val="0"/>
                <w:bCs w:val="0"/>
                <w:color w:val="auto"/>
                <w:kern w:val="0"/>
                <w:sz w:val="24"/>
                <w:highlight w:val="none"/>
                <w:lang w:val="en-US" w:eastAsia="zh-CN"/>
              </w:rPr>
              <w:t>花池坐凳</w:t>
            </w:r>
          </w:p>
          <w:p w14:paraId="057DBAC8">
            <w:pPr>
              <w:pStyle w:val="1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ascii="Times New Roman" w:hAnsi="Times New Roman" w:eastAsia="仿宋" w:cstheme="minorBidi"/>
                <w:b w:val="0"/>
                <w:bCs w:val="0"/>
                <w:color w:val="auto"/>
                <w:kern w:val="0"/>
                <w:sz w:val="24"/>
                <w:szCs w:val="22"/>
                <w:highlight w:val="none"/>
                <w:lang w:val="en-US" w:eastAsia="zh-CN" w:bidi="ar-SA"/>
              </w:rPr>
            </w:pPr>
            <w:r>
              <w:rPr>
                <w:rFonts w:hint="eastAsia" w:eastAsia="仿宋" w:cstheme="minorBidi"/>
                <w:b w:val="0"/>
                <w:bCs w:val="0"/>
                <w:color w:val="auto"/>
                <w:kern w:val="0"/>
                <w:sz w:val="24"/>
                <w:szCs w:val="22"/>
                <w:highlight w:val="none"/>
                <w:lang w:val="en-US" w:eastAsia="zh-CN" w:bidi="ar-SA"/>
              </w:rPr>
              <w:t>本工程考虑到人行动的动线，避免阻碍通行，同时创造视觉焦点，在桥梁两端景观的对角线上布置两处花池坐凳，提升桥面的美感和舒适度，同时为游客提供了不同的长荡湖观赏角度与体验</w:t>
            </w:r>
            <w:r>
              <w:rPr>
                <w:rFonts w:hint="eastAsia" w:ascii="Times New Roman" w:hAnsi="Times New Roman" w:eastAsia="仿宋" w:cstheme="minorBidi"/>
                <w:b w:val="0"/>
                <w:bCs w:val="0"/>
                <w:color w:val="auto"/>
                <w:kern w:val="0"/>
                <w:sz w:val="24"/>
                <w:szCs w:val="22"/>
                <w:highlight w:val="none"/>
                <w:lang w:val="en-US" w:eastAsia="zh-CN" w:bidi="ar-SA"/>
              </w:rPr>
              <w:t>。</w:t>
            </w:r>
          </w:p>
          <w:p w14:paraId="05383C27">
            <w:pPr>
              <w:pStyle w:val="9"/>
              <w:rPr>
                <w:rFonts w:hint="default" w:ascii="Times New Roman" w:hAnsi="Times New Roman" w:eastAsia="仿宋"/>
                <w:b w:val="0"/>
                <w:bCs w:val="0"/>
                <w:color w:val="auto"/>
                <w:kern w:val="0"/>
                <w:sz w:val="24"/>
                <w:highlight w:val="none"/>
                <w:lang w:val="en-US" w:eastAsia="zh-CN"/>
              </w:rPr>
            </w:pPr>
            <w:r>
              <w:rPr>
                <w:rFonts w:hint="eastAsia" w:eastAsia="仿宋"/>
                <w:color w:val="auto"/>
                <w:kern w:val="0"/>
                <w:sz w:val="24"/>
                <w:highlight w:val="none"/>
                <w:lang w:val="en-US" w:eastAsia="zh-CN"/>
              </w:rPr>
              <w:t>搭建支架</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完善设施</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表面铺装</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绿化装饰</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完工。</w:t>
            </w:r>
          </w:p>
          <w:p w14:paraId="103B242D">
            <w:pPr>
              <w:pStyle w:val="10"/>
              <w:numPr>
                <w:ilvl w:val="0"/>
                <w:numId w:val="0"/>
              </w:numPr>
              <w:ind w:leftChars="200"/>
              <w:rPr>
                <w:rFonts w:hint="eastAsia" w:ascii="Times New Roman" w:hAnsi="Times New Roman" w:eastAsia="仿宋" w:cstheme="minorBidi"/>
                <w:b w:val="0"/>
                <w:bCs w:val="0"/>
                <w:color w:val="auto"/>
                <w:kern w:val="0"/>
                <w:sz w:val="24"/>
                <w:szCs w:val="22"/>
                <w:highlight w:val="none"/>
                <w:lang w:val="en-US" w:eastAsia="zh-CN" w:bidi="ar-SA"/>
              </w:rPr>
            </w:pPr>
            <w:r>
              <w:rPr>
                <w:rFonts w:hint="eastAsia" w:ascii="Times New Roman" w:hAnsi="Times New Roman" w:eastAsia="仿宋" w:cstheme="minorBidi"/>
                <w:b w:val="0"/>
                <w:bCs w:val="0"/>
                <w:color w:val="auto"/>
                <w:kern w:val="0"/>
                <w:sz w:val="24"/>
                <w:szCs w:val="22"/>
                <w:highlight w:val="none"/>
                <w:lang w:val="en-US" w:eastAsia="zh-CN" w:bidi="ar-SA"/>
              </w:rPr>
              <w:t>（3）</w:t>
            </w:r>
            <w:r>
              <w:rPr>
                <w:rFonts w:hint="eastAsia" w:eastAsia="仿宋" w:cstheme="minorBidi"/>
                <w:b w:val="0"/>
                <w:bCs w:val="0"/>
                <w:color w:val="auto"/>
                <w:kern w:val="0"/>
                <w:sz w:val="24"/>
                <w:szCs w:val="22"/>
                <w:highlight w:val="none"/>
                <w:lang w:val="en-US" w:eastAsia="zh-CN" w:bidi="ar-SA"/>
              </w:rPr>
              <w:t>景观护栏</w:t>
            </w:r>
          </w:p>
          <w:p w14:paraId="51EB0F3C">
            <w:pPr>
              <w:pStyle w:val="1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eastAsia="仿宋"/>
                <w:b w:val="0"/>
                <w:bCs w:val="0"/>
                <w:color w:val="auto"/>
                <w:kern w:val="0"/>
                <w:sz w:val="24"/>
                <w:highlight w:val="none"/>
                <w:lang w:val="en-US" w:eastAsia="zh-CN"/>
              </w:rPr>
            </w:pPr>
            <w:r>
              <w:rPr>
                <w:rFonts w:hint="eastAsia" w:eastAsia="仿宋"/>
                <w:b w:val="0"/>
                <w:bCs w:val="0"/>
                <w:color w:val="auto"/>
                <w:kern w:val="0"/>
                <w:sz w:val="24"/>
                <w:highlight w:val="none"/>
                <w:lang w:val="en-US" w:eastAsia="zh-CN"/>
              </w:rPr>
              <w:t>本项目景观护栏按桥面动线设计，除安全防护功能外，还提供照明、装饰与氛围提升的功能</w:t>
            </w:r>
            <w:r>
              <w:rPr>
                <w:rFonts w:hint="default" w:ascii="Times New Roman" w:hAnsi="Times New Roman" w:eastAsia="仿宋"/>
                <w:b w:val="0"/>
                <w:bCs w:val="0"/>
                <w:color w:val="auto"/>
                <w:kern w:val="0"/>
                <w:sz w:val="24"/>
                <w:highlight w:val="none"/>
                <w:lang w:val="en-US" w:eastAsia="zh-CN"/>
              </w:rPr>
              <w:t>。</w:t>
            </w:r>
          </w:p>
          <w:p w14:paraId="6BD2094C">
            <w:pPr>
              <w:pStyle w:val="9"/>
              <w:rPr>
                <w:rFonts w:hint="default" w:ascii="Times New Roman" w:hAnsi="Times New Roman" w:eastAsia="仿宋"/>
                <w:b w:val="0"/>
                <w:bCs w:val="0"/>
                <w:color w:val="auto"/>
                <w:kern w:val="0"/>
                <w:sz w:val="24"/>
                <w:highlight w:val="none"/>
                <w:lang w:val="en-US" w:eastAsia="zh-CN"/>
              </w:rPr>
            </w:pPr>
            <w:r>
              <w:rPr>
                <w:rFonts w:hint="eastAsia" w:eastAsia="仿宋"/>
                <w:color w:val="auto"/>
                <w:kern w:val="0"/>
                <w:sz w:val="24"/>
                <w:highlight w:val="none"/>
                <w:lang w:val="en-US" w:eastAsia="zh-CN"/>
              </w:rPr>
              <w:t>立柱安装</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横梁与面板安装</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焊接与打磨</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表面处理</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装饰铺装</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完工。</w:t>
            </w:r>
          </w:p>
          <w:p w14:paraId="7D3CF787">
            <w:pPr>
              <w:pStyle w:val="10"/>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ascii="Times New Roman" w:hAnsi="Times New Roman" w:eastAsia="仿宋"/>
                <w:b w:val="0"/>
                <w:bCs w:val="0"/>
                <w:color w:val="auto"/>
                <w:kern w:val="0"/>
                <w:sz w:val="24"/>
                <w:highlight w:val="none"/>
                <w:lang w:val="en-US" w:eastAsia="zh-CN"/>
              </w:rPr>
            </w:pPr>
            <w:r>
              <w:drawing>
                <wp:inline distT="0" distB="0" distL="114300" distR="114300">
                  <wp:extent cx="4714240" cy="2184400"/>
                  <wp:effectExtent l="0" t="0" r="10160" b="6350"/>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34"/>
                          <a:stretch>
                            <a:fillRect/>
                          </a:stretch>
                        </pic:blipFill>
                        <pic:spPr>
                          <a:xfrm>
                            <a:off x="0" y="0"/>
                            <a:ext cx="4714240" cy="2184400"/>
                          </a:xfrm>
                          <a:prstGeom prst="rect">
                            <a:avLst/>
                          </a:prstGeom>
                          <a:noFill/>
                          <a:ln>
                            <a:noFill/>
                          </a:ln>
                        </pic:spPr>
                      </pic:pic>
                    </a:graphicData>
                  </a:graphic>
                </wp:inline>
              </w:drawing>
            </w:r>
          </w:p>
          <w:p w14:paraId="30016117">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
                <w:b w:val="0"/>
                <w:bCs w:val="0"/>
                <w:color w:val="auto"/>
                <w:kern w:val="0"/>
                <w:sz w:val="24"/>
                <w:highlight w:val="none"/>
                <w:lang w:val="en-US" w:eastAsia="zh-CN"/>
              </w:rPr>
            </w:pPr>
            <w:r>
              <w:rPr>
                <w:rFonts w:hint="eastAsia" w:eastAsia="仿宋"/>
                <w:b/>
                <w:bCs/>
                <w:color w:val="auto"/>
                <w:kern w:val="0"/>
                <w:sz w:val="24"/>
                <w:highlight w:val="none"/>
                <w:lang w:val="en-US" w:eastAsia="zh-CN"/>
              </w:rPr>
              <w:t>图2-14 景观护栏概念图</w:t>
            </w:r>
          </w:p>
          <w:p w14:paraId="27EBD7DF">
            <w:pPr>
              <w:pStyle w:val="10"/>
              <w:numPr>
                <w:ilvl w:val="0"/>
                <w:numId w:val="0"/>
              </w:numPr>
              <w:ind w:leftChars="200"/>
              <w:rPr>
                <w:rFonts w:hint="default" w:ascii="Times New Roman" w:hAnsi="Times New Roman" w:eastAsia="仿宋"/>
                <w:b w:val="0"/>
                <w:bCs w:val="0"/>
                <w:color w:val="auto"/>
                <w:kern w:val="0"/>
                <w:sz w:val="24"/>
                <w:highlight w:val="none"/>
                <w:lang w:val="en-US" w:eastAsia="zh-CN"/>
              </w:rPr>
            </w:pPr>
            <w:r>
              <w:rPr>
                <w:rFonts w:hint="eastAsia" w:ascii="Times New Roman" w:hAnsi="Times New Roman" w:eastAsia="仿宋"/>
                <w:b w:val="0"/>
                <w:bCs w:val="0"/>
                <w:color w:val="auto"/>
                <w:kern w:val="0"/>
                <w:sz w:val="24"/>
                <w:highlight w:val="none"/>
                <w:lang w:val="en-US" w:eastAsia="zh-CN"/>
              </w:rPr>
              <w:t>（4）</w:t>
            </w:r>
            <w:r>
              <w:rPr>
                <w:rFonts w:hint="eastAsia" w:eastAsia="仿宋"/>
                <w:b w:val="0"/>
                <w:bCs w:val="0"/>
                <w:color w:val="auto"/>
                <w:kern w:val="0"/>
                <w:sz w:val="24"/>
                <w:highlight w:val="none"/>
                <w:lang w:val="en-US" w:eastAsia="zh-CN"/>
              </w:rPr>
              <w:t>植栽绿化</w:t>
            </w:r>
          </w:p>
          <w:p w14:paraId="51693C05">
            <w:pPr>
              <w:keepNext w:val="0"/>
              <w:keepLines w:val="0"/>
              <w:widowControl/>
              <w:suppressLineNumbers w:val="0"/>
              <w:ind w:firstLine="480" w:firstLineChars="200"/>
              <w:jc w:val="left"/>
              <w:rPr>
                <w:rFonts w:hint="eastAsia" w:eastAsia="仿宋" w:cstheme="minorBidi"/>
                <w:b w:val="0"/>
                <w:bCs w:val="0"/>
                <w:color w:val="auto"/>
                <w:kern w:val="0"/>
                <w:sz w:val="24"/>
                <w:szCs w:val="22"/>
                <w:highlight w:val="none"/>
                <w:lang w:val="en-US" w:eastAsia="zh-CN" w:bidi="ar"/>
              </w:rPr>
            </w:pPr>
            <w:r>
              <w:rPr>
                <w:rFonts w:hint="eastAsia" w:ascii="Times New Roman" w:hAnsi="Times New Roman" w:eastAsia="仿宋" w:cstheme="minorBidi"/>
                <w:b w:val="0"/>
                <w:bCs w:val="0"/>
                <w:color w:val="auto"/>
                <w:kern w:val="0"/>
                <w:sz w:val="24"/>
                <w:szCs w:val="22"/>
                <w:highlight w:val="none"/>
                <w:lang w:val="en-US" w:eastAsia="zh-CN" w:bidi="ar"/>
              </w:rPr>
              <w:t>项目</w:t>
            </w:r>
            <w:r>
              <w:rPr>
                <w:rFonts w:hint="eastAsia" w:eastAsia="仿宋" w:cstheme="minorBidi"/>
                <w:b w:val="0"/>
                <w:bCs w:val="0"/>
                <w:color w:val="auto"/>
                <w:kern w:val="0"/>
                <w:sz w:val="24"/>
                <w:szCs w:val="22"/>
                <w:highlight w:val="none"/>
                <w:lang w:val="en-US" w:eastAsia="zh-CN" w:bidi="ar"/>
              </w:rPr>
              <w:t>结合当地植被生态系统，</w:t>
            </w:r>
            <w:r>
              <w:rPr>
                <w:rFonts w:hint="eastAsia" w:ascii="Times New Roman" w:hAnsi="Times New Roman" w:eastAsia="仿宋" w:cstheme="minorBidi"/>
                <w:b w:val="0"/>
                <w:bCs w:val="0"/>
                <w:color w:val="auto"/>
                <w:kern w:val="0"/>
                <w:sz w:val="24"/>
                <w:szCs w:val="22"/>
                <w:highlight w:val="none"/>
                <w:lang w:val="en-US" w:eastAsia="zh-CN" w:bidi="ar"/>
              </w:rPr>
              <w:t>沿道路</w:t>
            </w:r>
            <w:r>
              <w:rPr>
                <w:rFonts w:hint="eastAsia" w:eastAsia="仿宋" w:cstheme="minorBidi"/>
                <w:b w:val="0"/>
                <w:bCs w:val="0"/>
                <w:color w:val="auto"/>
                <w:kern w:val="0"/>
                <w:sz w:val="24"/>
                <w:szCs w:val="22"/>
                <w:highlight w:val="none"/>
                <w:lang w:val="en-US" w:eastAsia="zh-CN" w:bidi="ar"/>
              </w:rPr>
              <w:t>及桥面沿线</w:t>
            </w:r>
            <w:r>
              <w:rPr>
                <w:rFonts w:hint="eastAsia" w:ascii="Times New Roman" w:hAnsi="Times New Roman" w:eastAsia="仿宋" w:cstheme="minorBidi"/>
                <w:b w:val="0"/>
                <w:bCs w:val="0"/>
                <w:color w:val="auto"/>
                <w:kern w:val="0"/>
                <w:sz w:val="24"/>
                <w:szCs w:val="22"/>
                <w:highlight w:val="none"/>
                <w:lang w:val="en-US" w:eastAsia="zh-CN" w:bidi="ar"/>
              </w:rPr>
              <w:t>点状种植</w:t>
            </w:r>
            <w:r>
              <w:rPr>
                <w:rFonts w:hint="eastAsia" w:eastAsia="仿宋" w:cstheme="minorBidi"/>
                <w:b w:val="0"/>
                <w:bCs w:val="0"/>
                <w:color w:val="auto"/>
                <w:kern w:val="0"/>
                <w:sz w:val="24"/>
                <w:szCs w:val="22"/>
                <w:highlight w:val="none"/>
                <w:lang w:val="en-US" w:eastAsia="zh-CN" w:bidi="ar"/>
              </w:rPr>
              <w:t>水杉、落羽杉、染井早樱</w:t>
            </w:r>
            <w:r>
              <w:rPr>
                <w:rFonts w:hint="eastAsia" w:ascii="Times New Roman" w:hAnsi="Times New Roman" w:eastAsia="仿宋" w:cstheme="minorBidi"/>
                <w:b w:val="0"/>
                <w:bCs w:val="0"/>
                <w:color w:val="auto"/>
                <w:kern w:val="0"/>
                <w:sz w:val="24"/>
                <w:szCs w:val="22"/>
                <w:highlight w:val="none"/>
                <w:lang w:val="en-US" w:eastAsia="zh-CN" w:bidi="ar"/>
              </w:rPr>
              <w:t>，同时加入</w:t>
            </w:r>
            <w:r>
              <w:rPr>
                <w:rFonts w:hint="eastAsia" w:eastAsia="仿宋" w:cstheme="minorBidi"/>
                <w:b w:val="0"/>
                <w:bCs w:val="0"/>
                <w:color w:val="auto"/>
                <w:kern w:val="0"/>
                <w:sz w:val="24"/>
                <w:szCs w:val="22"/>
                <w:highlight w:val="none"/>
                <w:lang w:val="en-US" w:eastAsia="zh-CN" w:bidi="ar"/>
              </w:rPr>
              <w:t>各类四季草花、宿根花卉、宿根草本、木本及球植作为绿化植株，保证花境一年四季始终能有不同的表现效果，提升应急疏散通道与周边环境的融洽度，提升公共空间的美感与舒适度。</w:t>
            </w:r>
          </w:p>
          <w:p w14:paraId="377D9203">
            <w:pPr>
              <w:pStyle w:val="2"/>
              <w:jc w:val="center"/>
              <w:rPr>
                <w:rFonts w:hint="eastAsia" w:eastAsia="仿宋" w:cstheme="minorBidi"/>
                <w:b w:val="0"/>
                <w:bCs w:val="0"/>
                <w:color w:val="auto"/>
                <w:kern w:val="0"/>
                <w:sz w:val="24"/>
                <w:szCs w:val="22"/>
                <w:highlight w:val="none"/>
                <w:lang w:val="en-US" w:eastAsia="zh-CN" w:bidi="ar"/>
              </w:rPr>
            </w:pPr>
            <w:r>
              <w:drawing>
                <wp:inline distT="0" distB="0" distL="114300" distR="114300">
                  <wp:extent cx="2917825" cy="2027555"/>
                  <wp:effectExtent l="0" t="0" r="15875" b="10795"/>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35"/>
                          <a:stretch>
                            <a:fillRect/>
                          </a:stretch>
                        </pic:blipFill>
                        <pic:spPr>
                          <a:xfrm>
                            <a:off x="0" y="0"/>
                            <a:ext cx="2917825" cy="2027555"/>
                          </a:xfrm>
                          <a:prstGeom prst="rect">
                            <a:avLst/>
                          </a:prstGeom>
                          <a:noFill/>
                          <a:ln>
                            <a:noFill/>
                          </a:ln>
                        </pic:spPr>
                      </pic:pic>
                    </a:graphicData>
                  </a:graphic>
                </wp:inline>
              </w:drawing>
            </w:r>
          </w:p>
          <w:p w14:paraId="660EB9B5">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
                <w:b w:val="0"/>
                <w:bCs w:val="0"/>
                <w:color w:val="auto"/>
                <w:kern w:val="0"/>
                <w:sz w:val="24"/>
                <w:highlight w:val="none"/>
                <w:lang w:val="en-US" w:eastAsia="zh-CN"/>
              </w:rPr>
            </w:pPr>
            <w:r>
              <w:rPr>
                <w:rFonts w:hint="eastAsia" w:eastAsia="仿宋"/>
                <w:b/>
                <w:bCs/>
                <w:color w:val="auto"/>
                <w:kern w:val="0"/>
                <w:sz w:val="24"/>
                <w:highlight w:val="none"/>
                <w:lang w:val="en-US" w:eastAsia="zh-CN"/>
              </w:rPr>
              <w:t>图2-15 植栽绿化概念图</w:t>
            </w:r>
          </w:p>
          <w:p w14:paraId="3081ABB0">
            <w:pPr>
              <w:pStyle w:val="10"/>
              <w:numPr>
                <w:ilvl w:val="0"/>
                <w:numId w:val="0"/>
              </w:numPr>
              <w:ind w:leftChars="200"/>
              <w:rPr>
                <w:rFonts w:hint="default" w:ascii="Times New Roman" w:hAnsi="Times New Roman" w:eastAsia="仿宋"/>
                <w:b w:val="0"/>
                <w:bCs w:val="0"/>
                <w:color w:val="auto"/>
                <w:kern w:val="0"/>
                <w:sz w:val="24"/>
                <w:highlight w:val="none"/>
                <w:lang w:val="en-US" w:eastAsia="zh-CN"/>
              </w:rPr>
            </w:pPr>
            <w:r>
              <w:rPr>
                <w:rFonts w:hint="eastAsia" w:ascii="Times New Roman" w:hAnsi="Times New Roman" w:eastAsia="仿宋"/>
                <w:b w:val="0"/>
                <w:bCs w:val="0"/>
                <w:color w:val="auto"/>
                <w:kern w:val="0"/>
                <w:sz w:val="24"/>
                <w:highlight w:val="none"/>
                <w:lang w:val="en-US" w:eastAsia="zh-CN"/>
              </w:rPr>
              <w:t>（5）景观照明、监控及</w:t>
            </w:r>
            <w:r>
              <w:rPr>
                <w:rFonts w:hint="eastAsia" w:eastAsia="仿宋"/>
                <w:b w:val="0"/>
                <w:bCs w:val="0"/>
                <w:color w:val="auto"/>
                <w:kern w:val="0"/>
                <w:sz w:val="24"/>
                <w:highlight w:val="none"/>
                <w:lang w:val="en-US" w:eastAsia="zh-CN"/>
              </w:rPr>
              <w:t>升降桩</w:t>
            </w:r>
          </w:p>
          <w:p w14:paraId="2CE05329">
            <w:pPr>
              <w:keepNext w:val="0"/>
              <w:keepLines w:val="0"/>
              <w:suppressLineNumbers w:val="0"/>
              <w:autoSpaceDE w:val="0"/>
              <w:autoSpaceDN w:val="0"/>
              <w:adjustRightInd w:val="0"/>
              <w:spacing w:before="0" w:beforeAutospacing="0" w:after="0" w:afterAutospacing="0" w:line="360" w:lineRule="auto"/>
              <w:ind w:left="0" w:leftChars="0" w:right="0" w:firstLine="480" w:firstLineChars="200"/>
              <w:jc w:val="left"/>
              <w:rPr>
                <w:rFonts w:hint="default" w:ascii="Times New Roman" w:hAnsi="Times New Roman" w:eastAsia="仿宋" w:cstheme="minorBidi"/>
                <w:b w:val="0"/>
                <w:bCs w:val="0"/>
                <w:color w:val="auto"/>
                <w:kern w:val="0"/>
                <w:sz w:val="24"/>
                <w:szCs w:val="22"/>
                <w:highlight w:val="none"/>
                <w:lang w:val="en-US" w:eastAsia="zh-CN" w:bidi="ar"/>
              </w:rPr>
            </w:pPr>
            <w:r>
              <w:rPr>
                <w:rFonts w:hint="eastAsia" w:eastAsia="仿宋" w:cstheme="minorBidi"/>
                <w:b w:val="0"/>
                <w:bCs w:val="0"/>
                <w:color w:val="auto"/>
                <w:kern w:val="0"/>
                <w:sz w:val="24"/>
                <w:szCs w:val="22"/>
                <w:highlight w:val="none"/>
                <w:lang w:val="en-US" w:eastAsia="zh-CN" w:bidi="ar"/>
              </w:rPr>
              <w:t>本项目</w:t>
            </w:r>
            <w:r>
              <w:rPr>
                <w:rFonts w:hint="default" w:ascii="Times New Roman" w:hAnsi="Times New Roman" w:eastAsia="仿宋" w:cstheme="minorBidi"/>
                <w:b w:val="0"/>
                <w:bCs w:val="0"/>
                <w:color w:val="auto"/>
                <w:kern w:val="0"/>
                <w:sz w:val="24"/>
                <w:szCs w:val="22"/>
                <w:highlight w:val="none"/>
                <w:lang w:val="en-US" w:eastAsia="zh-CN" w:bidi="ar"/>
              </w:rPr>
              <w:t>景观照明是对桥体造型的夜间展现，</w:t>
            </w:r>
            <w:r>
              <w:rPr>
                <w:rFonts w:hint="eastAsia" w:eastAsia="仿宋" w:cstheme="minorBidi"/>
                <w:b w:val="0"/>
                <w:bCs w:val="0"/>
                <w:color w:val="auto"/>
                <w:kern w:val="0"/>
                <w:sz w:val="24"/>
                <w:szCs w:val="22"/>
                <w:highlight w:val="none"/>
                <w:lang w:val="en-US" w:eastAsia="zh-CN" w:bidi="ar"/>
              </w:rPr>
              <w:t>通过对</w:t>
            </w:r>
            <w:r>
              <w:rPr>
                <w:rFonts w:hint="default" w:ascii="Times New Roman" w:hAnsi="Times New Roman" w:eastAsia="仿宋" w:cstheme="minorBidi"/>
                <w:b w:val="0"/>
                <w:bCs w:val="0"/>
                <w:color w:val="auto"/>
                <w:kern w:val="0"/>
                <w:sz w:val="24"/>
                <w:szCs w:val="22"/>
                <w:highlight w:val="none"/>
                <w:lang w:val="en-US" w:eastAsia="zh-CN" w:bidi="ar"/>
              </w:rPr>
              <w:t>照明效果</w:t>
            </w:r>
            <w:r>
              <w:rPr>
                <w:rFonts w:hint="eastAsia" w:eastAsia="仿宋" w:cstheme="minorBidi"/>
                <w:b w:val="0"/>
                <w:bCs w:val="0"/>
                <w:color w:val="auto"/>
                <w:kern w:val="0"/>
                <w:sz w:val="24"/>
                <w:szCs w:val="22"/>
                <w:highlight w:val="none"/>
                <w:lang w:val="en-US" w:eastAsia="zh-CN" w:bidi="ar"/>
              </w:rPr>
              <w:t>的</w:t>
            </w:r>
            <w:r>
              <w:rPr>
                <w:rFonts w:hint="default" w:ascii="Times New Roman" w:hAnsi="Times New Roman" w:eastAsia="仿宋" w:cstheme="minorBidi"/>
                <w:b w:val="0"/>
                <w:bCs w:val="0"/>
                <w:color w:val="auto"/>
                <w:kern w:val="0"/>
                <w:sz w:val="24"/>
                <w:szCs w:val="22"/>
                <w:highlight w:val="none"/>
                <w:lang w:val="en-US" w:eastAsia="zh-CN" w:bidi="ar"/>
              </w:rPr>
              <w:t>整体感</w:t>
            </w:r>
            <w:r>
              <w:rPr>
                <w:rFonts w:hint="eastAsia" w:eastAsia="仿宋" w:cstheme="minorBidi"/>
                <w:b w:val="0"/>
                <w:bCs w:val="0"/>
                <w:color w:val="auto"/>
                <w:kern w:val="0"/>
                <w:sz w:val="24"/>
                <w:szCs w:val="22"/>
                <w:highlight w:val="none"/>
                <w:lang w:val="en-US" w:eastAsia="zh-CN" w:bidi="ar"/>
              </w:rPr>
              <w:t>呈现、</w:t>
            </w:r>
            <w:r>
              <w:rPr>
                <w:rFonts w:hint="default" w:ascii="Times New Roman" w:hAnsi="Times New Roman" w:eastAsia="仿宋" w:cstheme="minorBidi"/>
                <w:b w:val="0"/>
                <w:bCs w:val="0"/>
                <w:color w:val="auto"/>
                <w:kern w:val="0"/>
                <w:sz w:val="24"/>
                <w:szCs w:val="22"/>
                <w:highlight w:val="none"/>
                <w:lang w:val="en-US" w:eastAsia="zh-CN" w:bidi="ar"/>
              </w:rPr>
              <w:t>灯光的色彩变换和明暗对比，与水中所形成的倒影相配合，展现出桥体的夜间风貌，</w:t>
            </w:r>
            <w:r>
              <w:rPr>
                <w:rFonts w:hint="eastAsia" w:eastAsia="仿宋" w:cstheme="minorBidi"/>
                <w:b w:val="0"/>
                <w:bCs w:val="0"/>
                <w:color w:val="auto"/>
                <w:kern w:val="0"/>
                <w:sz w:val="24"/>
                <w:szCs w:val="22"/>
                <w:highlight w:val="none"/>
                <w:lang w:val="en-US" w:eastAsia="zh-CN" w:bidi="ar"/>
              </w:rPr>
              <w:t>提升长荡湖体育运动公园的夜间氛围</w:t>
            </w:r>
            <w:r>
              <w:rPr>
                <w:rFonts w:hint="default" w:ascii="Times New Roman" w:hAnsi="Times New Roman" w:eastAsia="仿宋" w:cstheme="minorBidi"/>
                <w:b w:val="0"/>
                <w:bCs w:val="0"/>
                <w:color w:val="auto"/>
                <w:kern w:val="0"/>
                <w:sz w:val="24"/>
                <w:szCs w:val="22"/>
                <w:highlight w:val="none"/>
                <w:lang w:val="en-US" w:eastAsia="zh-CN" w:bidi="ar"/>
              </w:rPr>
              <w:t>。</w:t>
            </w:r>
            <w:r>
              <w:rPr>
                <w:rFonts w:hint="eastAsia" w:eastAsia="仿宋" w:cstheme="minorBidi"/>
                <w:b w:val="0"/>
                <w:bCs w:val="0"/>
                <w:color w:val="auto"/>
                <w:kern w:val="0"/>
                <w:sz w:val="24"/>
                <w:szCs w:val="22"/>
                <w:highlight w:val="none"/>
                <w:lang w:val="en-US" w:eastAsia="zh-CN" w:bidi="ar"/>
              </w:rPr>
              <w:t>同时处于对道路安全的考虑，应急疏散通道将设置高清监控摄像头及路面升降桩，提高游客步行与骑行的安全性。</w:t>
            </w:r>
          </w:p>
          <w:p w14:paraId="16CD8743">
            <w:pPr>
              <w:pStyle w:val="2"/>
              <w:jc w:val="center"/>
              <w:rPr>
                <w:rFonts w:hint="eastAsia"/>
                <w:lang w:val="en-US" w:eastAsia="zh-CN"/>
              </w:rPr>
            </w:pPr>
            <w:r>
              <w:drawing>
                <wp:inline distT="0" distB="0" distL="114300" distR="114300">
                  <wp:extent cx="3241040" cy="1809115"/>
                  <wp:effectExtent l="0" t="0" r="16510" b="635"/>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36"/>
                          <a:stretch>
                            <a:fillRect/>
                          </a:stretch>
                        </pic:blipFill>
                        <pic:spPr>
                          <a:xfrm>
                            <a:off x="0" y="0"/>
                            <a:ext cx="3241040" cy="1809115"/>
                          </a:xfrm>
                          <a:prstGeom prst="rect">
                            <a:avLst/>
                          </a:prstGeom>
                          <a:noFill/>
                          <a:ln>
                            <a:noFill/>
                          </a:ln>
                        </pic:spPr>
                      </pic:pic>
                    </a:graphicData>
                  </a:graphic>
                </wp:inline>
              </w:drawing>
            </w:r>
          </w:p>
          <w:p w14:paraId="203F14DC">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
                <w:b w:val="0"/>
                <w:bCs w:val="0"/>
                <w:color w:val="auto"/>
                <w:kern w:val="0"/>
                <w:sz w:val="24"/>
                <w:highlight w:val="none"/>
                <w:lang w:val="en-US" w:eastAsia="zh-CN"/>
              </w:rPr>
            </w:pPr>
            <w:r>
              <w:rPr>
                <w:rFonts w:hint="eastAsia" w:eastAsia="仿宋"/>
                <w:b/>
                <w:bCs/>
                <w:color w:val="auto"/>
                <w:kern w:val="0"/>
                <w:sz w:val="24"/>
                <w:highlight w:val="none"/>
                <w:lang w:val="en-US" w:eastAsia="zh-CN"/>
              </w:rPr>
              <w:t>图2-16 景观照明概念图</w:t>
            </w:r>
          </w:p>
          <w:tbl>
            <w:tblPr>
              <w:tblStyle w:val="24"/>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69"/>
              <w:gridCol w:w="4169"/>
            </w:tblGrid>
            <w:tr w14:paraId="626FAF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9" w:type="dxa"/>
                </w:tcPr>
                <w:p w14:paraId="66169368">
                  <w:pPr>
                    <w:keepNext w:val="0"/>
                    <w:keepLines w:val="0"/>
                    <w:suppressLineNumbers w:val="0"/>
                    <w:autoSpaceDE w:val="0"/>
                    <w:autoSpaceDN w:val="0"/>
                    <w:adjustRightInd w:val="0"/>
                    <w:spacing w:before="0" w:beforeAutospacing="0" w:after="0" w:afterAutospacing="0" w:line="360" w:lineRule="auto"/>
                    <w:ind w:left="0" w:leftChars="0" w:right="0" w:firstLine="0" w:firstLineChars="0"/>
                    <w:jc w:val="center"/>
                    <w:rPr>
                      <w:rFonts w:hint="eastAsia" w:ascii="仿宋" w:hAnsi="仿宋" w:eastAsia="仿宋" w:cs="仿宋"/>
                      <w:b/>
                      <w:bCs/>
                      <w:color w:val="auto"/>
                      <w:kern w:val="2"/>
                      <w:sz w:val="24"/>
                      <w:szCs w:val="24"/>
                      <w:vertAlign w:val="baseline"/>
                      <w:lang w:val="en-US" w:eastAsia="zh-CN" w:bidi="ar"/>
                    </w:rPr>
                  </w:pPr>
                  <w:r>
                    <w:drawing>
                      <wp:inline distT="0" distB="0" distL="114300" distR="114300">
                        <wp:extent cx="1428750" cy="1200150"/>
                        <wp:effectExtent l="0" t="0" r="0" b="0"/>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37"/>
                                <a:stretch>
                                  <a:fillRect/>
                                </a:stretch>
                              </pic:blipFill>
                              <pic:spPr>
                                <a:xfrm>
                                  <a:off x="0" y="0"/>
                                  <a:ext cx="1428750" cy="1200150"/>
                                </a:xfrm>
                                <a:prstGeom prst="rect">
                                  <a:avLst/>
                                </a:prstGeom>
                                <a:noFill/>
                                <a:ln>
                                  <a:noFill/>
                                </a:ln>
                              </pic:spPr>
                            </pic:pic>
                          </a:graphicData>
                        </a:graphic>
                      </wp:inline>
                    </w:drawing>
                  </w:r>
                </w:p>
              </w:tc>
              <w:tc>
                <w:tcPr>
                  <w:tcW w:w="4169" w:type="dxa"/>
                </w:tcPr>
                <w:p w14:paraId="13112687">
                  <w:pPr>
                    <w:keepNext w:val="0"/>
                    <w:keepLines w:val="0"/>
                    <w:suppressLineNumbers w:val="0"/>
                    <w:autoSpaceDE w:val="0"/>
                    <w:autoSpaceDN w:val="0"/>
                    <w:adjustRightInd w:val="0"/>
                    <w:spacing w:before="0" w:beforeAutospacing="0" w:after="0" w:afterAutospacing="0" w:line="360" w:lineRule="auto"/>
                    <w:ind w:left="0" w:leftChars="0" w:right="0" w:firstLine="0" w:firstLineChars="0"/>
                    <w:jc w:val="center"/>
                    <w:rPr>
                      <w:rFonts w:hint="eastAsia" w:ascii="仿宋" w:hAnsi="仿宋" w:eastAsia="仿宋" w:cs="仿宋"/>
                      <w:b/>
                      <w:bCs/>
                      <w:color w:val="auto"/>
                      <w:kern w:val="2"/>
                      <w:sz w:val="24"/>
                      <w:szCs w:val="24"/>
                      <w:vertAlign w:val="baseline"/>
                      <w:lang w:val="en-US" w:eastAsia="zh-CN" w:bidi="ar"/>
                    </w:rPr>
                  </w:pPr>
                  <w:r>
                    <w:drawing>
                      <wp:inline distT="0" distB="0" distL="114300" distR="114300">
                        <wp:extent cx="1376045" cy="1155065"/>
                        <wp:effectExtent l="0" t="0" r="14605" b="698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38"/>
                                <a:stretch>
                                  <a:fillRect/>
                                </a:stretch>
                              </pic:blipFill>
                              <pic:spPr>
                                <a:xfrm>
                                  <a:off x="0" y="0"/>
                                  <a:ext cx="1376045" cy="1155065"/>
                                </a:xfrm>
                                <a:prstGeom prst="rect">
                                  <a:avLst/>
                                </a:prstGeom>
                                <a:noFill/>
                                <a:ln>
                                  <a:noFill/>
                                </a:ln>
                              </pic:spPr>
                            </pic:pic>
                          </a:graphicData>
                        </a:graphic>
                      </wp:inline>
                    </w:drawing>
                  </w:r>
                </w:p>
              </w:tc>
            </w:tr>
          </w:tbl>
          <w:p w14:paraId="788ECA88">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仿宋" w:hAnsi="仿宋" w:eastAsia="仿宋" w:cs="仿宋"/>
                <w:b/>
                <w:bCs/>
                <w:color w:val="auto"/>
                <w:kern w:val="2"/>
                <w:sz w:val="24"/>
                <w:szCs w:val="24"/>
                <w:lang w:val="en-US" w:eastAsia="zh-CN" w:bidi="ar"/>
              </w:rPr>
            </w:pPr>
            <w:r>
              <w:rPr>
                <w:rFonts w:hint="eastAsia" w:eastAsia="仿宋"/>
                <w:b/>
                <w:bCs/>
                <w:color w:val="auto"/>
                <w:kern w:val="0"/>
                <w:sz w:val="24"/>
                <w:highlight w:val="none"/>
                <w:lang w:val="en-US" w:eastAsia="zh-CN"/>
              </w:rPr>
              <w:t>图2-17 监控及升降桩</w:t>
            </w:r>
          </w:p>
          <w:p w14:paraId="3335FECE">
            <w:pPr>
              <w:pStyle w:val="10"/>
              <w:numPr>
                <w:ilvl w:val="0"/>
                <w:numId w:val="0"/>
              </w:numPr>
              <w:ind w:leftChars="200"/>
              <w:rPr>
                <w:rFonts w:hint="default" w:ascii="Times New Roman" w:hAnsi="Times New Roman" w:eastAsia="仿宋"/>
                <w:b w:val="0"/>
                <w:bCs w:val="0"/>
                <w:color w:val="auto"/>
                <w:kern w:val="0"/>
                <w:sz w:val="24"/>
                <w:highlight w:val="none"/>
                <w:lang w:val="en-US" w:eastAsia="zh-CN"/>
              </w:rPr>
            </w:pPr>
            <w:r>
              <w:rPr>
                <w:rFonts w:hint="eastAsia" w:ascii="Times New Roman" w:hAnsi="Times New Roman" w:eastAsia="仿宋"/>
                <w:b w:val="0"/>
                <w:bCs w:val="0"/>
                <w:color w:val="auto"/>
                <w:kern w:val="0"/>
                <w:sz w:val="24"/>
                <w:highlight w:val="none"/>
                <w:lang w:val="en-US" w:eastAsia="zh-CN"/>
              </w:rPr>
              <w:t>（</w:t>
            </w:r>
            <w:r>
              <w:rPr>
                <w:rFonts w:hint="eastAsia" w:eastAsia="仿宋"/>
                <w:b w:val="0"/>
                <w:bCs w:val="0"/>
                <w:color w:val="auto"/>
                <w:kern w:val="0"/>
                <w:sz w:val="24"/>
                <w:highlight w:val="none"/>
                <w:lang w:val="en-US" w:eastAsia="zh-CN"/>
              </w:rPr>
              <w:t>6</w:t>
            </w:r>
            <w:r>
              <w:rPr>
                <w:rFonts w:hint="eastAsia" w:ascii="Times New Roman" w:hAnsi="Times New Roman" w:eastAsia="仿宋"/>
                <w:b w:val="0"/>
                <w:bCs w:val="0"/>
                <w:color w:val="auto"/>
                <w:kern w:val="0"/>
                <w:sz w:val="24"/>
                <w:highlight w:val="none"/>
                <w:lang w:val="en-US" w:eastAsia="zh-CN"/>
              </w:rPr>
              <w:t>）</w:t>
            </w:r>
            <w:r>
              <w:rPr>
                <w:rFonts w:hint="eastAsia" w:eastAsia="仿宋"/>
                <w:b w:val="0"/>
                <w:bCs w:val="0"/>
                <w:color w:val="auto"/>
                <w:kern w:val="0"/>
                <w:sz w:val="24"/>
                <w:highlight w:val="none"/>
                <w:lang w:val="en-US" w:eastAsia="zh-CN"/>
              </w:rPr>
              <w:t>交通标线</w:t>
            </w:r>
          </w:p>
          <w:p w14:paraId="3A53F92A">
            <w:pPr>
              <w:keepNext w:val="0"/>
              <w:keepLines w:val="0"/>
              <w:suppressLineNumbers w:val="0"/>
              <w:autoSpaceDE w:val="0"/>
              <w:autoSpaceDN w:val="0"/>
              <w:adjustRightInd w:val="0"/>
              <w:spacing w:before="0" w:beforeAutospacing="0" w:after="0" w:afterAutospacing="0" w:line="360" w:lineRule="auto"/>
              <w:ind w:left="0" w:leftChars="0" w:right="0" w:firstLine="480" w:firstLineChars="200"/>
              <w:rPr>
                <w:rFonts w:hint="eastAsia" w:eastAsia="仿宋" w:cstheme="minorBidi"/>
                <w:b w:val="0"/>
                <w:bCs w:val="0"/>
                <w:color w:val="auto"/>
                <w:kern w:val="0"/>
                <w:sz w:val="24"/>
                <w:szCs w:val="22"/>
                <w:highlight w:val="none"/>
                <w:lang w:val="en-US" w:eastAsia="zh-CN" w:bidi="ar"/>
              </w:rPr>
            </w:pPr>
            <w:r>
              <w:rPr>
                <w:rFonts w:hint="eastAsia" w:eastAsia="仿宋" w:cstheme="minorBidi"/>
                <w:b w:val="0"/>
                <w:bCs w:val="0"/>
                <w:color w:val="auto"/>
                <w:kern w:val="0"/>
                <w:sz w:val="24"/>
                <w:szCs w:val="22"/>
                <w:highlight w:val="none"/>
                <w:lang w:val="en-US" w:eastAsia="zh-CN" w:bidi="ar"/>
              </w:rPr>
              <w:t>本项目采用热熔型标线涂料，严格按照设计要求布置交通标线。</w:t>
            </w:r>
          </w:p>
          <w:p w14:paraId="4F8FC4B3">
            <w:pPr>
              <w:keepNext w:val="0"/>
              <w:keepLines w:val="0"/>
              <w:suppressLineNumbers w:val="0"/>
              <w:autoSpaceDE w:val="0"/>
              <w:autoSpaceDN w:val="0"/>
              <w:adjustRightInd w:val="0"/>
              <w:spacing w:before="0" w:beforeAutospacing="0" w:after="0" w:afterAutospacing="0" w:line="360" w:lineRule="auto"/>
              <w:ind w:left="0" w:leftChars="0" w:right="0" w:firstLine="480" w:firstLineChars="200"/>
              <w:rPr>
                <w:rFonts w:hint="eastAsia" w:eastAsia="仿宋" w:cstheme="minorBidi"/>
                <w:b w:val="0"/>
                <w:bCs w:val="0"/>
                <w:color w:val="auto"/>
                <w:kern w:val="0"/>
                <w:sz w:val="24"/>
                <w:szCs w:val="22"/>
                <w:highlight w:val="none"/>
                <w:lang w:val="en-US" w:eastAsia="zh-CN" w:bidi="ar"/>
              </w:rPr>
            </w:pPr>
            <w:r>
              <w:rPr>
                <w:rFonts w:hint="eastAsia" w:eastAsia="仿宋" w:cstheme="minorBidi"/>
                <w:b w:val="0"/>
                <w:bCs w:val="0"/>
                <w:color w:val="auto"/>
                <w:kern w:val="0"/>
                <w:sz w:val="24"/>
                <w:szCs w:val="22"/>
                <w:highlight w:val="none"/>
                <w:lang w:val="en-US" w:eastAsia="zh-CN" w:bidi="ar"/>
              </w:rPr>
              <w:t>布置安全设施→清扫路面→测量定位→涂底漆→涂敷修正→验收→完工。</w:t>
            </w:r>
          </w:p>
          <w:p w14:paraId="7BB8784B">
            <w:pPr>
              <w:pStyle w:val="2"/>
              <w:jc w:val="center"/>
            </w:pPr>
            <w:r>
              <w:drawing>
                <wp:inline distT="0" distB="0" distL="114300" distR="114300">
                  <wp:extent cx="2823210" cy="1559560"/>
                  <wp:effectExtent l="0" t="0" r="15240" b="2540"/>
                  <wp:docPr id="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pic:cNvPicPr>
                            <a:picLocks noChangeAspect="1"/>
                          </pic:cNvPicPr>
                        </pic:nvPicPr>
                        <pic:blipFill>
                          <a:blip r:embed="rId39"/>
                          <a:stretch>
                            <a:fillRect/>
                          </a:stretch>
                        </pic:blipFill>
                        <pic:spPr>
                          <a:xfrm>
                            <a:off x="0" y="0"/>
                            <a:ext cx="2823210" cy="1559560"/>
                          </a:xfrm>
                          <a:prstGeom prst="rect">
                            <a:avLst/>
                          </a:prstGeom>
                          <a:noFill/>
                          <a:ln>
                            <a:noFill/>
                          </a:ln>
                        </pic:spPr>
                      </pic:pic>
                    </a:graphicData>
                  </a:graphic>
                </wp:inline>
              </w:drawing>
            </w:r>
          </w:p>
          <w:p w14:paraId="1DDEC020">
            <w:pPr>
              <w:ind w:left="0" w:leftChars="0" w:firstLine="0" w:firstLineChars="0"/>
              <w:jc w:val="center"/>
              <w:rPr>
                <w:rFonts w:hint="eastAsia"/>
                <w:lang w:val="en-US" w:eastAsia="zh-CN"/>
              </w:rPr>
            </w:pPr>
            <w:r>
              <w:drawing>
                <wp:inline distT="0" distB="0" distL="114300" distR="114300">
                  <wp:extent cx="3881120" cy="619760"/>
                  <wp:effectExtent l="0" t="0" r="5080" b="8890"/>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40"/>
                          <a:stretch>
                            <a:fillRect/>
                          </a:stretch>
                        </pic:blipFill>
                        <pic:spPr>
                          <a:xfrm flipV="1">
                            <a:off x="0" y="0"/>
                            <a:ext cx="3881120" cy="619760"/>
                          </a:xfrm>
                          <a:prstGeom prst="rect">
                            <a:avLst/>
                          </a:prstGeom>
                          <a:noFill/>
                          <a:ln>
                            <a:noFill/>
                          </a:ln>
                        </pic:spPr>
                      </pic:pic>
                    </a:graphicData>
                  </a:graphic>
                </wp:inline>
              </w:drawing>
            </w:r>
          </w:p>
          <w:p w14:paraId="274A9633">
            <w:pPr>
              <w:keepNext w:val="0"/>
              <w:keepLines w:val="0"/>
              <w:suppressLineNumbers w:val="0"/>
              <w:autoSpaceDE w:val="0"/>
              <w:autoSpaceDN w:val="0"/>
              <w:adjustRightInd w:val="0"/>
              <w:spacing w:before="0" w:beforeAutospacing="0" w:after="0" w:afterAutospacing="0" w:line="360" w:lineRule="auto"/>
              <w:ind w:left="0" w:leftChars="0" w:right="0" w:firstLine="0" w:firstLineChars="0"/>
              <w:jc w:val="center"/>
              <w:rPr>
                <w:rFonts w:hint="default" w:ascii="仿宋" w:hAnsi="仿宋" w:eastAsia="仿宋" w:cs="仿宋"/>
                <w:b/>
                <w:bCs/>
                <w:color w:val="auto"/>
                <w:kern w:val="2"/>
                <w:sz w:val="24"/>
                <w:szCs w:val="24"/>
                <w:lang w:val="en-US" w:eastAsia="zh-CN" w:bidi="ar"/>
              </w:rPr>
            </w:pPr>
            <w:r>
              <w:rPr>
                <w:rFonts w:hint="eastAsia" w:eastAsia="仿宋"/>
                <w:b/>
                <w:bCs/>
                <w:color w:val="auto"/>
                <w:kern w:val="0"/>
                <w:sz w:val="24"/>
                <w:highlight w:val="none"/>
                <w:lang w:val="en-US" w:eastAsia="zh-CN"/>
              </w:rPr>
              <w:t>图2-18 交通标线概念图</w:t>
            </w:r>
          </w:p>
          <w:p w14:paraId="32F04C2F">
            <w:pPr>
              <w:keepNext w:val="0"/>
              <w:keepLines w:val="0"/>
              <w:suppressLineNumbers w:val="0"/>
              <w:autoSpaceDE w:val="0"/>
              <w:autoSpaceDN w:val="0"/>
              <w:adjustRightInd w:val="0"/>
              <w:spacing w:before="0" w:beforeAutospacing="0" w:after="0" w:afterAutospacing="0" w:line="360" w:lineRule="auto"/>
              <w:ind w:left="0" w:leftChars="0" w:right="0" w:firstLine="0" w:firstLineChars="0"/>
              <w:rPr>
                <w:rFonts w:hint="eastAsia"/>
                <w:color w:val="auto"/>
                <w:lang w:val="en-US"/>
              </w:rPr>
            </w:pPr>
            <w:r>
              <w:rPr>
                <w:rFonts w:hint="eastAsia" w:ascii="仿宋" w:hAnsi="仿宋" w:eastAsia="仿宋" w:cs="仿宋"/>
                <w:b/>
                <w:bCs/>
                <w:color w:val="auto"/>
                <w:kern w:val="2"/>
                <w:sz w:val="24"/>
                <w:szCs w:val="24"/>
                <w:lang w:val="en-US" w:eastAsia="zh-CN" w:bidi="ar"/>
              </w:rPr>
              <w:t>二、施工时序及建设周期</w:t>
            </w:r>
          </w:p>
          <w:p w14:paraId="5AB4B4BA">
            <w:pPr>
              <w:keepNext w:val="0"/>
              <w:keepLines w:val="0"/>
              <w:pageBreakBefore w:val="0"/>
              <w:widowControl/>
              <w:suppressLineNumbers w:val="0"/>
              <w:kinsoku/>
              <w:wordWrap/>
              <w:overflowPunct/>
              <w:topLinePunct w:val="0"/>
              <w:autoSpaceDE/>
              <w:autoSpaceDN/>
              <w:bidi w:val="0"/>
              <w:adjustRightInd w:val="0"/>
              <w:snapToGrid/>
              <w:jc w:val="left"/>
              <w:textAlignment w:val="auto"/>
              <w:rPr>
                <w:rFonts w:hint="default" w:ascii="Times New Roman" w:hAnsi="Times New Roman" w:eastAsia="仿宋" w:cs="Times New Roman"/>
                <w:color w:val="auto"/>
                <w:kern w:val="0"/>
                <w:sz w:val="24"/>
                <w:szCs w:val="24"/>
                <w:lang w:val="en-US" w:eastAsia="zh-CN"/>
              </w:rPr>
            </w:pPr>
            <w:r>
              <w:rPr>
                <w:rFonts w:hint="default" w:ascii="Times New Roman" w:hAnsi="Times New Roman" w:eastAsia="仿宋" w:cs="Times New Roman"/>
                <w:color w:val="auto"/>
                <w:kern w:val="0"/>
                <w:sz w:val="24"/>
                <w:szCs w:val="24"/>
                <w:lang w:val="en-US" w:eastAsia="zh-CN" w:bidi="ar"/>
              </w:rPr>
              <w:t>工程建设工期1</w:t>
            </w:r>
            <w:r>
              <w:rPr>
                <w:rFonts w:hint="eastAsia" w:eastAsia="仿宋" w:cs="Times New Roman"/>
                <w:color w:val="auto"/>
                <w:kern w:val="0"/>
                <w:sz w:val="24"/>
                <w:szCs w:val="24"/>
                <w:lang w:val="en-US" w:eastAsia="zh-CN" w:bidi="ar"/>
              </w:rPr>
              <w:t>2</w:t>
            </w:r>
            <w:r>
              <w:rPr>
                <w:rFonts w:hint="default" w:ascii="Times New Roman" w:hAnsi="Times New Roman" w:eastAsia="仿宋" w:cs="Times New Roman"/>
                <w:color w:val="auto"/>
                <w:kern w:val="0"/>
                <w:sz w:val="24"/>
                <w:szCs w:val="24"/>
                <w:lang w:val="en-US" w:eastAsia="zh-CN" w:bidi="ar"/>
              </w:rPr>
              <w:t>个月，安排在202</w:t>
            </w:r>
            <w:r>
              <w:rPr>
                <w:rFonts w:hint="eastAsia" w:eastAsia="仿宋" w:cs="Times New Roman"/>
                <w:color w:val="auto"/>
                <w:kern w:val="0"/>
                <w:sz w:val="24"/>
                <w:szCs w:val="24"/>
                <w:lang w:val="en-US" w:eastAsia="zh-CN" w:bidi="ar"/>
              </w:rPr>
              <w:t>5</w:t>
            </w:r>
            <w:r>
              <w:rPr>
                <w:rFonts w:hint="default" w:ascii="Times New Roman" w:hAnsi="Times New Roman" w:eastAsia="仿宋" w:cs="Times New Roman"/>
                <w:color w:val="auto"/>
                <w:kern w:val="0"/>
                <w:sz w:val="24"/>
                <w:szCs w:val="24"/>
                <w:lang w:val="en-US" w:eastAsia="zh-CN" w:bidi="ar"/>
              </w:rPr>
              <w:t>年</w:t>
            </w:r>
            <w:r>
              <w:rPr>
                <w:rFonts w:hint="eastAsia" w:eastAsia="仿宋" w:cs="Times New Roman"/>
                <w:color w:val="auto"/>
                <w:kern w:val="0"/>
                <w:sz w:val="24"/>
                <w:szCs w:val="24"/>
                <w:lang w:val="en-US" w:eastAsia="zh-CN" w:bidi="ar"/>
              </w:rPr>
              <w:t>2</w:t>
            </w:r>
            <w:r>
              <w:rPr>
                <w:rFonts w:hint="default" w:ascii="Times New Roman" w:hAnsi="Times New Roman" w:eastAsia="仿宋" w:cs="Times New Roman"/>
                <w:color w:val="auto"/>
                <w:kern w:val="0"/>
                <w:sz w:val="24"/>
                <w:szCs w:val="24"/>
                <w:lang w:val="en-US" w:eastAsia="zh-CN" w:bidi="ar"/>
              </w:rPr>
              <w:t>月至20</w:t>
            </w:r>
            <w:r>
              <w:rPr>
                <w:rFonts w:hint="eastAsia" w:eastAsia="仿宋" w:cs="Times New Roman"/>
                <w:color w:val="auto"/>
                <w:kern w:val="0"/>
                <w:sz w:val="24"/>
                <w:szCs w:val="24"/>
                <w:lang w:val="en-US" w:eastAsia="zh-CN" w:bidi="ar"/>
              </w:rPr>
              <w:t>26</w:t>
            </w:r>
            <w:r>
              <w:rPr>
                <w:rFonts w:hint="default" w:ascii="Times New Roman" w:hAnsi="Times New Roman" w:eastAsia="仿宋" w:cs="Times New Roman"/>
                <w:color w:val="auto"/>
                <w:kern w:val="0"/>
                <w:sz w:val="24"/>
                <w:szCs w:val="24"/>
                <w:lang w:val="en-US" w:eastAsia="zh-CN" w:bidi="ar"/>
              </w:rPr>
              <w:t>年</w:t>
            </w:r>
            <w:r>
              <w:rPr>
                <w:rFonts w:hint="eastAsia" w:eastAsia="仿宋" w:cs="Times New Roman"/>
                <w:color w:val="auto"/>
                <w:kern w:val="0"/>
                <w:sz w:val="24"/>
                <w:szCs w:val="24"/>
                <w:lang w:val="en-US" w:eastAsia="zh-CN" w:bidi="ar"/>
              </w:rPr>
              <w:t>2</w:t>
            </w:r>
            <w:r>
              <w:rPr>
                <w:rFonts w:hint="default" w:ascii="Times New Roman" w:hAnsi="Times New Roman" w:eastAsia="仿宋" w:cs="Times New Roman"/>
                <w:color w:val="auto"/>
                <w:kern w:val="0"/>
                <w:sz w:val="24"/>
                <w:szCs w:val="24"/>
                <w:lang w:val="en-US" w:eastAsia="zh-CN" w:bidi="ar"/>
              </w:rPr>
              <w:t>月</w:t>
            </w:r>
            <w:r>
              <w:rPr>
                <w:rFonts w:hint="default" w:ascii="Times New Roman" w:hAnsi="Times New Roman" w:eastAsia="仿宋" w:cs="Times New Roman"/>
                <w:color w:val="auto"/>
                <w:kern w:val="0"/>
                <w:sz w:val="24"/>
                <w:szCs w:val="24"/>
                <w:lang w:val="en-US" w:eastAsia="zh-CN"/>
              </w:rPr>
              <w:t>。各工程独立施工，同步开展。</w:t>
            </w:r>
          </w:p>
          <w:p w14:paraId="28686ED5">
            <w:pPr>
              <w:pStyle w:val="30"/>
              <w:jc w:val="center"/>
              <w:rPr>
                <w:rFonts w:hint="default" w:ascii="Times New Roman" w:hAnsi="Times New Roman" w:eastAsia="仿宋" w:cs="Times New Roman"/>
                <w:b/>
                <w:bCs/>
                <w:color w:val="auto"/>
                <w:highlight w:val="none"/>
                <w:vertAlign w:val="baseline"/>
                <w:lang w:val="en-US" w:eastAsia="zh-CN"/>
              </w:rPr>
            </w:pPr>
            <w:r>
              <w:rPr>
                <w:rFonts w:hint="default" w:ascii="Times New Roman" w:hAnsi="Times New Roman" w:eastAsia="仿宋" w:cs="Times New Roman"/>
                <w:b/>
                <w:bCs/>
                <w:color w:val="auto"/>
                <w:highlight w:val="none"/>
                <w:vertAlign w:val="baseline"/>
                <w:lang w:val="en-US" w:eastAsia="zh-CN"/>
              </w:rPr>
              <w:t>表2-</w:t>
            </w:r>
            <w:r>
              <w:rPr>
                <w:rFonts w:hint="eastAsia" w:ascii="Times New Roman" w:hAnsi="Times New Roman" w:eastAsia="仿宋" w:cs="Times New Roman"/>
                <w:b/>
                <w:bCs/>
                <w:color w:val="auto"/>
                <w:highlight w:val="none"/>
                <w:vertAlign w:val="baseline"/>
                <w:lang w:val="en-US" w:eastAsia="zh-CN"/>
              </w:rPr>
              <w:t>4</w:t>
            </w:r>
            <w:r>
              <w:rPr>
                <w:rFonts w:hint="default" w:ascii="Times New Roman" w:hAnsi="Times New Roman" w:eastAsia="仿宋" w:cs="Times New Roman"/>
                <w:b/>
                <w:bCs/>
                <w:color w:val="auto"/>
                <w:highlight w:val="none"/>
                <w:vertAlign w:val="baseline"/>
                <w:lang w:val="en-US" w:eastAsia="zh-CN"/>
              </w:rPr>
              <w:t xml:space="preserve"> 施工总进度表</w:t>
            </w:r>
          </w:p>
          <w:tbl>
            <w:tblPr>
              <w:tblStyle w:val="2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9"/>
              <w:gridCol w:w="806"/>
              <w:gridCol w:w="446"/>
              <w:gridCol w:w="446"/>
              <w:gridCol w:w="446"/>
              <w:gridCol w:w="448"/>
              <w:gridCol w:w="448"/>
              <w:gridCol w:w="448"/>
              <w:gridCol w:w="448"/>
              <w:gridCol w:w="448"/>
              <w:gridCol w:w="448"/>
              <w:gridCol w:w="448"/>
              <w:gridCol w:w="448"/>
              <w:gridCol w:w="453"/>
            </w:tblGrid>
            <w:tr w14:paraId="7F5A0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30698A4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项目名称</w:t>
                  </w:r>
                </w:p>
              </w:tc>
              <w:tc>
                <w:tcPr>
                  <w:tcW w:w="484" w:type="pct"/>
                  <w:vAlign w:val="center"/>
                </w:tcPr>
                <w:p w14:paraId="09FDD9F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工期（月）</w:t>
                  </w:r>
                </w:p>
              </w:tc>
              <w:tc>
                <w:tcPr>
                  <w:tcW w:w="268" w:type="pct"/>
                  <w:vAlign w:val="center"/>
                </w:tcPr>
                <w:p w14:paraId="542878C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1</w:t>
                  </w:r>
                </w:p>
              </w:tc>
              <w:tc>
                <w:tcPr>
                  <w:tcW w:w="268" w:type="pct"/>
                  <w:vAlign w:val="center"/>
                </w:tcPr>
                <w:p w14:paraId="71D705B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2</w:t>
                  </w:r>
                </w:p>
              </w:tc>
              <w:tc>
                <w:tcPr>
                  <w:tcW w:w="268" w:type="pct"/>
                  <w:vAlign w:val="center"/>
                </w:tcPr>
                <w:p w14:paraId="4EE08A6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3</w:t>
                  </w:r>
                </w:p>
              </w:tc>
              <w:tc>
                <w:tcPr>
                  <w:tcW w:w="269" w:type="pct"/>
                  <w:vAlign w:val="center"/>
                </w:tcPr>
                <w:p w14:paraId="6DDE81C1">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4</w:t>
                  </w:r>
                </w:p>
              </w:tc>
              <w:tc>
                <w:tcPr>
                  <w:tcW w:w="269" w:type="pct"/>
                  <w:vAlign w:val="center"/>
                </w:tcPr>
                <w:p w14:paraId="5FB92CA1">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5</w:t>
                  </w:r>
                </w:p>
              </w:tc>
              <w:tc>
                <w:tcPr>
                  <w:tcW w:w="269" w:type="pct"/>
                  <w:vAlign w:val="center"/>
                </w:tcPr>
                <w:p w14:paraId="6368BFA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6</w:t>
                  </w:r>
                </w:p>
              </w:tc>
              <w:tc>
                <w:tcPr>
                  <w:tcW w:w="269" w:type="pct"/>
                  <w:vAlign w:val="center"/>
                </w:tcPr>
                <w:p w14:paraId="7FBFB31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7</w:t>
                  </w:r>
                </w:p>
              </w:tc>
              <w:tc>
                <w:tcPr>
                  <w:tcW w:w="269" w:type="pct"/>
                  <w:vAlign w:val="center"/>
                </w:tcPr>
                <w:p w14:paraId="046AC01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8</w:t>
                  </w:r>
                </w:p>
              </w:tc>
              <w:tc>
                <w:tcPr>
                  <w:tcW w:w="269" w:type="pct"/>
                  <w:vAlign w:val="center"/>
                </w:tcPr>
                <w:p w14:paraId="3FEBCF6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9</w:t>
                  </w:r>
                </w:p>
              </w:tc>
              <w:tc>
                <w:tcPr>
                  <w:tcW w:w="269" w:type="pct"/>
                  <w:vAlign w:val="center"/>
                </w:tcPr>
                <w:p w14:paraId="5C02926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10</w:t>
                  </w:r>
                </w:p>
              </w:tc>
              <w:tc>
                <w:tcPr>
                  <w:tcW w:w="269" w:type="pct"/>
                  <w:vAlign w:val="center"/>
                </w:tcPr>
                <w:p w14:paraId="55BAC41C">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11</w:t>
                  </w:r>
                </w:p>
              </w:tc>
              <w:tc>
                <w:tcPr>
                  <w:tcW w:w="272" w:type="pct"/>
                  <w:vAlign w:val="center"/>
                </w:tcPr>
                <w:p w14:paraId="311DCD7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bCs/>
                      <w:color w:val="auto"/>
                      <w:sz w:val="21"/>
                      <w:szCs w:val="21"/>
                      <w:highlight w:val="none"/>
                      <w:vertAlign w:val="baseline"/>
                      <w:lang w:val="en-US" w:eastAsia="zh-CN"/>
                    </w:rPr>
                  </w:pPr>
                  <w:r>
                    <w:rPr>
                      <w:rFonts w:hint="eastAsia" w:ascii="Times New Roman" w:hAnsi="Times New Roman" w:eastAsia="仿宋" w:cs="Times New Roman"/>
                      <w:b/>
                      <w:bCs/>
                      <w:color w:val="auto"/>
                      <w:sz w:val="21"/>
                      <w:szCs w:val="21"/>
                      <w:highlight w:val="none"/>
                      <w:vertAlign w:val="baseline"/>
                      <w:lang w:val="en-US" w:eastAsia="zh-CN"/>
                    </w:rPr>
                    <w:t>12</w:t>
                  </w:r>
                </w:p>
              </w:tc>
            </w:tr>
            <w:tr w14:paraId="10926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33A8691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施工准备</w:t>
                  </w:r>
                </w:p>
              </w:tc>
              <w:tc>
                <w:tcPr>
                  <w:tcW w:w="484" w:type="pct"/>
                  <w:vAlign w:val="center"/>
                </w:tcPr>
                <w:p w14:paraId="03D2D45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441325</wp:posOffset>
                            </wp:positionH>
                            <wp:positionV relativeFrom="paragraph">
                              <wp:posOffset>108585</wp:posOffset>
                            </wp:positionV>
                            <wp:extent cx="280670" cy="635"/>
                            <wp:effectExtent l="0" t="0" r="0" b="0"/>
                            <wp:wrapNone/>
                            <wp:docPr id="47" name="直接连接符 47"/>
                            <wp:cNvGraphicFramePr/>
                            <a:graphic xmlns:a="http://schemas.openxmlformats.org/drawingml/2006/main">
                              <a:graphicData uri="http://schemas.microsoft.com/office/word/2010/wordprocessingShape">
                                <wps:wsp>
                                  <wps:cNvCnPr/>
                                  <wps:spPr>
                                    <a:xfrm flipV="1">
                                      <a:off x="0" y="0"/>
                                      <a:ext cx="280670" cy="63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34.75pt;margin-top:8.55pt;height:0.05pt;width:22.1pt;z-index:251663360;mso-width-relative:page;mso-height-relative:page;" filled="f" stroked="t" coordsize="21600,21600" o:gfxdata="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JD9&#10;p7bVAAAACAEAAA8AAAAAAAAAAQAgAAAAIgAAAGRycy9kb3ducmV2LnhtbFBLAQIUABQAAAAIAIdO&#10;4kCdTkMm7QEAAL8DAAAOAAAAAAAAAAEAIAAAACQBAABkcnMvZTJvRG9jLnhtbFBLBQYAAAAABgAG&#10;AFkBAACDBQAAAAA=&#10;">
                            <v:fill on="f" focussize="0,0"/>
                            <v:stroke weight="1.5pt" color="#000000 [3200]" miterlimit="8" joinstyle="miter"/>
                            <v:imagedata o:title=""/>
                            <o:lock v:ext="edit" aspectratio="f"/>
                          </v:line>
                        </w:pict>
                      </mc:Fallback>
                    </mc:AlternateContent>
                  </w:r>
                  <w:r>
                    <w:rPr>
                      <w:rFonts w:hint="eastAsia" w:ascii="Times New Roman" w:hAnsi="Times New Roman" w:eastAsia="仿宋" w:cs="Times New Roman"/>
                      <w:b w:val="0"/>
                      <w:bCs w:val="0"/>
                      <w:color w:val="auto"/>
                      <w:sz w:val="21"/>
                      <w:szCs w:val="21"/>
                      <w:highlight w:val="none"/>
                      <w:vertAlign w:val="baseline"/>
                      <w:lang w:val="en-US" w:eastAsia="zh-CN"/>
                    </w:rPr>
                    <w:t>1</w:t>
                  </w:r>
                </w:p>
              </w:tc>
              <w:tc>
                <w:tcPr>
                  <w:tcW w:w="268" w:type="pct"/>
                  <w:vAlign w:val="center"/>
                </w:tcPr>
                <w:p w14:paraId="584FECF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09ECDFF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5829578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914BFA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B11849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6AFD58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B80C49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FBC9EF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691C68C">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1052EC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5E75D8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2ECCB98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24B6C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7EFA821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桩基础施工</w:t>
                  </w:r>
                </w:p>
              </w:tc>
              <w:tc>
                <w:tcPr>
                  <w:tcW w:w="484" w:type="pct"/>
                  <w:vAlign w:val="center"/>
                </w:tcPr>
                <w:p w14:paraId="4A7C640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6</w:t>
                  </w:r>
                </w:p>
              </w:tc>
              <w:tc>
                <w:tcPr>
                  <w:tcW w:w="268" w:type="pct"/>
                  <w:vAlign w:val="center"/>
                </w:tcPr>
                <w:p w14:paraId="58BD8D3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3E4ACAA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-66040</wp:posOffset>
                            </wp:positionH>
                            <wp:positionV relativeFrom="paragraph">
                              <wp:posOffset>113665</wp:posOffset>
                            </wp:positionV>
                            <wp:extent cx="1696085" cy="2540"/>
                            <wp:effectExtent l="0" t="0" r="0" b="0"/>
                            <wp:wrapNone/>
                            <wp:docPr id="49" name="直接连接符 49"/>
                            <wp:cNvGraphicFramePr/>
                            <a:graphic xmlns:a="http://schemas.openxmlformats.org/drawingml/2006/main">
                              <a:graphicData uri="http://schemas.microsoft.com/office/word/2010/wordprocessingShape">
                                <wps:wsp>
                                  <wps:cNvCnPr/>
                                  <wps:spPr>
                                    <a:xfrm flipV="1">
                                      <a:off x="0" y="0"/>
                                      <a:ext cx="1696085" cy="25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5.2pt;margin-top:8.95pt;height:0.2pt;width:133.55pt;z-index:251665408;mso-width-relative:page;mso-height-relative:page;" filled="f" stroked="t" coordsize="21600,21600" o:gfxdata="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mMmvXAAAACQEAAA8AAAAAAAAAAQAgAAAAIgAAAGRycy9kb3ducmV2LnhtbFBLAQIUABQA&#10;AAAIAIdO4kDCqsj08QEAAMEDAAAOAAAAAAAAAAEAIAAAACYBAABkcnMvZTJvRG9jLnhtbFBLBQYA&#10;AAAABgAGAFkBAACJBQAAAAA=&#10;">
                            <v:fill on="f" focussize="0,0"/>
                            <v:stroke weight="1.5pt" color="#000000 [3200]" miterlimit="8" joinstyle="miter"/>
                            <v:imagedata o:title=""/>
                            <o:lock v:ext="edit" aspectratio="f"/>
                          </v:line>
                        </w:pict>
                      </mc:Fallback>
                    </mc:AlternateContent>
                  </w:r>
                </w:p>
              </w:tc>
              <w:tc>
                <w:tcPr>
                  <w:tcW w:w="268" w:type="pct"/>
                  <w:vAlign w:val="center"/>
                </w:tcPr>
                <w:p w14:paraId="6A323CE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2B02CBC">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2466FB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07707E2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2A5BF3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AEE2D8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DABFFE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A51BC7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DB4286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43DBA35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01CD0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18876F0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便道、便桥施工</w:t>
                  </w:r>
                </w:p>
              </w:tc>
              <w:tc>
                <w:tcPr>
                  <w:tcW w:w="484" w:type="pct"/>
                  <w:vAlign w:val="center"/>
                </w:tcPr>
                <w:p w14:paraId="55C326B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1</w:t>
                  </w:r>
                </w:p>
              </w:tc>
              <w:tc>
                <w:tcPr>
                  <w:tcW w:w="268" w:type="pct"/>
                  <w:vAlign w:val="center"/>
                </w:tcPr>
                <w:p w14:paraId="0B13C05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72BF8EC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-66040</wp:posOffset>
                            </wp:positionH>
                            <wp:positionV relativeFrom="paragraph">
                              <wp:posOffset>112395</wp:posOffset>
                            </wp:positionV>
                            <wp:extent cx="280670" cy="635"/>
                            <wp:effectExtent l="0" t="0" r="0" b="0"/>
                            <wp:wrapNone/>
                            <wp:docPr id="48" name="直接连接符 48"/>
                            <wp:cNvGraphicFramePr/>
                            <a:graphic xmlns:a="http://schemas.openxmlformats.org/drawingml/2006/main">
                              <a:graphicData uri="http://schemas.microsoft.com/office/word/2010/wordprocessingShape">
                                <wps:wsp>
                                  <wps:cNvCnPr/>
                                  <wps:spPr>
                                    <a:xfrm flipV="1">
                                      <a:off x="0" y="0"/>
                                      <a:ext cx="280670" cy="63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5.2pt;margin-top:8.85pt;height:0.05pt;width:22.1pt;z-index:251664384;mso-width-relative:page;mso-height-relative:page;" filled="f" stroked="t" coordsize="21600,21600" o:gfxdata="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E20&#10;IP7VAAAACAEAAA8AAAAAAAAAAQAgAAAAIgAAAGRycy9kb3ducmV2LnhtbFBLAQIUABQAAAAIAIdO&#10;4kC7KC0d7QEAAL8DAAAOAAAAAAAAAAEAIAAAACQBAABkcnMvZTJvRG9jLnhtbFBLBQYAAAAABgAG&#10;AFkBAACDBQAAAAA=&#10;">
                            <v:fill on="f" focussize="0,0"/>
                            <v:stroke weight="1.5pt" color="#000000 [3200]" miterlimit="8" joinstyle="miter"/>
                            <v:imagedata o:title=""/>
                            <o:lock v:ext="edit" aspectratio="f"/>
                          </v:line>
                        </w:pict>
                      </mc:Fallback>
                    </mc:AlternateContent>
                  </w:r>
                </w:p>
              </w:tc>
              <w:tc>
                <w:tcPr>
                  <w:tcW w:w="268" w:type="pct"/>
                  <w:vAlign w:val="center"/>
                </w:tcPr>
                <w:p w14:paraId="66B753F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6BB75B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375926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9A1EEE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5BCFE6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32B02A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073939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909FA2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379EE3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7F9A951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7B627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30EC4BA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桩基础施工</w:t>
                  </w:r>
                </w:p>
              </w:tc>
              <w:tc>
                <w:tcPr>
                  <w:tcW w:w="484" w:type="pct"/>
                  <w:vAlign w:val="center"/>
                </w:tcPr>
                <w:p w14:paraId="6D507B1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5</w:t>
                  </w:r>
                </w:p>
              </w:tc>
              <w:tc>
                <w:tcPr>
                  <w:tcW w:w="268" w:type="pct"/>
                  <w:vAlign w:val="center"/>
                </w:tcPr>
                <w:p w14:paraId="47F0710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7E50093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5AA861D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-63500</wp:posOffset>
                            </wp:positionH>
                            <wp:positionV relativeFrom="paragraph">
                              <wp:posOffset>115570</wp:posOffset>
                            </wp:positionV>
                            <wp:extent cx="1417955" cy="2540"/>
                            <wp:effectExtent l="0" t="0" r="0" b="0"/>
                            <wp:wrapNone/>
                            <wp:docPr id="50" name="直接连接符 50"/>
                            <wp:cNvGraphicFramePr/>
                            <a:graphic xmlns:a="http://schemas.openxmlformats.org/drawingml/2006/main">
                              <a:graphicData uri="http://schemas.microsoft.com/office/word/2010/wordprocessingShape">
                                <wps:wsp>
                                  <wps:cNvCnPr/>
                                  <wps:spPr>
                                    <a:xfrm flipV="1">
                                      <a:off x="0" y="0"/>
                                      <a:ext cx="1417955" cy="25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5pt;margin-top:9.1pt;height:0.2pt;width:111.65pt;z-index:251666432;mso-width-relative:page;mso-height-relative:page;" filled="f" stroked="t" coordsize="21600,21600" o:gfxdata="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GEgTDWAAAACQEAAA8AAAAAAAAAAQAgAAAAIgAAAGRycy9kb3ducmV2LnhtbFBLAQIUABQAAAAI&#10;AIdO4kBr7XcS7wEAAMEDAAAOAAAAAAAAAAEAIAAAACUBAABkcnMvZTJvRG9jLnhtbFBLBQYAAAAA&#10;BgAGAFkBAACGBQAAAAA=&#10;">
                            <v:fill on="f" focussize="0,0"/>
                            <v:stroke weight="1.5pt" color="#000000 [3200]" miterlimit="8" joinstyle="miter"/>
                            <v:imagedata o:title=""/>
                            <o:lock v:ext="edit" aspectratio="f"/>
                          </v:line>
                        </w:pict>
                      </mc:Fallback>
                    </mc:AlternateContent>
                  </w:r>
                </w:p>
              </w:tc>
              <w:tc>
                <w:tcPr>
                  <w:tcW w:w="269" w:type="pct"/>
                  <w:vAlign w:val="center"/>
                </w:tcPr>
                <w:p w14:paraId="0AD0EC3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53C60D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C821D0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10E535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F21D711">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376D87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80215E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32B1FA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75CD5BC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127F1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1450B8E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桥墩围堰</w:t>
                  </w:r>
                </w:p>
              </w:tc>
              <w:tc>
                <w:tcPr>
                  <w:tcW w:w="484" w:type="pct"/>
                  <w:vAlign w:val="center"/>
                </w:tcPr>
                <w:p w14:paraId="094608A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6</w:t>
                  </w:r>
                </w:p>
              </w:tc>
              <w:tc>
                <w:tcPr>
                  <w:tcW w:w="268" w:type="pct"/>
                  <w:vAlign w:val="center"/>
                </w:tcPr>
                <w:p w14:paraId="597A727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77DF9B1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1D25857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88265</wp:posOffset>
                            </wp:positionH>
                            <wp:positionV relativeFrom="paragraph">
                              <wp:posOffset>111760</wp:posOffset>
                            </wp:positionV>
                            <wp:extent cx="1696085" cy="2540"/>
                            <wp:effectExtent l="0" t="0" r="0" b="0"/>
                            <wp:wrapNone/>
                            <wp:docPr id="52" name="直接连接符 52"/>
                            <wp:cNvGraphicFramePr/>
                            <a:graphic xmlns:a="http://schemas.openxmlformats.org/drawingml/2006/main">
                              <a:graphicData uri="http://schemas.microsoft.com/office/word/2010/wordprocessingShape">
                                <wps:wsp>
                                  <wps:cNvCnPr/>
                                  <wps:spPr>
                                    <a:xfrm flipV="1">
                                      <a:off x="0" y="0"/>
                                      <a:ext cx="1696085" cy="25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6.95pt;margin-top:8.8pt;height:0.2pt;width:133.55pt;z-index:251667456;mso-width-relative:page;mso-height-relative:page;" filled="f" stroked="t" coordsize="21600,21600" o:gfxdata="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FMrevNQAAAAIAQAADwAAAAAAAAABACAAAAAiAAAAZHJzL2Rvd25yZXYueG1sUEsBAhQAFAAAAAgA&#10;h07iQIJBZH/wAQAAwQMAAA4AAAAAAAAAAQAgAAAAIwEAAGRycy9lMm9Eb2MueG1sUEsFBgAAAAAG&#10;AAYAWQEAAIUFAAAAAA==&#10;">
                            <v:fill on="f" focussize="0,0"/>
                            <v:stroke weight="1.5pt" color="#000000 [3200]" miterlimit="8" joinstyle="miter"/>
                            <v:imagedata o:title=""/>
                            <o:lock v:ext="edit" aspectratio="f"/>
                          </v:line>
                        </w:pict>
                      </mc:Fallback>
                    </mc:AlternateContent>
                  </w:r>
                </w:p>
              </w:tc>
              <w:tc>
                <w:tcPr>
                  <w:tcW w:w="269" w:type="pct"/>
                  <w:vAlign w:val="center"/>
                </w:tcPr>
                <w:p w14:paraId="7BBC9D4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007098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84CB2D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1D2EE5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651F80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7FC5B00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92F7BB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BB07B5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65C3FBE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60F63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4F97083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桥墩施工</w:t>
                  </w:r>
                </w:p>
              </w:tc>
              <w:tc>
                <w:tcPr>
                  <w:tcW w:w="484" w:type="pct"/>
                  <w:vAlign w:val="center"/>
                </w:tcPr>
                <w:p w14:paraId="1C06B30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6</w:t>
                  </w:r>
                </w:p>
              </w:tc>
              <w:tc>
                <w:tcPr>
                  <w:tcW w:w="268" w:type="pct"/>
                  <w:vAlign w:val="center"/>
                </w:tcPr>
                <w:p w14:paraId="496F314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7386C1E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47181D7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15BE22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-59690</wp:posOffset>
                            </wp:positionH>
                            <wp:positionV relativeFrom="paragraph">
                              <wp:posOffset>109220</wp:posOffset>
                            </wp:positionV>
                            <wp:extent cx="1696085" cy="2540"/>
                            <wp:effectExtent l="0" t="0" r="0" b="0"/>
                            <wp:wrapNone/>
                            <wp:docPr id="53" name="直接连接符 53"/>
                            <wp:cNvGraphicFramePr/>
                            <a:graphic xmlns:a="http://schemas.openxmlformats.org/drawingml/2006/main">
                              <a:graphicData uri="http://schemas.microsoft.com/office/word/2010/wordprocessingShape">
                                <wps:wsp>
                                  <wps:cNvCnPr/>
                                  <wps:spPr>
                                    <a:xfrm flipV="1">
                                      <a:off x="0" y="0"/>
                                      <a:ext cx="1696085" cy="25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4.7pt;margin-top:8.6pt;height:0.2pt;width:133.55pt;z-index:251668480;mso-width-relative:page;mso-height-relative:page;" filled="f" stroked="t" coordsize="21600,21600" o:gfxdata="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Ny2XdYAAAAIAQAADwAAAAAAAAABACAAAAAiAAAAZHJzL2Rvd25yZXYueG1sUEsBAhQAFAAA&#10;AAgAh07iQHt6VnXxAQAAwQMAAA4AAAAAAAAAAQAgAAAAJQEAAGRycy9lMm9Eb2MueG1sUEsFBgAA&#10;AAAGAAYAWQEAAIgFAAAAAA==&#10;">
                            <v:fill on="f" focussize="0,0"/>
                            <v:stroke weight="1.5pt" color="#000000 [3200]" miterlimit="8" joinstyle="miter"/>
                            <v:imagedata o:title=""/>
                            <o:lock v:ext="edit" aspectratio="f"/>
                          </v:line>
                        </w:pict>
                      </mc:Fallback>
                    </mc:AlternateContent>
                  </w:r>
                </w:p>
              </w:tc>
              <w:tc>
                <w:tcPr>
                  <w:tcW w:w="269" w:type="pct"/>
                  <w:vAlign w:val="center"/>
                </w:tcPr>
                <w:p w14:paraId="774F953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E996FC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6D05E0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4E47BA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C4188D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77E6EB0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02ED4B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13A7A32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3E8DC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49FC8EA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钢梁施工</w:t>
                  </w:r>
                </w:p>
              </w:tc>
              <w:tc>
                <w:tcPr>
                  <w:tcW w:w="484" w:type="pct"/>
                  <w:vAlign w:val="center"/>
                </w:tcPr>
                <w:p w14:paraId="1E2A5731">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6</w:t>
                  </w:r>
                </w:p>
              </w:tc>
              <w:tc>
                <w:tcPr>
                  <w:tcW w:w="268" w:type="pct"/>
                  <w:vAlign w:val="center"/>
                </w:tcPr>
                <w:p w14:paraId="2EA6DE1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46B9636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26F0153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E6B7D6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16C72C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-66675</wp:posOffset>
                            </wp:positionH>
                            <wp:positionV relativeFrom="paragraph">
                              <wp:posOffset>106045</wp:posOffset>
                            </wp:positionV>
                            <wp:extent cx="1696085" cy="2540"/>
                            <wp:effectExtent l="0" t="0" r="0" b="0"/>
                            <wp:wrapNone/>
                            <wp:docPr id="54" name="直接连接符 54"/>
                            <wp:cNvGraphicFramePr/>
                            <a:graphic xmlns:a="http://schemas.openxmlformats.org/drawingml/2006/main">
                              <a:graphicData uri="http://schemas.microsoft.com/office/word/2010/wordprocessingShape">
                                <wps:wsp>
                                  <wps:cNvCnPr/>
                                  <wps:spPr>
                                    <a:xfrm flipV="1">
                                      <a:off x="0" y="0"/>
                                      <a:ext cx="1696085" cy="25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5.25pt;margin-top:8.35pt;height:0.2pt;width:133.55pt;z-index:251669504;mso-width-relative:page;mso-height-relative:page;" filled="f" stroked="t" coordsize="21600,21600" o:gfxdata="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seItHtYAAAAJAQAADwAAAAAAAAABACAAAAAiAAAAZHJzL2Rvd25yZXYueG1sUEsBAhQAFAAA&#10;AAgAh07iQJTZyEPxAQAAwQMAAA4AAAAAAAAAAQAgAAAAJQEAAGRycy9lMm9Eb2MueG1sUEsFBgAA&#10;AAAGAAYAWQEAAIgFAAAAAA==&#10;">
                            <v:fill on="f" focussize="0,0"/>
                            <v:stroke weight="1.5pt" color="#000000 [3200]" miterlimit="8" joinstyle="miter"/>
                            <v:imagedata o:title=""/>
                            <o:lock v:ext="edit" aspectratio="f"/>
                          </v:line>
                        </w:pict>
                      </mc:Fallback>
                    </mc:AlternateContent>
                  </w:r>
                </w:p>
              </w:tc>
              <w:tc>
                <w:tcPr>
                  <w:tcW w:w="269" w:type="pct"/>
                  <w:vAlign w:val="center"/>
                </w:tcPr>
                <w:p w14:paraId="54C594A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BC7521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EE52A5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8A9690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5D8680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701AD6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150DFF1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5FA50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39547C7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搭设钢箱梁支架</w:t>
                  </w:r>
                </w:p>
              </w:tc>
              <w:tc>
                <w:tcPr>
                  <w:tcW w:w="484" w:type="pct"/>
                  <w:vAlign w:val="center"/>
                </w:tcPr>
                <w:p w14:paraId="6CDDDCB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5</w:t>
                  </w:r>
                </w:p>
              </w:tc>
              <w:tc>
                <w:tcPr>
                  <w:tcW w:w="268" w:type="pct"/>
                  <w:vAlign w:val="center"/>
                </w:tcPr>
                <w:p w14:paraId="60219461">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38FDD7D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0558BE3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7F87136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-67310</wp:posOffset>
                            </wp:positionH>
                            <wp:positionV relativeFrom="paragraph">
                              <wp:posOffset>110490</wp:posOffset>
                            </wp:positionV>
                            <wp:extent cx="1417955" cy="2540"/>
                            <wp:effectExtent l="0" t="0" r="0" b="0"/>
                            <wp:wrapNone/>
                            <wp:docPr id="55" name="直接连接符 55"/>
                            <wp:cNvGraphicFramePr/>
                            <a:graphic xmlns:a="http://schemas.openxmlformats.org/drawingml/2006/main">
                              <a:graphicData uri="http://schemas.microsoft.com/office/word/2010/wordprocessingShape">
                                <wps:wsp>
                                  <wps:cNvCnPr/>
                                  <wps:spPr>
                                    <a:xfrm flipV="1">
                                      <a:off x="0" y="0"/>
                                      <a:ext cx="1417955" cy="25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5.3pt;margin-top:8.7pt;height:0.2pt;width:111.65pt;z-index:251670528;mso-width-relative:page;mso-height-relative:page;" filled="f" stroked="t" coordsize="21600,21600" o:gfxdata="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P1jNl1gAAAAkBAAAPAAAAAAAAAAEAIAAAACIAAABkcnMvZG93bnJldi54bWxQSwECFAAUAAAA&#10;CACHTuJAdjmNMPABAADBAwAADgAAAAAAAAABACAAAAAlAQAAZHJzL2Uyb0RvYy54bWxQSwUGAAAA&#10;AAYABgBZAQAAhwUAAAAA&#10;">
                            <v:fill on="f" focussize="0,0"/>
                            <v:stroke weight="1.5pt" color="#000000 [3200]" miterlimit="8" joinstyle="miter"/>
                            <v:imagedata o:title=""/>
                            <o:lock v:ext="edit" aspectratio="f"/>
                          </v:line>
                        </w:pict>
                      </mc:Fallback>
                    </mc:AlternateContent>
                  </w:r>
                </w:p>
              </w:tc>
              <w:tc>
                <w:tcPr>
                  <w:tcW w:w="269" w:type="pct"/>
                  <w:vAlign w:val="center"/>
                </w:tcPr>
                <w:p w14:paraId="3DDD9C3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56B7891">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2E6ED8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0F0F8F1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02A236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2C11D7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7A735BD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24D4073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3D292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39F5B81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钢箱梁吊装</w:t>
                  </w:r>
                </w:p>
              </w:tc>
              <w:tc>
                <w:tcPr>
                  <w:tcW w:w="484" w:type="pct"/>
                  <w:vAlign w:val="center"/>
                </w:tcPr>
                <w:p w14:paraId="10B41D0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6</w:t>
                  </w:r>
                </w:p>
              </w:tc>
              <w:tc>
                <w:tcPr>
                  <w:tcW w:w="268" w:type="pct"/>
                  <w:vAlign w:val="center"/>
                </w:tcPr>
                <w:p w14:paraId="43E890D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40C666A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1FBA00D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4A5A9D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046B95B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-64770</wp:posOffset>
                            </wp:positionH>
                            <wp:positionV relativeFrom="paragraph">
                              <wp:posOffset>110490</wp:posOffset>
                            </wp:positionV>
                            <wp:extent cx="1696085" cy="2540"/>
                            <wp:effectExtent l="0" t="0" r="0" b="0"/>
                            <wp:wrapNone/>
                            <wp:docPr id="56" name="直接连接符 56"/>
                            <wp:cNvGraphicFramePr/>
                            <a:graphic xmlns:a="http://schemas.openxmlformats.org/drawingml/2006/main">
                              <a:graphicData uri="http://schemas.microsoft.com/office/word/2010/wordprocessingShape">
                                <wps:wsp>
                                  <wps:cNvCnPr/>
                                  <wps:spPr>
                                    <a:xfrm flipV="1">
                                      <a:off x="0" y="0"/>
                                      <a:ext cx="1696085" cy="25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5.1pt;margin-top:8.7pt;height:0.2pt;width:133.55pt;z-index:251671552;mso-width-relative:page;mso-height-relative:page;" filled="f" stroked="t" coordsize="21600,21600" o:gfxdata="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vKvHi1gAAAAkBAAAPAAAAAAAAAAEAIAAAACIAAABkcnMvZG93bnJldi54bWxQSwECFAAUAAAA&#10;CACHTuJAZq6sV/ABAADBAwAADgAAAAAAAAABACAAAAAlAQAAZHJzL2Uyb0RvYy54bWxQSwUGAAAA&#10;AAYABgBZAQAAhwUAAAAA&#10;">
                            <v:fill on="f" focussize="0,0"/>
                            <v:stroke weight="1.5pt" color="#000000 [3200]" miterlimit="8" joinstyle="miter"/>
                            <v:imagedata o:title=""/>
                            <o:lock v:ext="edit" aspectratio="f"/>
                          </v:line>
                        </w:pict>
                      </mc:Fallback>
                    </mc:AlternateContent>
                  </w:r>
                </w:p>
              </w:tc>
              <w:tc>
                <w:tcPr>
                  <w:tcW w:w="269" w:type="pct"/>
                  <w:vAlign w:val="center"/>
                </w:tcPr>
                <w:p w14:paraId="03D8BF8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5DC73F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3B03BB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6913D8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352B43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9943B4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28D07CEC">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50A73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3A81BA4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附属施工及工程验收</w:t>
                  </w:r>
                </w:p>
              </w:tc>
              <w:tc>
                <w:tcPr>
                  <w:tcW w:w="484" w:type="pct"/>
                  <w:vAlign w:val="center"/>
                </w:tcPr>
                <w:p w14:paraId="6B6BD68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5.5</w:t>
                  </w:r>
                </w:p>
              </w:tc>
              <w:tc>
                <w:tcPr>
                  <w:tcW w:w="268" w:type="pct"/>
                  <w:vAlign w:val="center"/>
                </w:tcPr>
                <w:p w14:paraId="4D79000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4ABD88D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66BF59EC">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2773A91">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62F8FF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2D32A2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214630</wp:posOffset>
                            </wp:positionH>
                            <wp:positionV relativeFrom="paragraph">
                              <wp:posOffset>103505</wp:posOffset>
                            </wp:positionV>
                            <wp:extent cx="1581150" cy="5715"/>
                            <wp:effectExtent l="0" t="0" r="0" b="0"/>
                            <wp:wrapNone/>
                            <wp:docPr id="57" name="直接连接符 57"/>
                            <wp:cNvGraphicFramePr/>
                            <a:graphic xmlns:a="http://schemas.openxmlformats.org/drawingml/2006/main">
                              <a:graphicData uri="http://schemas.microsoft.com/office/word/2010/wordprocessingShape">
                                <wps:wsp>
                                  <wps:cNvCnPr/>
                                  <wps:spPr>
                                    <a:xfrm flipV="1">
                                      <a:off x="0" y="0"/>
                                      <a:ext cx="1581150" cy="571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16.9pt;margin-top:8.15pt;height:0.45pt;width:124.5pt;z-index:251672576;mso-width-relative:page;mso-height-relative:page;" filled="f" stroked="t" coordsize="21600,21600" o:gfxdata="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D5&#10;wozVAAAACAEAAA8AAAAAAAAAAQAgAAAAIgAAAGRycy9kb3ducmV2LnhtbFBLAQIUABQAAAAIAIdO&#10;4kAFMSkk7QEAAMEDAAAOAAAAAAAAAAEAIAAAACQBAABkcnMvZTJvRG9jLnhtbFBLBQYAAAAABgAG&#10;AFkBAACDBQAAAAA=&#10;">
                            <v:fill on="f" focussize="0,0"/>
                            <v:stroke weight="1.5pt" color="#000000 [3200]" miterlimit="8" joinstyle="miter"/>
                            <v:imagedata o:title=""/>
                            <o:lock v:ext="edit" aspectratio="f"/>
                          </v:line>
                        </w:pict>
                      </mc:Fallback>
                    </mc:AlternateContent>
                  </w:r>
                </w:p>
              </w:tc>
              <w:tc>
                <w:tcPr>
                  <w:tcW w:w="269" w:type="pct"/>
                  <w:vAlign w:val="center"/>
                </w:tcPr>
                <w:p w14:paraId="235E10C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625CA9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09CB0E8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0C9EFF3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ABAC91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717B5D1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6B9B8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585F811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拆除支架</w:t>
                  </w:r>
                </w:p>
              </w:tc>
              <w:tc>
                <w:tcPr>
                  <w:tcW w:w="484" w:type="pct"/>
                  <w:vAlign w:val="center"/>
                </w:tcPr>
                <w:p w14:paraId="068A4BB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4</w:t>
                  </w:r>
                </w:p>
              </w:tc>
              <w:tc>
                <w:tcPr>
                  <w:tcW w:w="268" w:type="pct"/>
                  <w:vAlign w:val="center"/>
                </w:tcPr>
                <w:p w14:paraId="15C755D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3FE3DBF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199828E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4F664F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1CB660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308FCC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7E4DE047">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-69215</wp:posOffset>
                            </wp:positionH>
                            <wp:positionV relativeFrom="paragraph">
                              <wp:posOffset>113665</wp:posOffset>
                            </wp:positionV>
                            <wp:extent cx="1147445" cy="5715"/>
                            <wp:effectExtent l="0" t="0" r="0" b="0"/>
                            <wp:wrapNone/>
                            <wp:docPr id="58" name="直接连接符 58"/>
                            <wp:cNvGraphicFramePr/>
                            <a:graphic xmlns:a="http://schemas.openxmlformats.org/drawingml/2006/main">
                              <a:graphicData uri="http://schemas.microsoft.com/office/word/2010/wordprocessingShape">
                                <wps:wsp>
                                  <wps:cNvCnPr/>
                                  <wps:spPr>
                                    <a:xfrm>
                                      <a:off x="0" y="0"/>
                                      <a:ext cx="1147445" cy="571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5.45pt;margin-top:8.95pt;height:0.45pt;width:90.35pt;z-index:251673600;mso-width-relative:page;mso-height-relative:page;" filled="f" stroked="t" coordsize="21600,21600" o:gfxdata="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uY8Mr&#10;2AAAAAkBAAAPAAAAAAAAAAEAIAAAACIAAABkcnMvZG93bnJldi54bWxQSwECFAAUAAAACACHTuJA&#10;IxsZuegBAAC3AwAADgAAAAAAAAABACAAAAAnAQAAZHJzL2Uyb0RvYy54bWxQSwUGAAAAAAYABgBZ&#10;AQAAgQUAAAAA&#10;">
                            <v:fill on="f" focussize="0,0"/>
                            <v:stroke weight="1.5pt" color="#000000 [3200]" miterlimit="8" joinstyle="miter"/>
                            <v:imagedata o:title=""/>
                            <o:lock v:ext="edit" aspectratio="f"/>
                          </v:line>
                        </w:pict>
                      </mc:Fallback>
                    </mc:AlternateContent>
                  </w:r>
                </w:p>
              </w:tc>
              <w:tc>
                <w:tcPr>
                  <w:tcW w:w="269" w:type="pct"/>
                  <w:vAlign w:val="center"/>
                </w:tcPr>
                <w:p w14:paraId="09F5F6D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26646B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C4C047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BB5E74C">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0357E9E8">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58739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40334CC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栏杆、铺装及</w:t>
                  </w:r>
                </w:p>
                <w:p w14:paraId="1D8B2AA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其他附属施工</w:t>
                  </w:r>
                </w:p>
              </w:tc>
              <w:tc>
                <w:tcPr>
                  <w:tcW w:w="484" w:type="pct"/>
                  <w:vAlign w:val="center"/>
                </w:tcPr>
                <w:p w14:paraId="1B7795B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3.5</w:t>
                  </w:r>
                </w:p>
              </w:tc>
              <w:tc>
                <w:tcPr>
                  <w:tcW w:w="268" w:type="pct"/>
                  <w:vAlign w:val="center"/>
                </w:tcPr>
                <w:p w14:paraId="6D4A347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190EF7A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622061D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0307EDF2">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2B62818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A8504A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34D6188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072AF05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210820</wp:posOffset>
                            </wp:positionH>
                            <wp:positionV relativeFrom="paragraph">
                              <wp:posOffset>218440</wp:posOffset>
                            </wp:positionV>
                            <wp:extent cx="991235" cy="8255"/>
                            <wp:effectExtent l="0" t="0" r="0" b="0"/>
                            <wp:wrapNone/>
                            <wp:docPr id="59" name="直接连接符 59"/>
                            <wp:cNvGraphicFramePr/>
                            <a:graphic xmlns:a="http://schemas.openxmlformats.org/drawingml/2006/main">
                              <a:graphicData uri="http://schemas.microsoft.com/office/word/2010/wordprocessingShape">
                                <wps:wsp>
                                  <wps:cNvCnPr/>
                                  <wps:spPr>
                                    <a:xfrm>
                                      <a:off x="0" y="0"/>
                                      <a:ext cx="991235" cy="825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16.6pt;margin-top:17.2pt;height:0.65pt;width:78.05pt;z-index:251674624;mso-width-relative:page;mso-height-relative:page;" filled="f" stroked="t" coordsize="21600,21600" o:gfxdata="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Pc5tgLZ&#10;AAAACAEAAA8AAAAAAAAAAQAgAAAAIgAAAGRycy9kb3ducmV2LnhtbFBLAQIUABQAAAAIAIdO4kA5&#10;ztTY5gEAALYDAAAOAAAAAAAAAAEAIAAAACgBAABkcnMvZTJvRG9jLnhtbFBLBQYAAAAABgAGAFkB&#10;AACABQAAAAA=&#10;">
                            <v:fill on="f" focussize="0,0"/>
                            <v:stroke weight="1.5pt" color="#000000 [3200]" miterlimit="8" joinstyle="miter"/>
                            <v:imagedata o:title=""/>
                            <o:lock v:ext="edit" aspectratio="f"/>
                          </v:line>
                        </w:pict>
                      </mc:Fallback>
                    </mc:AlternateContent>
                  </w:r>
                </w:p>
              </w:tc>
              <w:tc>
                <w:tcPr>
                  <w:tcW w:w="269" w:type="pct"/>
                  <w:vAlign w:val="center"/>
                </w:tcPr>
                <w:p w14:paraId="0ED74CBD">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075C6BA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B3A524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0F306496">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r>
            <w:tr w14:paraId="09767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5" w:type="pct"/>
                  <w:vAlign w:val="center"/>
                </w:tcPr>
                <w:p w14:paraId="49D1AC0F">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工程验收</w:t>
                  </w:r>
                </w:p>
              </w:tc>
              <w:tc>
                <w:tcPr>
                  <w:tcW w:w="484" w:type="pct"/>
                  <w:vAlign w:val="center"/>
                </w:tcPr>
                <w:p w14:paraId="41F2839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eastAsia" w:ascii="Times New Roman" w:hAnsi="Times New Roman" w:eastAsia="仿宋" w:cs="Times New Roman"/>
                      <w:b w:val="0"/>
                      <w:bCs w:val="0"/>
                      <w:color w:val="auto"/>
                      <w:sz w:val="21"/>
                      <w:szCs w:val="21"/>
                      <w:highlight w:val="none"/>
                      <w:vertAlign w:val="baseline"/>
                      <w:lang w:val="en-US" w:eastAsia="zh-CN"/>
                    </w:rPr>
                    <w:t>0.5</w:t>
                  </w:r>
                </w:p>
              </w:tc>
              <w:tc>
                <w:tcPr>
                  <w:tcW w:w="268" w:type="pct"/>
                  <w:vAlign w:val="center"/>
                </w:tcPr>
                <w:p w14:paraId="0D4020AC">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547892B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8" w:type="pct"/>
                  <w:vAlign w:val="center"/>
                </w:tcPr>
                <w:p w14:paraId="29E53D5B">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569706DA">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0125733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12649C54">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41E1F39">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D566D80">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DB89F0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40DA3355">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69" w:type="pct"/>
                  <w:vAlign w:val="center"/>
                </w:tcPr>
                <w:p w14:paraId="63117F83">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p>
              </w:tc>
              <w:tc>
                <w:tcPr>
                  <w:tcW w:w="272" w:type="pct"/>
                  <w:vAlign w:val="center"/>
                </w:tcPr>
                <w:p w14:paraId="103A614E">
                  <w:pPr>
                    <w:pStyle w:val="3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69850</wp:posOffset>
                            </wp:positionH>
                            <wp:positionV relativeFrom="paragraph">
                              <wp:posOffset>106045</wp:posOffset>
                            </wp:positionV>
                            <wp:extent cx="153035" cy="3175"/>
                            <wp:effectExtent l="0" t="0" r="0" b="0"/>
                            <wp:wrapNone/>
                            <wp:docPr id="60" name="直接连接符 60"/>
                            <wp:cNvGraphicFramePr/>
                            <a:graphic xmlns:a="http://schemas.openxmlformats.org/drawingml/2006/main">
                              <a:graphicData uri="http://schemas.microsoft.com/office/word/2010/wordprocessingShape">
                                <wps:wsp>
                                  <wps:cNvCnPr/>
                                  <wps:spPr>
                                    <a:xfrm flipV="1">
                                      <a:off x="0" y="0"/>
                                      <a:ext cx="153035" cy="317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5.5pt;margin-top:8.35pt;height:0.25pt;width:12.05pt;z-index:251675648;mso-width-relative:page;mso-height-relative:page;" filled="f" stroked="t" coordsize="21600,21600" o:gfxdata="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E7&#10;FzvUAAAABwEAAA8AAAAAAAAAAQAgAAAAIgAAAGRycy9kb3ducmV2LnhtbFBLAQIUABQAAAAIAIdO&#10;4kA2j32k7gEAAMADAAAOAAAAAAAAAAEAIAAAACMBAABkcnMvZTJvRG9jLnhtbFBLBQYAAAAABgAG&#10;AFkBAACDBQAAAAA=&#10;">
                            <v:fill on="f" focussize="0,0"/>
                            <v:stroke weight="1.5pt" color="#000000 [3200]" miterlimit="8" joinstyle="miter"/>
                            <v:imagedata o:title=""/>
                            <o:lock v:ext="edit" aspectratio="f"/>
                          </v:line>
                        </w:pict>
                      </mc:Fallback>
                    </mc:AlternateContent>
                  </w:r>
                </w:p>
              </w:tc>
            </w:tr>
          </w:tbl>
          <w:p w14:paraId="50B9591A">
            <w:pPr>
              <w:pStyle w:val="30"/>
              <w:rPr>
                <w:rFonts w:ascii="Times New Roman" w:hAnsi="Times New Roman" w:cs="Times New Roman"/>
                <w:color w:val="auto"/>
                <w:highlight w:val="none"/>
                <w:vertAlign w:val="baseline"/>
              </w:rPr>
            </w:pPr>
          </w:p>
        </w:tc>
      </w:tr>
      <w:tr w14:paraId="69B98167">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26" w:type="dxa"/>
            <w:tcBorders>
              <w:tl2br w:val="nil"/>
              <w:tr2bl w:val="nil"/>
            </w:tcBorders>
            <w:vAlign w:val="center"/>
          </w:tcPr>
          <w:p w14:paraId="49B43EBB">
            <w:pPr>
              <w:pStyle w:val="30"/>
              <w:jc w:val="center"/>
              <w:rPr>
                <w:rFonts w:hint="eastAsia" w:ascii="Times New Roman" w:hAnsi="Times New Roman" w:eastAsia="仿宋" w:cs="Times New Roman"/>
                <w:color w:val="auto"/>
                <w:kern w:val="2"/>
                <w:sz w:val="21"/>
                <w:szCs w:val="21"/>
                <w:highlight w:val="none"/>
                <w:lang w:val="en-US" w:eastAsia="zh-CN" w:bidi="ar-SA"/>
              </w:rPr>
            </w:pPr>
            <w:r>
              <w:rPr>
                <w:rFonts w:hint="eastAsia" w:ascii="仿宋" w:hAnsi="仿宋" w:eastAsia="仿宋" w:cs="仿宋"/>
                <w:color w:val="auto"/>
                <w:sz w:val="21"/>
                <w:szCs w:val="21"/>
                <w:highlight w:val="none"/>
                <w:vertAlign w:val="baseline"/>
                <w:lang w:val="en-US" w:eastAsia="zh-CN"/>
              </w:rPr>
              <w:t>其他</w:t>
            </w:r>
          </w:p>
        </w:tc>
        <w:tc>
          <w:tcPr>
            <w:tcW w:w="8554" w:type="dxa"/>
            <w:tcBorders>
              <w:tl2br w:val="nil"/>
              <w:tr2bl w:val="nil"/>
            </w:tcBorders>
            <w:vAlign w:val="top"/>
          </w:tcPr>
          <w:p w14:paraId="3F6EEEC2">
            <w:pPr>
              <w:keepNext w:val="0"/>
              <w:keepLines w:val="0"/>
              <w:pageBreakBefore w:val="0"/>
              <w:widowControl/>
              <w:suppressLineNumbers w:val="0"/>
              <w:kinsoku/>
              <w:wordWrap/>
              <w:overflowPunct/>
              <w:topLinePunct w:val="0"/>
              <w:autoSpaceDE/>
              <w:autoSpaceDN/>
              <w:bidi w:val="0"/>
              <w:adjustRightInd w:val="0"/>
              <w:snapToGrid/>
              <w:ind w:left="0" w:leftChars="0" w:firstLine="0" w:firstLineChars="0"/>
              <w:jc w:val="center"/>
              <w:textAlignment w:val="auto"/>
              <w:rPr>
                <w:rFonts w:hint="eastAsia" w:eastAsia="仿宋"/>
                <w:color w:val="auto"/>
                <w:sz w:val="24"/>
                <w:lang w:val="en-US" w:eastAsia="zh-CN"/>
              </w:rPr>
            </w:pPr>
            <w:r>
              <w:rPr>
                <w:rFonts w:hint="eastAsia" w:ascii="Times New Roman" w:hAnsi="Times New Roman" w:eastAsia="仿宋" w:cs="Times New Roman"/>
                <w:color w:val="auto"/>
                <w:kern w:val="0"/>
                <w:sz w:val="24"/>
                <w:szCs w:val="24"/>
                <w:lang w:val="en-US" w:eastAsia="zh-CN" w:bidi="ar"/>
              </w:rPr>
              <w:t>无</w:t>
            </w:r>
          </w:p>
        </w:tc>
      </w:tr>
    </w:tbl>
    <w:p w14:paraId="4A1EC311">
      <w:pPr>
        <w:rPr>
          <w:rFonts w:hint="eastAsia" w:ascii="黑体" w:hAnsi="黑体" w:eastAsia="黑体"/>
          <w:snapToGrid w:val="0"/>
          <w:color w:val="auto"/>
          <w:sz w:val="30"/>
          <w:szCs w:val="30"/>
          <w:highlight w:val="none"/>
          <w:lang w:val="en-US" w:eastAsia="zh-CN"/>
        </w:rPr>
      </w:pPr>
      <w:r>
        <w:rPr>
          <w:rFonts w:hint="eastAsia" w:ascii="黑体" w:hAnsi="黑体" w:eastAsia="黑体"/>
          <w:snapToGrid w:val="0"/>
          <w:color w:val="auto"/>
          <w:sz w:val="30"/>
          <w:szCs w:val="30"/>
          <w:highlight w:val="none"/>
          <w:lang w:val="en-US" w:eastAsia="zh-CN"/>
        </w:rPr>
        <w:br w:type="page"/>
      </w:r>
    </w:p>
    <w:p w14:paraId="4B08E03A">
      <w:pPr>
        <w:pStyle w:val="19"/>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center"/>
        <w:textAlignment w:val="auto"/>
        <w:outlineLvl w:val="0"/>
        <w:rPr>
          <w:rFonts w:hint="default" w:ascii="Times New Roman" w:hAnsi="Times New Roman" w:eastAsia="黑体" w:cs="Times New Roman"/>
          <w:color w:val="auto"/>
          <w:highlight w:val="none"/>
          <w:lang w:val="en-US" w:eastAsia="zh-CN"/>
        </w:rPr>
      </w:pPr>
      <w:bookmarkStart w:id="5" w:name="_Toc13191"/>
      <w:r>
        <w:rPr>
          <w:rFonts w:hint="eastAsia" w:ascii="黑体" w:hAnsi="黑体" w:eastAsia="黑体"/>
          <w:snapToGrid w:val="0"/>
          <w:color w:val="auto"/>
          <w:sz w:val="30"/>
          <w:szCs w:val="30"/>
          <w:highlight w:val="none"/>
          <w:lang w:val="en-US" w:eastAsia="zh-CN"/>
        </w:rPr>
        <w:t>三</w:t>
      </w:r>
      <w:r>
        <w:rPr>
          <w:rFonts w:hint="eastAsia" w:ascii="黑体" w:hAnsi="黑体" w:eastAsia="黑体"/>
          <w:snapToGrid w:val="0"/>
          <w:color w:val="auto"/>
          <w:sz w:val="30"/>
          <w:szCs w:val="30"/>
          <w:highlight w:val="none"/>
        </w:rPr>
        <w:t>、</w:t>
      </w:r>
      <w:r>
        <w:rPr>
          <w:rFonts w:hint="eastAsia" w:ascii="黑体" w:hAnsi="黑体" w:eastAsia="黑体"/>
          <w:snapToGrid w:val="0"/>
          <w:color w:val="auto"/>
          <w:sz w:val="30"/>
          <w:szCs w:val="30"/>
          <w:highlight w:val="none"/>
          <w:lang w:val="en-US" w:eastAsia="zh-CN"/>
        </w:rPr>
        <w:t>生态环境现状、保护目标及评价标准</w:t>
      </w:r>
      <w:bookmarkEnd w:id="5"/>
    </w:p>
    <w:tbl>
      <w:tblPr>
        <w:tblStyle w:val="24"/>
        <w:tblW w:w="8865"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autofit"/>
        <w:tblCellMar>
          <w:top w:w="0" w:type="dxa"/>
          <w:left w:w="108" w:type="dxa"/>
          <w:bottom w:w="0" w:type="dxa"/>
          <w:right w:w="108" w:type="dxa"/>
        </w:tblCellMar>
      </w:tblPr>
      <w:tblGrid>
        <w:gridCol w:w="426"/>
        <w:gridCol w:w="9332"/>
      </w:tblGrid>
      <w:tr w14:paraId="22A08C8A">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jc w:val="center"/>
        </w:trPr>
        <w:tc>
          <w:tcPr>
            <w:tcW w:w="486" w:type="dxa"/>
            <w:tcBorders>
              <w:bottom w:val="single" w:color="auto" w:sz="4" w:space="0"/>
            </w:tcBorders>
            <w:vAlign w:val="center"/>
          </w:tcPr>
          <w:p w14:paraId="7D287A68">
            <w:pPr>
              <w:pStyle w:val="30"/>
              <w:jc w:val="center"/>
              <w:rPr>
                <w:rFonts w:hint="default"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生态环境现状</w:t>
            </w:r>
          </w:p>
        </w:tc>
        <w:tc>
          <w:tcPr>
            <w:tcW w:w="8379" w:type="dxa"/>
            <w:tcBorders>
              <w:bottom w:val="single" w:color="auto" w:sz="4" w:space="0"/>
            </w:tcBorders>
            <w:vAlign w:val="top"/>
          </w:tcPr>
          <w:p w14:paraId="5C47AC7C">
            <w:pPr>
              <w:ind w:left="0" w:leftChars="0" w:firstLine="0" w:firstLineChars="0"/>
              <w:rPr>
                <w:rFonts w:hint="default" w:ascii="Times New Roman" w:hAnsi="Times New Roman" w:eastAsia="仿宋" w:cs="Times New Roman"/>
                <w:b/>
                <w:bCs/>
                <w:color w:val="auto"/>
                <w:sz w:val="24"/>
                <w:highlight w:val="none"/>
                <w:lang w:val="en-US"/>
              </w:rPr>
            </w:pPr>
            <w:r>
              <w:rPr>
                <w:rFonts w:hint="eastAsia" w:eastAsia="仿宋" w:cs="Times New Roman"/>
                <w:b/>
                <w:bCs/>
                <w:color w:val="auto"/>
                <w:sz w:val="24"/>
                <w:highlight w:val="none"/>
                <w:lang w:val="en-US" w:eastAsia="zh-CN"/>
              </w:rPr>
              <w:t>一、主体功能区规划情况</w:t>
            </w:r>
          </w:p>
          <w:p w14:paraId="6A9CAA8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eastAsia="仿宋"/>
                <w:color w:val="auto"/>
                <w:kern w:val="0"/>
                <w:sz w:val="24"/>
                <w:highlight w:val="none"/>
                <w:lang w:val="en-US" w:eastAsia="zh-CN"/>
              </w:rPr>
            </w:pPr>
            <w:r>
              <w:rPr>
                <w:rFonts w:hint="default" w:eastAsia="仿宋"/>
                <w:color w:val="auto"/>
                <w:kern w:val="0"/>
                <w:sz w:val="24"/>
                <w:highlight w:val="none"/>
                <w:lang w:val="en-US" w:eastAsia="zh-CN"/>
              </w:rPr>
              <w:t>根据《金坛</w:t>
            </w:r>
            <w:r>
              <w:rPr>
                <w:rFonts w:hint="eastAsia" w:eastAsia="仿宋"/>
                <w:color w:val="auto"/>
                <w:kern w:val="0"/>
                <w:sz w:val="24"/>
                <w:highlight w:val="none"/>
                <w:lang w:val="en-US" w:eastAsia="zh-CN"/>
              </w:rPr>
              <w:t>区</w:t>
            </w:r>
            <w:r>
              <w:rPr>
                <w:rFonts w:hint="default" w:eastAsia="仿宋"/>
                <w:color w:val="auto"/>
                <w:kern w:val="0"/>
                <w:sz w:val="24"/>
                <w:highlight w:val="none"/>
                <w:lang w:val="en-US" w:eastAsia="zh-CN"/>
              </w:rPr>
              <w:t>城市总体规划（2013-2030）》，</w:t>
            </w:r>
            <w:r>
              <w:rPr>
                <w:rFonts w:hint="eastAsia" w:eastAsia="仿宋"/>
                <w:color w:val="auto"/>
                <w:kern w:val="0"/>
                <w:sz w:val="24"/>
                <w:highlight w:val="none"/>
                <w:lang w:val="en-US" w:eastAsia="zh-CN"/>
              </w:rPr>
              <w:t>金坛区产业发展定位为</w:t>
            </w:r>
            <w:r>
              <w:rPr>
                <w:rFonts w:hint="default" w:eastAsia="仿宋"/>
                <w:color w:val="auto"/>
                <w:kern w:val="0"/>
                <w:sz w:val="24"/>
                <w:highlight w:val="none"/>
                <w:lang w:val="en-US" w:eastAsia="zh-CN"/>
              </w:rPr>
              <w:t>长三角区域特色农业展示区和现代农业示范区；山湖特色鲜明的、具有较高知名度的休闲旅游度假区；高新技术产业和科技创新基地。</w:t>
            </w:r>
          </w:p>
          <w:p w14:paraId="38EC02F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仿宋"/>
                <w:color w:val="auto"/>
                <w:kern w:val="0"/>
                <w:sz w:val="24"/>
                <w:highlight w:val="none"/>
                <w:lang w:val="en-US" w:eastAsia="zh-CN"/>
              </w:rPr>
            </w:pPr>
            <w:r>
              <w:rPr>
                <w:rFonts w:hint="default" w:eastAsia="仿宋"/>
                <w:color w:val="auto"/>
                <w:kern w:val="0"/>
                <w:sz w:val="24"/>
                <w:highlight w:val="none"/>
                <w:lang w:val="en-US" w:eastAsia="zh-CN"/>
              </w:rPr>
              <w:t>根据《长荡湖旅游度假区总体规划</w:t>
            </w:r>
            <w:r>
              <w:rPr>
                <w:rFonts w:hint="eastAsia" w:eastAsia="仿宋"/>
                <w:color w:val="auto"/>
                <w:kern w:val="0"/>
                <w:sz w:val="24"/>
                <w:highlight w:val="none"/>
                <w:lang w:val="en-US" w:eastAsia="zh-CN"/>
              </w:rPr>
              <w:t>（2014-2030）</w:t>
            </w:r>
            <w:r>
              <w:rPr>
                <w:rFonts w:hint="default" w:eastAsia="仿宋"/>
                <w:color w:val="auto"/>
                <w:kern w:val="0"/>
                <w:sz w:val="24"/>
                <w:highlight w:val="none"/>
                <w:lang w:val="en-US" w:eastAsia="zh-CN"/>
              </w:rPr>
              <w:t>》</w:t>
            </w:r>
            <w:r>
              <w:rPr>
                <w:rFonts w:hint="eastAsia" w:eastAsia="仿宋"/>
                <w:color w:val="auto"/>
                <w:kern w:val="0"/>
                <w:sz w:val="24"/>
                <w:highlight w:val="none"/>
                <w:lang w:val="en-US" w:eastAsia="zh-CN"/>
              </w:rPr>
              <w:t>，区域内金坛长荡湖国家湿地公园总体规划目标为保护长荡湖的淡水草型浅水湖泊湿地生态系统，以及野生动物栖息地和生物多样性，保障太湖流域的水环境和生态安全，发挥湿地调蓄滞洪和水质净化等功能，维持保护与合理利用之间的平衡关系，普及湿地科普知识。</w:t>
            </w:r>
          </w:p>
          <w:p w14:paraId="6ABD1207">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同时通过河口生态拦截工程、污染阻截净化工程、水源保护区生态工程等等工程，有效改善水源地的水质状况，为周边城区提供健康清洁的水源。有效改善湖泊湿地生态系统，以及野生动物栖息地和生物多样性。</w:t>
            </w:r>
          </w:p>
          <w:p w14:paraId="20B5369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eastAsia="仿宋"/>
                <w:color w:val="auto"/>
                <w:kern w:val="0"/>
                <w:sz w:val="24"/>
                <w:highlight w:val="none"/>
                <w:lang w:val="en-US" w:eastAsia="zh-CN"/>
              </w:rPr>
            </w:pPr>
            <w:r>
              <w:rPr>
                <w:rFonts w:hint="eastAsia" w:eastAsia="仿宋"/>
                <w:color w:val="auto"/>
                <w:kern w:val="0"/>
                <w:sz w:val="24"/>
                <w:highlight w:val="none"/>
                <w:lang w:val="en-US" w:eastAsia="zh-CN"/>
              </w:rPr>
              <w:t>本工程为长荡湖体育休闲房车营地——应急疏散通道项目，旨在提高区域旅游休闲的体验完整性与安全性，同时通过绿化和生态保护措施，在尽可能减少对施工区域的环境扰动情况下，提高项目所在地的环境质量，增加人与自然和谐相处的自然图景。</w:t>
            </w:r>
          </w:p>
          <w:p w14:paraId="71475766">
            <w:pPr>
              <w:pStyle w:val="9"/>
              <w:numPr>
                <w:ilvl w:val="0"/>
                <w:numId w:val="0"/>
              </w:numPr>
              <w:ind w:leftChars="0"/>
              <w:rPr>
                <w:rFonts w:hint="eastAsia" w:eastAsia="仿宋"/>
                <w:b/>
                <w:bCs/>
                <w:color w:val="auto"/>
                <w:kern w:val="0"/>
                <w:sz w:val="24"/>
                <w:highlight w:val="none"/>
                <w:lang w:val="en-US" w:eastAsia="zh-CN"/>
              </w:rPr>
            </w:pPr>
            <w:r>
              <w:rPr>
                <w:rFonts w:hint="eastAsia" w:eastAsia="仿宋"/>
                <w:b/>
                <w:bCs/>
                <w:color w:val="auto"/>
                <w:kern w:val="0"/>
                <w:sz w:val="24"/>
                <w:highlight w:val="none"/>
                <w:lang w:val="en-US" w:eastAsia="zh-CN"/>
              </w:rPr>
              <w:t>二、生态功能区划情况</w:t>
            </w:r>
          </w:p>
          <w:p w14:paraId="176E151B">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s="Times New Roman"/>
                <w:color w:val="auto"/>
                <w:sz w:val="24"/>
                <w:highlight w:val="none"/>
              </w:rPr>
            </w:pPr>
            <w:r>
              <w:rPr>
                <w:rFonts w:hint="default" w:eastAsia="仿宋"/>
                <w:color w:val="auto"/>
                <w:kern w:val="0"/>
                <w:sz w:val="24"/>
                <w:highlight w:val="none"/>
                <w:lang w:val="en-US" w:eastAsia="zh-CN"/>
              </w:rPr>
              <w:t>根据《省</w:t>
            </w:r>
            <w:r>
              <w:rPr>
                <w:rFonts w:hint="eastAsia" w:eastAsia="仿宋"/>
                <w:color w:val="auto"/>
                <w:kern w:val="0"/>
                <w:sz w:val="24"/>
                <w:highlight w:val="none"/>
                <w:lang w:val="en-US" w:eastAsia="zh-CN"/>
              </w:rPr>
              <w:t>政府</w:t>
            </w:r>
            <w:r>
              <w:rPr>
                <w:rFonts w:hint="default" w:eastAsia="仿宋"/>
                <w:color w:val="auto"/>
                <w:kern w:val="0"/>
                <w:sz w:val="24"/>
                <w:highlight w:val="none"/>
                <w:lang w:val="en-US" w:eastAsia="zh-CN"/>
              </w:rPr>
              <w:t>关于印发江苏省生态空</w:t>
            </w:r>
            <w:r>
              <w:rPr>
                <w:rFonts w:hint="eastAsia" w:eastAsia="仿宋"/>
                <w:color w:val="auto"/>
                <w:kern w:val="0"/>
                <w:sz w:val="24"/>
                <w:highlight w:val="none"/>
                <w:lang w:val="en-US" w:eastAsia="zh-CN"/>
              </w:rPr>
              <w:t>间</w:t>
            </w:r>
            <w:r>
              <w:rPr>
                <w:rFonts w:hint="default" w:eastAsia="仿宋"/>
                <w:color w:val="auto"/>
                <w:kern w:val="0"/>
                <w:sz w:val="24"/>
                <w:highlight w:val="none"/>
                <w:lang w:val="en-US" w:eastAsia="zh-CN"/>
              </w:rPr>
              <w:t>控区域规划的通知》</w:t>
            </w:r>
            <w:r>
              <w:rPr>
                <w:rFonts w:hint="eastAsia" w:eastAsia="仿宋"/>
                <w:color w:val="auto"/>
                <w:kern w:val="0"/>
                <w:sz w:val="24"/>
                <w:highlight w:val="none"/>
                <w:lang w:val="en-US" w:eastAsia="zh-CN"/>
              </w:rPr>
              <w:t>（苏政发[2020]1号）及</w:t>
            </w:r>
            <w:r>
              <w:rPr>
                <w:rFonts w:hint="default" w:eastAsia="仿宋"/>
                <w:color w:val="auto"/>
                <w:kern w:val="0"/>
                <w:sz w:val="24"/>
                <w:highlight w:val="none"/>
                <w:lang w:val="en-US" w:eastAsia="zh-CN"/>
              </w:rPr>
              <w:t>《省</w:t>
            </w:r>
            <w:r>
              <w:rPr>
                <w:rFonts w:hint="eastAsia" w:eastAsia="仿宋"/>
                <w:color w:val="auto"/>
                <w:kern w:val="0"/>
                <w:sz w:val="24"/>
                <w:highlight w:val="none"/>
                <w:lang w:val="en-US" w:eastAsia="zh-CN"/>
              </w:rPr>
              <w:t>政</w:t>
            </w:r>
            <w:r>
              <w:rPr>
                <w:rFonts w:hint="default" w:eastAsia="仿宋"/>
                <w:color w:val="auto"/>
                <w:kern w:val="0"/>
                <w:sz w:val="24"/>
                <w:highlight w:val="none"/>
                <w:lang w:val="en-US" w:eastAsia="zh-CN"/>
              </w:rPr>
              <w:t>府关于印发江苏省国家级</w:t>
            </w:r>
            <w:r>
              <w:rPr>
                <w:rFonts w:hint="eastAsia" w:eastAsia="仿宋"/>
                <w:color w:val="auto"/>
                <w:kern w:val="0"/>
                <w:sz w:val="24"/>
                <w:highlight w:val="none"/>
                <w:lang w:val="en-US" w:eastAsia="zh-CN"/>
              </w:rPr>
              <w:t>生态</w:t>
            </w:r>
            <w:r>
              <w:rPr>
                <w:rFonts w:hint="default" w:eastAsia="仿宋"/>
                <w:color w:val="auto"/>
                <w:kern w:val="0"/>
                <w:sz w:val="24"/>
                <w:highlight w:val="none"/>
                <w:lang w:val="en-US" w:eastAsia="zh-CN"/>
              </w:rPr>
              <w:t>保护红线规划的通知》</w:t>
            </w:r>
            <w:r>
              <w:rPr>
                <w:rFonts w:hint="eastAsia" w:eastAsia="仿宋"/>
                <w:color w:val="auto"/>
                <w:kern w:val="0"/>
                <w:sz w:val="24"/>
                <w:highlight w:val="none"/>
                <w:lang w:val="en-US" w:eastAsia="zh-CN"/>
              </w:rPr>
              <w:t>（苏政发[2018]74号），常</w:t>
            </w:r>
            <w:r>
              <w:rPr>
                <w:rFonts w:hint="default" w:eastAsia="仿宋"/>
                <w:color w:val="auto"/>
                <w:kern w:val="0"/>
                <w:sz w:val="24"/>
                <w:highlight w:val="none"/>
                <w:lang w:val="en-US" w:eastAsia="zh-CN"/>
              </w:rPr>
              <w:t>州市生态空间保护区域总面积</w:t>
            </w:r>
            <w:r>
              <w:rPr>
                <w:rFonts w:hint="eastAsia" w:eastAsia="仿宋"/>
                <w:color w:val="auto"/>
                <w:kern w:val="0"/>
                <w:sz w:val="24"/>
                <w:highlight w:val="none"/>
                <w:lang w:val="en-US" w:eastAsia="zh-CN"/>
              </w:rPr>
              <w:t>为</w:t>
            </w:r>
            <w:r>
              <w:rPr>
                <w:rFonts w:hint="default" w:eastAsia="仿宋"/>
                <w:color w:val="auto"/>
                <w:kern w:val="0"/>
                <w:sz w:val="24"/>
                <w:highlight w:val="none"/>
                <w:lang w:val="en-US" w:eastAsia="zh-CN"/>
              </w:rPr>
              <w:t>942.83平方公里</w:t>
            </w:r>
            <w:r>
              <w:rPr>
                <w:rFonts w:hint="eastAsia" w:eastAsia="仿宋"/>
                <w:color w:val="auto"/>
                <w:kern w:val="0"/>
                <w:sz w:val="24"/>
                <w:highlight w:val="none"/>
                <w:lang w:val="en-US" w:eastAsia="zh-CN"/>
              </w:rPr>
              <w:t>（</w:t>
            </w:r>
            <w:r>
              <w:rPr>
                <w:rFonts w:hint="default" w:eastAsia="仿宋"/>
                <w:color w:val="auto"/>
                <w:kern w:val="0"/>
                <w:sz w:val="24"/>
                <w:highlight w:val="none"/>
                <w:lang w:val="en-US" w:eastAsia="zh-CN"/>
              </w:rPr>
              <w:t>扣除</w:t>
            </w:r>
            <w:r>
              <w:rPr>
                <w:rFonts w:hint="eastAsia" w:eastAsia="仿宋"/>
                <w:color w:val="auto"/>
                <w:kern w:val="0"/>
                <w:sz w:val="24"/>
                <w:highlight w:val="none"/>
                <w:lang w:val="en-US" w:eastAsia="zh-CN"/>
              </w:rPr>
              <w:t>重叠），</w:t>
            </w:r>
            <w:r>
              <w:rPr>
                <w:rFonts w:hint="default" w:eastAsia="仿宋"/>
                <w:color w:val="auto"/>
                <w:kern w:val="0"/>
                <w:sz w:val="24"/>
                <w:highlight w:val="none"/>
                <w:lang w:val="en-US" w:eastAsia="zh-CN"/>
              </w:rPr>
              <w:t>其中生态保护红线面积</w:t>
            </w:r>
            <w:r>
              <w:rPr>
                <w:rFonts w:hint="eastAsia" w:eastAsia="仿宋"/>
                <w:color w:val="auto"/>
                <w:kern w:val="0"/>
                <w:sz w:val="24"/>
                <w:highlight w:val="none"/>
                <w:lang w:val="en-US" w:eastAsia="zh-CN"/>
              </w:rPr>
              <w:t>3</w:t>
            </w:r>
            <w:r>
              <w:rPr>
                <w:rFonts w:hint="default" w:eastAsia="仿宋"/>
                <w:color w:val="auto"/>
                <w:kern w:val="0"/>
                <w:sz w:val="24"/>
                <w:highlight w:val="none"/>
                <w:lang w:val="en-US" w:eastAsia="zh-CN"/>
              </w:rPr>
              <w:t>11.02平方公里，生态空间管控区域面积937.68平方</w:t>
            </w:r>
            <w:r>
              <w:rPr>
                <w:rFonts w:hint="eastAsia" w:eastAsia="仿宋"/>
                <w:color w:val="auto"/>
                <w:kern w:val="0"/>
                <w:sz w:val="24"/>
                <w:highlight w:val="none"/>
                <w:lang w:val="en-US" w:eastAsia="zh-CN"/>
              </w:rPr>
              <w:t>公里</w:t>
            </w:r>
            <w:r>
              <w:rPr>
                <w:rFonts w:hint="default" w:eastAsia="仿宋"/>
                <w:color w:val="auto"/>
                <w:kern w:val="0"/>
                <w:sz w:val="24"/>
                <w:highlight w:val="none"/>
                <w:lang w:val="en-US" w:eastAsia="zh-CN"/>
              </w:rPr>
              <w:t>。对照《江苏省生态空间管控区域</w:t>
            </w:r>
            <w:r>
              <w:rPr>
                <w:rFonts w:hint="eastAsia" w:eastAsia="仿宋"/>
                <w:color w:val="auto"/>
                <w:kern w:val="0"/>
                <w:sz w:val="24"/>
                <w:highlight w:val="none"/>
                <w:lang w:val="en-US" w:eastAsia="zh-CN"/>
              </w:rPr>
              <w:t>规划》和</w:t>
            </w:r>
            <w:r>
              <w:rPr>
                <w:rFonts w:hint="default" w:eastAsia="仿宋"/>
                <w:color w:val="auto"/>
                <w:kern w:val="0"/>
                <w:sz w:val="24"/>
                <w:highlight w:val="none"/>
                <w:lang w:val="en-US" w:eastAsia="zh-CN"/>
              </w:rPr>
              <w:t>《江苏省国家</w:t>
            </w:r>
            <w:r>
              <w:rPr>
                <w:rFonts w:hint="eastAsia" w:eastAsia="仿宋"/>
                <w:color w:val="auto"/>
                <w:kern w:val="0"/>
                <w:sz w:val="24"/>
                <w:highlight w:val="none"/>
                <w:lang w:val="en-US" w:eastAsia="zh-CN"/>
              </w:rPr>
              <w:t>级</w:t>
            </w:r>
            <w:r>
              <w:rPr>
                <w:rFonts w:hint="default" w:eastAsia="仿宋"/>
                <w:color w:val="auto"/>
                <w:kern w:val="0"/>
                <w:sz w:val="24"/>
                <w:highlight w:val="none"/>
                <w:lang w:val="en-US" w:eastAsia="zh-CN"/>
              </w:rPr>
              <w:t>生态保护红线规划》，</w:t>
            </w:r>
            <w:r>
              <w:rPr>
                <w:rFonts w:hint="eastAsia" w:eastAsia="仿宋"/>
                <w:color w:val="auto"/>
                <w:kern w:val="0"/>
                <w:sz w:val="24"/>
                <w:highlight w:val="none"/>
                <w:lang w:val="en-US" w:eastAsia="zh-CN"/>
              </w:rPr>
              <w:t>本项目所在地周边国家级</w:t>
            </w:r>
            <w:r>
              <w:rPr>
                <w:rFonts w:hint="default" w:eastAsia="仿宋"/>
                <w:color w:val="auto"/>
                <w:kern w:val="0"/>
                <w:sz w:val="24"/>
                <w:highlight w:val="none"/>
                <w:lang w:val="en-US" w:eastAsia="zh-CN"/>
              </w:rPr>
              <w:t>生态</w:t>
            </w:r>
            <w:r>
              <w:rPr>
                <w:rFonts w:hint="eastAsia" w:eastAsia="仿宋"/>
                <w:color w:val="auto"/>
                <w:kern w:val="0"/>
                <w:sz w:val="24"/>
                <w:highlight w:val="none"/>
                <w:lang w:val="en-US" w:eastAsia="zh-CN"/>
              </w:rPr>
              <w:t>保护红线及生态空间管控区域</w:t>
            </w:r>
            <w:r>
              <w:rPr>
                <w:rFonts w:hint="default" w:eastAsia="仿宋"/>
                <w:color w:val="auto"/>
                <w:kern w:val="0"/>
                <w:sz w:val="24"/>
                <w:highlight w:val="none"/>
                <w:lang w:val="en-US" w:eastAsia="zh-CN"/>
              </w:rPr>
              <w:t>见下表。</w:t>
            </w:r>
          </w:p>
          <w:p w14:paraId="56E9299D">
            <w:pPr>
              <w:pStyle w:val="32"/>
              <w:jc w:val="center"/>
              <w:rPr>
                <w:rFonts w:hint="default" w:ascii="Times New Roman" w:hAnsi="Times New Roman" w:eastAsia="仿宋" w:cs="Times New Roman"/>
                <w:color w:val="auto"/>
                <w:sz w:val="24"/>
                <w:highlight w:val="none"/>
                <w:lang w:val="en-US" w:eastAsia="zh-CN"/>
              </w:rPr>
            </w:pPr>
            <w:r>
              <w:rPr>
                <w:rFonts w:hint="default" w:ascii="Times New Roman" w:hAnsi="Times New Roman" w:eastAsia="仿宋" w:cs="Times New Roman"/>
                <w:color w:val="auto"/>
                <w:sz w:val="24"/>
                <w:highlight w:val="none"/>
              </w:rPr>
              <w:t>表3-1</w:t>
            </w:r>
            <w:r>
              <w:rPr>
                <w:rFonts w:hint="eastAsia" w:ascii="Times New Roman" w:hAnsi="Times New Roman" w:eastAsia="仿宋" w:cs="Times New Roman"/>
                <w:color w:val="auto"/>
                <w:sz w:val="24"/>
                <w:highlight w:val="none"/>
                <w:lang w:val="en-US" w:eastAsia="zh-CN"/>
              </w:rPr>
              <w:t xml:space="preserve"> </w:t>
            </w:r>
            <w:r>
              <w:rPr>
                <w:rFonts w:hint="eastAsia" w:eastAsia="仿宋" w:cs="Times New Roman"/>
                <w:color w:val="auto"/>
                <w:sz w:val="24"/>
                <w:highlight w:val="none"/>
                <w:lang w:val="en-US" w:eastAsia="zh-CN"/>
              </w:rPr>
              <w:t>本项目周边国家级生态保护红线及生态空间管控区域情况表</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326"/>
              <w:gridCol w:w="1078"/>
              <w:gridCol w:w="3019"/>
              <w:gridCol w:w="1307"/>
              <w:gridCol w:w="1082"/>
            </w:tblGrid>
            <w:tr w14:paraId="3BDB4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 w:type="pct"/>
                  <w:vMerge w:val="restart"/>
                  <w:vAlign w:val="center"/>
                </w:tcPr>
                <w:p w14:paraId="18DBDC09">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生态空间保护区域名称</w:t>
                  </w:r>
                </w:p>
              </w:tc>
              <w:tc>
                <w:tcPr>
                  <w:tcW w:w="728" w:type="pct"/>
                  <w:vMerge w:val="restart"/>
                  <w:vAlign w:val="center"/>
                </w:tcPr>
                <w:p w14:paraId="004D7D9E">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与本项目方位、距离</w:t>
                  </w:r>
                </w:p>
              </w:tc>
              <w:tc>
                <w:tcPr>
                  <w:tcW w:w="592" w:type="pct"/>
                  <w:vMerge w:val="restart"/>
                  <w:vAlign w:val="center"/>
                </w:tcPr>
                <w:p w14:paraId="3A9A6B98">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主导生态功能</w:t>
                  </w:r>
                </w:p>
              </w:tc>
              <w:tc>
                <w:tcPr>
                  <w:tcW w:w="2376" w:type="pct"/>
                  <w:gridSpan w:val="2"/>
                  <w:vAlign w:val="center"/>
                </w:tcPr>
                <w:p w14:paraId="43070E50">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rPr>
                  </w:pPr>
                  <w:r>
                    <w:rPr>
                      <w:rFonts w:hint="default" w:ascii="Times New Roman" w:hAnsi="Times New Roman" w:eastAsia="仿宋" w:cs="Times New Roman"/>
                      <w:color w:val="auto"/>
                      <w:sz w:val="21"/>
                      <w:szCs w:val="21"/>
                      <w:highlight w:val="none"/>
                      <w:vertAlign w:val="baseline"/>
                      <w:lang w:val="en-US" w:eastAsia="zh-CN"/>
                    </w:rPr>
                    <w:t>范围</w:t>
                  </w:r>
                </w:p>
              </w:tc>
              <w:tc>
                <w:tcPr>
                  <w:tcW w:w="594" w:type="pct"/>
                  <w:vMerge w:val="restart"/>
                  <w:vAlign w:val="center"/>
                </w:tcPr>
                <w:p w14:paraId="3A660F92">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面积</w:t>
                  </w:r>
                </w:p>
                <w:p w14:paraId="06F41F5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highlight w:val="none"/>
                      <w:vertAlign w:val="baseline"/>
                      <w:lang w:val="en-US" w:eastAsia="zh-CN"/>
                    </w:rPr>
                    <w:t>（km</w:t>
                  </w:r>
                  <w:r>
                    <w:rPr>
                      <w:rFonts w:hint="default" w:ascii="Times New Roman" w:hAnsi="Times New Roman" w:eastAsia="仿宋" w:cs="Times New Roman"/>
                      <w:color w:val="auto"/>
                      <w:sz w:val="21"/>
                      <w:szCs w:val="21"/>
                      <w:highlight w:val="none"/>
                      <w:vertAlign w:val="superscript"/>
                      <w:lang w:val="en-US" w:eastAsia="zh-CN"/>
                    </w:rPr>
                    <w:t>2</w:t>
                  </w:r>
                  <w:r>
                    <w:rPr>
                      <w:rFonts w:hint="default" w:ascii="Times New Roman" w:hAnsi="Times New Roman" w:eastAsia="仿宋" w:cs="Times New Roman"/>
                      <w:color w:val="auto"/>
                      <w:sz w:val="21"/>
                      <w:szCs w:val="21"/>
                      <w:highlight w:val="none"/>
                      <w:vertAlign w:val="baseline"/>
                      <w:lang w:val="en-US" w:eastAsia="zh-CN"/>
                    </w:rPr>
                    <w:t>）</w:t>
                  </w:r>
                </w:p>
              </w:tc>
            </w:tr>
            <w:tr w14:paraId="1B04A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 w:type="pct"/>
                  <w:vMerge w:val="continue"/>
                  <w:vAlign w:val="center"/>
                </w:tcPr>
                <w:p w14:paraId="6977ABDA">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rPr>
                  </w:pPr>
                </w:p>
              </w:tc>
              <w:tc>
                <w:tcPr>
                  <w:tcW w:w="728" w:type="pct"/>
                  <w:vMerge w:val="continue"/>
                  <w:vAlign w:val="center"/>
                </w:tcPr>
                <w:p w14:paraId="76C95FBF">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rPr>
                  </w:pPr>
                </w:p>
              </w:tc>
              <w:tc>
                <w:tcPr>
                  <w:tcW w:w="592" w:type="pct"/>
                  <w:vMerge w:val="continue"/>
                  <w:vAlign w:val="center"/>
                </w:tcPr>
                <w:p w14:paraId="7C4271D3">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rPr>
                  </w:pPr>
                </w:p>
              </w:tc>
              <w:tc>
                <w:tcPr>
                  <w:tcW w:w="1658" w:type="pct"/>
                  <w:vAlign w:val="center"/>
                </w:tcPr>
                <w:p w14:paraId="007C4CB9">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国家级生态保护红线范围</w:t>
                  </w:r>
                </w:p>
              </w:tc>
              <w:tc>
                <w:tcPr>
                  <w:tcW w:w="718" w:type="pct"/>
                  <w:vAlign w:val="center"/>
                </w:tcPr>
                <w:p w14:paraId="0A86D30D">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生态空间管控区域范围</w:t>
                  </w:r>
                </w:p>
              </w:tc>
              <w:tc>
                <w:tcPr>
                  <w:tcW w:w="594" w:type="pct"/>
                  <w:vMerge w:val="continue"/>
                  <w:vAlign w:val="center"/>
                </w:tcPr>
                <w:p w14:paraId="7FDE14E2">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color w:val="auto"/>
                      <w:sz w:val="21"/>
                      <w:szCs w:val="21"/>
                      <w:highlight w:val="none"/>
                      <w:vertAlign w:val="baseline"/>
                    </w:rPr>
                  </w:pPr>
                </w:p>
              </w:tc>
            </w:tr>
            <w:tr w14:paraId="1A3AD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 w:type="pct"/>
                  <w:vAlign w:val="center"/>
                </w:tcPr>
                <w:p w14:paraId="6343157E">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b w:val="0"/>
                      <w:bCs/>
                      <w:color w:val="auto"/>
                      <w:sz w:val="21"/>
                      <w:szCs w:val="21"/>
                      <w:highlight w:val="none"/>
                      <w:vertAlign w:val="baseline"/>
                      <w:lang w:val="en-US" w:eastAsia="zh-CN"/>
                    </w:rPr>
                  </w:pPr>
                  <w:r>
                    <w:rPr>
                      <w:rFonts w:hint="eastAsia" w:ascii="Times New Roman" w:hAnsi="Times New Roman" w:eastAsia="仿宋" w:cs="Times New Roman"/>
                      <w:b w:val="0"/>
                      <w:bCs/>
                      <w:color w:val="auto"/>
                      <w:sz w:val="21"/>
                      <w:szCs w:val="21"/>
                      <w:highlight w:val="none"/>
                      <w:vertAlign w:val="baseline"/>
                      <w:lang w:val="en-US" w:eastAsia="zh-CN"/>
                    </w:rPr>
                    <w:t>长荡湖重要湿地</w:t>
                  </w:r>
                </w:p>
              </w:tc>
              <w:tc>
                <w:tcPr>
                  <w:tcW w:w="728" w:type="pct"/>
                  <w:vAlign w:val="center"/>
                </w:tcPr>
                <w:p w14:paraId="5B2C13C0">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b w:val="0"/>
                      <w:bCs/>
                      <w:color w:val="auto"/>
                      <w:sz w:val="21"/>
                      <w:szCs w:val="21"/>
                      <w:highlight w:val="none"/>
                      <w:vertAlign w:val="baseline"/>
                      <w:lang w:val="en-US" w:eastAsia="zh-CN"/>
                    </w:rPr>
                  </w:pPr>
                  <w:r>
                    <w:rPr>
                      <w:rFonts w:hint="eastAsia" w:ascii="Times New Roman" w:hAnsi="Times New Roman" w:eastAsia="仿宋" w:cs="Times New Roman"/>
                      <w:b w:val="0"/>
                      <w:bCs/>
                      <w:color w:val="auto"/>
                      <w:sz w:val="21"/>
                      <w:szCs w:val="21"/>
                      <w:highlight w:val="none"/>
                      <w:vertAlign w:val="baseline"/>
                      <w:lang w:val="en-US" w:eastAsia="zh-CN"/>
                    </w:rPr>
                    <w:t>S，</w:t>
                  </w:r>
                  <w:r>
                    <w:rPr>
                      <w:rFonts w:hint="eastAsia" w:eastAsia="仿宋" w:cs="Times New Roman"/>
                      <w:b w:val="0"/>
                      <w:bCs/>
                      <w:color w:val="auto"/>
                      <w:sz w:val="21"/>
                      <w:szCs w:val="21"/>
                      <w:highlight w:val="none"/>
                      <w:vertAlign w:val="baseline"/>
                      <w:lang w:val="en-US" w:eastAsia="zh-CN"/>
                    </w:rPr>
                    <w:t>紧邻</w:t>
                  </w:r>
                </w:p>
              </w:tc>
              <w:tc>
                <w:tcPr>
                  <w:tcW w:w="592" w:type="pct"/>
                  <w:vAlign w:val="center"/>
                </w:tcPr>
                <w:p w14:paraId="34758121">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b w:val="0"/>
                      <w:bCs/>
                      <w:color w:val="auto"/>
                      <w:sz w:val="21"/>
                      <w:szCs w:val="21"/>
                      <w:highlight w:val="none"/>
                      <w:vertAlign w:val="baseline"/>
                      <w:lang w:val="en-US" w:eastAsia="zh-CN"/>
                    </w:rPr>
                  </w:pPr>
                  <w:r>
                    <w:rPr>
                      <w:rFonts w:hint="eastAsia" w:eastAsia="仿宋" w:cs="Times New Roman"/>
                      <w:b w:val="0"/>
                      <w:bCs/>
                      <w:color w:val="auto"/>
                      <w:sz w:val="21"/>
                      <w:szCs w:val="21"/>
                      <w:highlight w:val="none"/>
                      <w:vertAlign w:val="baseline"/>
                      <w:lang w:val="en-US" w:eastAsia="zh-CN"/>
                    </w:rPr>
                    <w:t>湿地生态系统保护</w:t>
                  </w:r>
                </w:p>
              </w:tc>
              <w:tc>
                <w:tcPr>
                  <w:tcW w:w="1658" w:type="pct"/>
                  <w:vAlign w:val="center"/>
                </w:tcPr>
                <w:p w14:paraId="3B42F9DF">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 w:cs="Times New Roman"/>
                      <w:b w:val="0"/>
                      <w:bCs/>
                      <w:color w:val="auto"/>
                      <w:sz w:val="21"/>
                      <w:szCs w:val="21"/>
                      <w:highlight w:val="none"/>
                      <w:vertAlign w:val="baseline"/>
                      <w:lang w:val="en-US" w:eastAsia="zh-CN"/>
                    </w:rPr>
                  </w:pPr>
                  <w:r>
                    <w:rPr>
                      <w:rFonts w:hint="eastAsia" w:ascii="Times New Roman" w:hAnsi="Times New Roman" w:eastAsia="仿宋" w:cs="Times New Roman"/>
                      <w:b w:val="0"/>
                      <w:bCs/>
                      <w:color w:val="auto"/>
                      <w:sz w:val="21"/>
                      <w:szCs w:val="21"/>
                      <w:highlight w:val="none"/>
                      <w:vertAlign w:val="baseline"/>
                      <w:lang w:val="en-US" w:eastAsia="zh-CN"/>
                    </w:rPr>
                    <w:t>长荡湖湖体水域</w:t>
                  </w:r>
                </w:p>
              </w:tc>
              <w:tc>
                <w:tcPr>
                  <w:tcW w:w="718" w:type="pct"/>
                  <w:vAlign w:val="center"/>
                </w:tcPr>
                <w:p w14:paraId="2809B063">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b w:val="0"/>
                      <w:bCs/>
                      <w:color w:val="auto"/>
                      <w:sz w:val="21"/>
                      <w:szCs w:val="21"/>
                      <w:highlight w:val="none"/>
                      <w:vertAlign w:val="baseline"/>
                      <w:lang w:val="en-US" w:eastAsia="zh-CN"/>
                    </w:rPr>
                  </w:pPr>
                  <w:r>
                    <w:rPr>
                      <w:rFonts w:hint="eastAsia" w:eastAsia="仿宋" w:cs="Times New Roman"/>
                      <w:b w:val="0"/>
                      <w:bCs/>
                      <w:color w:val="auto"/>
                      <w:sz w:val="21"/>
                      <w:szCs w:val="21"/>
                      <w:highlight w:val="none"/>
                      <w:vertAlign w:val="baseline"/>
                      <w:lang w:val="en-US" w:eastAsia="zh-CN"/>
                    </w:rPr>
                    <w:t>/</w:t>
                  </w:r>
                </w:p>
              </w:tc>
              <w:tc>
                <w:tcPr>
                  <w:tcW w:w="594" w:type="pct"/>
                  <w:vAlign w:val="center"/>
                </w:tcPr>
                <w:p w14:paraId="425B0365">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b w:val="0"/>
                      <w:bCs/>
                      <w:color w:val="auto"/>
                      <w:sz w:val="21"/>
                      <w:szCs w:val="21"/>
                      <w:highlight w:val="none"/>
                      <w:vertAlign w:val="baseline"/>
                      <w:lang w:val="en-US" w:eastAsia="zh-CN"/>
                    </w:rPr>
                  </w:pPr>
                  <w:r>
                    <w:rPr>
                      <w:rFonts w:hint="eastAsia" w:eastAsia="仿宋" w:cs="Times New Roman"/>
                      <w:b w:val="0"/>
                      <w:bCs/>
                      <w:color w:val="auto"/>
                      <w:sz w:val="21"/>
                      <w:szCs w:val="21"/>
                      <w:highlight w:val="none"/>
                      <w:vertAlign w:val="baseline"/>
                      <w:lang w:val="en-US" w:eastAsia="zh-CN"/>
                    </w:rPr>
                    <w:t>77.92</w:t>
                  </w:r>
                </w:p>
              </w:tc>
            </w:tr>
            <w:tr w14:paraId="3B154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 w:type="pct"/>
                  <w:vAlign w:val="center"/>
                </w:tcPr>
                <w:p w14:paraId="7708280E">
                  <w:pPr>
                    <w:pStyle w:val="7"/>
                    <w:keepNext w:val="0"/>
                    <w:keepLines w:val="0"/>
                    <w:pageBreakBefore w:val="0"/>
                    <w:widowControl w:val="0"/>
                    <w:kinsoku/>
                    <w:wordWrap/>
                    <w:overflowPunct/>
                    <w:topLinePunct w:val="0"/>
                    <w:autoSpaceDE/>
                    <w:autoSpaceDN/>
                    <w:bidi w:val="0"/>
                    <w:adjustRightInd/>
                    <w:snapToGrid w:val="0"/>
                    <w:ind w:firstLine="0" w:firstLineChars="0"/>
                    <w:jc w:val="center"/>
                    <w:textAlignment w:val="auto"/>
                    <w:outlineLvl w:val="9"/>
                    <w:rPr>
                      <w:rFonts w:hint="eastAsia"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长荡湖国家级水产种质资源保护区</w:t>
                  </w:r>
                </w:p>
              </w:tc>
              <w:tc>
                <w:tcPr>
                  <w:tcW w:w="728" w:type="pct"/>
                  <w:vAlign w:val="center"/>
                </w:tcPr>
                <w:p w14:paraId="1B8650DB">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S</w:t>
                  </w:r>
                  <w:r>
                    <w:rPr>
                      <w:rFonts w:hint="eastAsia" w:eastAsia="仿宋" w:cs="Times New Roman"/>
                      <w:color w:val="auto"/>
                      <w:sz w:val="21"/>
                      <w:szCs w:val="21"/>
                      <w:lang w:val="en-US" w:eastAsia="zh-CN"/>
                    </w:rPr>
                    <w:t>W</w:t>
                  </w:r>
                  <w:r>
                    <w:rPr>
                      <w:rFonts w:hint="eastAsia" w:ascii="Times New Roman" w:hAnsi="Times New Roman" w:eastAsia="仿宋" w:cs="Times New Roman"/>
                      <w:color w:val="auto"/>
                      <w:sz w:val="21"/>
                      <w:szCs w:val="21"/>
                      <w:lang w:eastAsia="zh-CN"/>
                    </w:rPr>
                    <w:t>，</w:t>
                  </w:r>
                  <w:r>
                    <w:rPr>
                      <w:rFonts w:hint="eastAsia" w:eastAsia="仿宋" w:cs="Times New Roman"/>
                      <w:color w:val="auto"/>
                      <w:sz w:val="21"/>
                      <w:szCs w:val="21"/>
                      <w:lang w:val="en-US" w:eastAsia="zh-CN"/>
                    </w:rPr>
                    <w:t>4.5</w:t>
                  </w:r>
                  <w:r>
                    <w:rPr>
                      <w:rFonts w:hint="eastAsia" w:ascii="Times New Roman" w:hAnsi="Times New Roman" w:eastAsia="仿宋" w:cs="Times New Roman"/>
                      <w:color w:val="auto"/>
                      <w:sz w:val="21"/>
                      <w:szCs w:val="21"/>
                      <w:lang w:val="en-US" w:eastAsia="zh-CN"/>
                    </w:rPr>
                    <w:t>km</w:t>
                  </w:r>
                </w:p>
              </w:tc>
              <w:tc>
                <w:tcPr>
                  <w:tcW w:w="592" w:type="pct"/>
                  <w:vAlign w:val="center"/>
                </w:tcPr>
                <w:p w14:paraId="6F51CBB3">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eastAsia"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渔业资源保护</w:t>
                  </w:r>
                </w:p>
              </w:tc>
              <w:tc>
                <w:tcPr>
                  <w:tcW w:w="1658" w:type="pct"/>
                  <w:vAlign w:val="center"/>
                </w:tcPr>
                <w:p w14:paraId="3FC4433B">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b w:val="0"/>
                      <w:bCs w:val="0"/>
                      <w:color w:val="auto"/>
                      <w:kern w:val="2"/>
                      <w:sz w:val="21"/>
                      <w:szCs w:val="21"/>
                      <w:lang w:val="en-US" w:eastAsia="zh-CN" w:bidi="ar-SA"/>
                    </w:rPr>
                  </w:pPr>
                  <w:r>
                    <w:rPr>
                      <w:rFonts w:hint="default" w:ascii="Times New Roman" w:hAnsi="Times New Roman" w:eastAsia="仿宋" w:cs="Times New Roman"/>
                      <w:b w:val="0"/>
                      <w:bCs w:val="0"/>
                      <w:color w:val="auto"/>
                      <w:sz w:val="21"/>
                      <w:szCs w:val="21"/>
                    </w:rPr>
                    <w:t>水产种质资源保护区的核心区，核心区拐点坐标分别为（119°32′39"E，31°38′06"N；119°34′03"E，31°37′26"N；119°32′00"E，31°35′17"N；119°31′11"E，31°35′31"N）</w:t>
                  </w:r>
                </w:p>
              </w:tc>
              <w:tc>
                <w:tcPr>
                  <w:tcW w:w="718" w:type="pct"/>
                  <w:vAlign w:val="center"/>
                </w:tcPr>
                <w:p w14:paraId="51CB84FF">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b w:val="0"/>
                      <w:bCs w:val="0"/>
                      <w:color w:val="auto"/>
                      <w:kern w:val="2"/>
                      <w:sz w:val="21"/>
                      <w:szCs w:val="21"/>
                      <w:lang w:val="en-US" w:eastAsia="zh-CN" w:bidi="ar-SA"/>
                    </w:rPr>
                  </w:pPr>
                  <w:r>
                    <w:rPr>
                      <w:rFonts w:hint="default" w:ascii="Times New Roman" w:hAnsi="Times New Roman" w:eastAsia="仿宋" w:cs="Times New Roman"/>
                      <w:b w:val="0"/>
                      <w:bCs w:val="0"/>
                      <w:color w:val="auto"/>
                      <w:sz w:val="21"/>
                      <w:szCs w:val="21"/>
                    </w:rPr>
                    <w:t>水产种质资源保护区范围</w:t>
                  </w:r>
                </w:p>
              </w:tc>
              <w:tc>
                <w:tcPr>
                  <w:tcW w:w="594" w:type="pct"/>
                  <w:vAlign w:val="center"/>
                </w:tcPr>
                <w:p w14:paraId="1F9512D3">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default" w:ascii="Times New Roman" w:hAnsi="Times New Roman" w:eastAsia="仿宋" w:cs="Times New Roman"/>
                      <w:b w:val="0"/>
                      <w:bCs w:val="0"/>
                      <w:color w:val="auto"/>
                      <w:sz w:val="21"/>
                      <w:szCs w:val="21"/>
                    </w:rPr>
                    <w:t>24.96</w:t>
                  </w:r>
                </w:p>
              </w:tc>
            </w:tr>
            <w:tr w14:paraId="1143A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 w:type="pct"/>
                  <w:vAlign w:val="center"/>
                </w:tcPr>
                <w:p w14:paraId="4CD271A2">
                  <w:pPr>
                    <w:pStyle w:val="7"/>
                    <w:keepNext w:val="0"/>
                    <w:keepLines w:val="0"/>
                    <w:pageBreakBefore w:val="0"/>
                    <w:widowControl w:val="0"/>
                    <w:kinsoku/>
                    <w:wordWrap/>
                    <w:overflowPunct/>
                    <w:topLinePunct w:val="0"/>
                    <w:autoSpaceDE/>
                    <w:autoSpaceDN/>
                    <w:bidi w:val="0"/>
                    <w:adjustRightInd/>
                    <w:snapToGrid w:val="0"/>
                    <w:ind w:firstLine="0" w:firstLineChars="0"/>
                    <w:jc w:val="center"/>
                    <w:textAlignment w:val="auto"/>
                    <w:outlineLvl w:val="9"/>
                    <w:rPr>
                      <w:rFonts w:hint="eastAsia"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长荡湖重要渔业水域</w:t>
                  </w:r>
                </w:p>
              </w:tc>
              <w:tc>
                <w:tcPr>
                  <w:tcW w:w="728" w:type="pct"/>
                  <w:vAlign w:val="center"/>
                </w:tcPr>
                <w:p w14:paraId="5ECD508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outlineLvl w:val="9"/>
                    <w:rPr>
                      <w:rFonts w:hint="default" w:ascii="Times New Roman" w:hAnsi="Times New Roman" w:eastAsia="仿宋" w:cs="Times New Roman"/>
                      <w:color w:val="auto"/>
                      <w:kern w:val="2"/>
                      <w:sz w:val="21"/>
                      <w:szCs w:val="21"/>
                      <w:lang w:val="en-US" w:eastAsia="zh-CN" w:bidi="ar-SA"/>
                    </w:rPr>
                  </w:pPr>
                  <w:r>
                    <w:rPr>
                      <w:rFonts w:hint="eastAsia" w:eastAsia="仿宋" w:cs="Times New Roman"/>
                      <w:color w:val="auto"/>
                      <w:kern w:val="2"/>
                      <w:sz w:val="21"/>
                      <w:szCs w:val="21"/>
                      <w:lang w:val="en-US" w:eastAsia="zh-CN" w:bidi="ar-SA"/>
                    </w:rPr>
                    <w:t>项目位于水域北部</w:t>
                  </w:r>
                </w:p>
              </w:tc>
              <w:tc>
                <w:tcPr>
                  <w:tcW w:w="592" w:type="pct"/>
                  <w:vAlign w:val="center"/>
                </w:tcPr>
                <w:p w14:paraId="5FA60A1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outlineLvl w:val="9"/>
                    <w:rPr>
                      <w:rFonts w:hint="eastAsia"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渔业资源保护</w:t>
                  </w:r>
                </w:p>
              </w:tc>
              <w:tc>
                <w:tcPr>
                  <w:tcW w:w="1658" w:type="pct"/>
                  <w:vAlign w:val="center"/>
                </w:tcPr>
                <w:p w14:paraId="0D8EB891">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b w:val="0"/>
                      <w:bCs w:val="0"/>
                      <w:color w:val="auto"/>
                      <w:kern w:val="2"/>
                      <w:sz w:val="21"/>
                      <w:szCs w:val="21"/>
                      <w:lang w:val="en-US" w:eastAsia="zh-CN" w:bidi="ar-SA"/>
                    </w:rPr>
                  </w:pPr>
                  <w:r>
                    <w:rPr>
                      <w:rFonts w:hint="default" w:ascii="Times New Roman" w:hAnsi="Times New Roman" w:eastAsia="仿宋" w:cs="Times New Roman"/>
                      <w:b w:val="0"/>
                      <w:bCs w:val="0"/>
                      <w:color w:val="auto"/>
                      <w:kern w:val="2"/>
                      <w:sz w:val="21"/>
                      <w:szCs w:val="21"/>
                      <w:lang w:val="en-US" w:eastAsia="zh-CN" w:bidi="ar-SA"/>
                    </w:rPr>
                    <w:t>/</w:t>
                  </w:r>
                </w:p>
              </w:tc>
              <w:tc>
                <w:tcPr>
                  <w:tcW w:w="718" w:type="pct"/>
                  <w:vAlign w:val="center"/>
                </w:tcPr>
                <w:p w14:paraId="4B9D574A">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b w:val="0"/>
                      <w:bCs w:val="0"/>
                      <w:color w:val="auto"/>
                      <w:kern w:val="2"/>
                      <w:sz w:val="21"/>
                      <w:szCs w:val="21"/>
                      <w:lang w:val="en-US" w:eastAsia="zh-CN" w:bidi="ar-SA"/>
                    </w:rPr>
                  </w:pPr>
                  <w:r>
                    <w:rPr>
                      <w:rFonts w:hint="default" w:ascii="Times New Roman" w:hAnsi="Times New Roman" w:eastAsia="仿宋" w:cs="Times New Roman"/>
                      <w:b w:val="0"/>
                      <w:bCs w:val="0"/>
                      <w:color w:val="auto"/>
                      <w:sz w:val="21"/>
                      <w:szCs w:val="21"/>
                    </w:rPr>
                    <w:t>东接儒林镇，西依指前镇，南濒溧阳市，北临金城镇和尧塘街道</w:t>
                  </w:r>
                </w:p>
              </w:tc>
              <w:tc>
                <w:tcPr>
                  <w:tcW w:w="594" w:type="pct"/>
                  <w:vAlign w:val="center"/>
                </w:tcPr>
                <w:p w14:paraId="4A1EECA0">
                  <w:pPr>
                    <w:pStyle w:val="3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 w:cs="Times New Roman"/>
                      <w:b w:val="0"/>
                      <w:bCs w:val="0"/>
                      <w:color w:val="auto"/>
                      <w:sz w:val="21"/>
                      <w:szCs w:val="21"/>
                      <w:highlight w:val="none"/>
                      <w:vertAlign w:val="baseline"/>
                      <w:lang w:val="en-US" w:eastAsia="zh-CN"/>
                    </w:rPr>
                  </w:pPr>
                  <w:r>
                    <w:rPr>
                      <w:rFonts w:hint="default" w:ascii="Times New Roman" w:hAnsi="Times New Roman" w:eastAsia="仿宋" w:cs="Times New Roman"/>
                      <w:b w:val="0"/>
                      <w:bCs w:val="0"/>
                      <w:color w:val="auto"/>
                      <w:sz w:val="21"/>
                      <w:szCs w:val="21"/>
                    </w:rPr>
                    <w:t>87.24</w:t>
                  </w:r>
                </w:p>
              </w:tc>
            </w:tr>
          </w:tbl>
          <w:p w14:paraId="29C166E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本项目建设内容中与长荡湖重要湿地</w:t>
            </w:r>
            <w:r>
              <w:rPr>
                <w:rFonts w:hint="eastAsia" w:eastAsia="仿宋"/>
                <w:color w:val="auto"/>
                <w:kern w:val="0"/>
                <w:sz w:val="24"/>
                <w:highlight w:val="none"/>
                <w:lang w:val="en-US" w:eastAsia="zh-CN"/>
              </w:rPr>
              <w:t>紧邻</w:t>
            </w:r>
            <w:r>
              <w:rPr>
                <w:rFonts w:hint="eastAsia" w:ascii="Times New Roman" w:hAnsi="Times New Roman" w:eastAsia="仿宋"/>
                <w:color w:val="auto"/>
                <w:kern w:val="0"/>
                <w:sz w:val="24"/>
                <w:highlight w:val="none"/>
                <w:lang w:val="en-US" w:eastAsia="zh-CN"/>
              </w:rPr>
              <w:t>，与长荡湖国家级水产种质资源保护区最近距离为</w:t>
            </w:r>
            <w:r>
              <w:rPr>
                <w:rFonts w:hint="eastAsia" w:eastAsia="仿宋"/>
                <w:color w:val="auto"/>
                <w:kern w:val="0"/>
                <w:sz w:val="24"/>
                <w:highlight w:val="none"/>
                <w:lang w:val="en-US" w:eastAsia="zh-CN"/>
              </w:rPr>
              <w:t>4.5</w:t>
            </w:r>
            <w:r>
              <w:rPr>
                <w:rFonts w:hint="eastAsia" w:ascii="Times New Roman" w:hAnsi="Times New Roman" w:eastAsia="仿宋"/>
                <w:color w:val="auto"/>
                <w:kern w:val="0"/>
                <w:sz w:val="24"/>
                <w:highlight w:val="none"/>
                <w:lang w:val="en-US" w:eastAsia="zh-CN"/>
              </w:rPr>
              <w:t>km，</w:t>
            </w:r>
            <w:r>
              <w:rPr>
                <w:rFonts w:hint="eastAsia" w:eastAsia="仿宋"/>
                <w:color w:val="auto"/>
                <w:kern w:val="0"/>
                <w:sz w:val="24"/>
                <w:highlight w:val="none"/>
                <w:lang w:val="en-US" w:eastAsia="zh-CN"/>
              </w:rPr>
              <w:t>位于</w:t>
            </w:r>
            <w:r>
              <w:rPr>
                <w:rFonts w:hint="default" w:ascii="Times New Roman" w:hAnsi="Times New Roman" w:eastAsia="仿宋"/>
                <w:color w:val="auto"/>
                <w:kern w:val="0"/>
                <w:sz w:val="24"/>
                <w:highlight w:val="none"/>
                <w:lang w:val="en-US" w:eastAsia="zh-CN"/>
              </w:rPr>
              <w:t>长荡湖重要渔业水域</w:t>
            </w:r>
            <w:r>
              <w:rPr>
                <w:rFonts w:hint="eastAsia" w:eastAsia="仿宋"/>
                <w:color w:val="auto"/>
                <w:kern w:val="0"/>
                <w:sz w:val="24"/>
                <w:highlight w:val="none"/>
                <w:lang w:val="en-US" w:eastAsia="zh-CN"/>
              </w:rPr>
              <w:t>北部水域</w:t>
            </w:r>
            <w:r>
              <w:rPr>
                <w:rFonts w:hint="eastAsia" w:ascii="Times New Roman" w:hAnsi="Times New Roman" w:eastAsia="仿宋"/>
                <w:color w:val="auto"/>
                <w:kern w:val="0"/>
                <w:sz w:val="24"/>
                <w:highlight w:val="none"/>
                <w:lang w:val="en-US" w:eastAsia="zh-CN"/>
              </w:rPr>
              <w:t>。</w:t>
            </w:r>
          </w:p>
          <w:p w14:paraId="3644EC45">
            <w:pPr>
              <w:pStyle w:val="9"/>
              <w:ind w:left="0" w:leftChars="0" w:firstLine="0" w:firstLineChars="0"/>
              <w:rPr>
                <w:rFonts w:hint="default" w:eastAsia="仿宋"/>
                <w:b/>
                <w:bCs/>
                <w:color w:val="auto"/>
                <w:kern w:val="0"/>
                <w:sz w:val="24"/>
                <w:highlight w:val="none"/>
                <w:lang w:val="en-US" w:eastAsia="zh-CN"/>
              </w:rPr>
            </w:pPr>
            <w:r>
              <w:rPr>
                <w:rFonts w:hint="eastAsia" w:eastAsia="仿宋"/>
                <w:b/>
                <w:bCs/>
                <w:color w:val="auto"/>
                <w:kern w:val="0"/>
                <w:sz w:val="24"/>
                <w:highlight w:val="none"/>
                <w:lang w:val="en-US" w:eastAsia="zh-CN"/>
              </w:rPr>
              <w:t>三、自然地理条件</w:t>
            </w:r>
          </w:p>
          <w:p w14:paraId="459AEAF7">
            <w:pPr>
              <w:rPr>
                <w:rFonts w:hint="default" w:eastAsia="仿宋" w:cs="Times New Roman"/>
                <w:color w:val="auto"/>
                <w:sz w:val="24"/>
                <w:highlight w:val="none"/>
                <w:lang w:val="en-US" w:eastAsia="zh-CN"/>
              </w:rPr>
            </w:pPr>
            <w:r>
              <w:rPr>
                <w:rFonts w:hint="eastAsia" w:eastAsia="仿宋" w:cs="Times New Roman"/>
                <w:color w:val="auto"/>
                <w:sz w:val="24"/>
                <w:highlight w:val="none"/>
                <w:lang w:val="en-US" w:eastAsia="zh-CN"/>
              </w:rPr>
              <w:t>（1）地形、地貌</w:t>
            </w:r>
          </w:p>
          <w:p w14:paraId="127A0685">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金坛区属长江下游冲积平原，地形平坦，水系发育，河塘密布，黄海高程一般在</w:t>
            </w:r>
            <w:r>
              <w:rPr>
                <w:rFonts w:hint="default" w:eastAsia="仿宋" w:cs="Times New Roman"/>
                <w:color w:val="auto"/>
                <w:sz w:val="24"/>
                <w:highlight w:val="none"/>
                <w:lang w:val="en-US" w:eastAsia="zh-CN"/>
              </w:rPr>
              <w:t>4.0~8.0m</w:t>
            </w:r>
            <w:r>
              <w:rPr>
                <w:rFonts w:hint="eastAsia" w:eastAsia="仿宋" w:cs="Times New Roman"/>
                <w:color w:val="auto"/>
                <w:sz w:val="24"/>
                <w:highlight w:val="none"/>
                <w:lang w:val="en-US" w:eastAsia="zh-CN"/>
              </w:rPr>
              <w:t>之间。</w:t>
            </w:r>
          </w:p>
          <w:p w14:paraId="4CF50CD8">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据区域性地质资料查明，金坛地区地基土浅部主要为第四系全新统（</w:t>
            </w:r>
            <w:r>
              <w:rPr>
                <w:rFonts w:hint="default" w:eastAsia="仿宋" w:cs="Times New Roman"/>
                <w:color w:val="auto"/>
                <w:sz w:val="24"/>
                <w:highlight w:val="none"/>
                <w:lang w:val="en-US" w:eastAsia="zh-CN"/>
              </w:rPr>
              <w:t>Q4</w:t>
            </w:r>
            <w:r>
              <w:rPr>
                <w:rFonts w:hint="eastAsia" w:eastAsia="仿宋" w:cs="Times New Roman"/>
                <w:color w:val="auto"/>
                <w:sz w:val="24"/>
                <w:highlight w:val="none"/>
                <w:lang w:val="en-US" w:eastAsia="zh-CN"/>
              </w:rPr>
              <w:t>）河流冲积地层，一般为硬塑状态的粘土、粉质粘土及稍密</w:t>
            </w:r>
            <w:r>
              <w:rPr>
                <w:rFonts w:hint="default" w:eastAsia="仿宋" w:cs="Times New Roman"/>
                <w:color w:val="auto"/>
                <w:sz w:val="24"/>
                <w:highlight w:val="none"/>
                <w:lang w:val="en-US" w:eastAsia="zh-CN"/>
              </w:rPr>
              <w:t>~</w:t>
            </w:r>
            <w:r>
              <w:rPr>
                <w:rFonts w:hint="eastAsia" w:eastAsia="仿宋" w:cs="Times New Roman"/>
                <w:color w:val="auto"/>
                <w:sz w:val="24"/>
                <w:highlight w:val="none"/>
                <w:lang w:val="en-US" w:eastAsia="zh-CN"/>
              </w:rPr>
              <w:t>中密状态的粉土，呈水平层理构造该层土常部分或全部缺失，缺失部分形成河、塘或埋藏河、塘；在此之下为全新统（</w:t>
            </w:r>
            <w:r>
              <w:rPr>
                <w:rFonts w:hint="default" w:eastAsia="仿宋" w:cs="Times New Roman"/>
                <w:color w:val="auto"/>
                <w:sz w:val="24"/>
                <w:highlight w:val="none"/>
                <w:lang w:val="en-US" w:eastAsia="zh-CN"/>
              </w:rPr>
              <w:t>Q4</w:t>
            </w:r>
            <w:r>
              <w:rPr>
                <w:rFonts w:hint="eastAsia" w:eastAsia="仿宋" w:cs="Times New Roman"/>
                <w:color w:val="auto"/>
                <w:sz w:val="24"/>
                <w:highlight w:val="none"/>
                <w:lang w:val="en-US" w:eastAsia="zh-CN"/>
              </w:rPr>
              <w:t>）海侵层，多表现为水平或交错层理构造</w:t>
            </w:r>
            <w:r>
              <w:rPr>
                <w:rFonts w:hint="default" w:eastAsia="仿宋" w:cs="Times New Roman"/>
                <w:color w:val="auto"/>
                <w:sz w:val="24"/>
                <w:highlight w:val="none"/>
                <w:lang w:val="en-US" w:eastAsia="zh-CN"/>
              </w:rPr>
              <w:t>,</w:t>
            </w:r>
            <w:r>
              <w:rPr>
                <w:rFonts w:hint="eastAsia" w:eastAsia="仿宋" w:cs="Times New Roman"/>
                <w:color w:val="auto"/>
                <w:sz w:val="24"/>
                <w:highlight w:val="none"/>
                <w:lang w:val="en-US" w:eastAsia="zh-CN"/>
              </w:rPr>
              <w:t>在区域范围内厚度变化较大；中部为第四系上更新统（</w:t>
            </w:r>
            <w:r>
              <w:rPr>
                <w:rFonts w:hint="default" w:eastAsia="仿宋" w:cs="Times New Roman"/>
                <w:color w:val="auto"/>
                <w:sz w:val="24"/>
                <w:highlight w:val="none"/>
                <w:lang w:val="en-US" w:eastAsia="zh-CN"/>
              </w:rPr>
              <w:t>Q3</w:t>
            </w:r>
            <w:r>
              <w:rPr>
                <w:rFonts w:hint="eastAsia" w:eastAsia="仿宋" w:cs="Times New Roman"/>
                <w:color w:val="auto"/>
                <w:sz w:val="24"/>
                <w:highlight w:val="none"/>
                <w:lang w:val="en-US" w:eastAsia="zh-CN"/>
              </w:rPr>
              <w:t>）陆相沉积的粉质粘土、粉土，下伏第四系上更新统（</w:t>
            </w:r>
            <w:r>
              <w:rPr>
                <w:rFonts w:hint="default" w:eastAsia="仿宋" w:cs="Times New Roman"/>
                <w:color w:val="auto"/>
                <w:sz w:val="24"/>
                <w:highlight w:val="none"/>
                <w:lang w:val="en-US" w:eastAsia="zh-CN"/>
              </w:rPr>
              <w:t>Q3</w:t>
            </w:r>
            <w:r>
              <w:rPr>
                <w:rFonts w:hint="eastAsia" w:eastAsia="仿宋" w:cs="Times New Roman"/>
                <w:color w:val="auto"/>
                <w:sz w:val="24"/>
                <w:highlight w:val="none"/>
                <w:lang w:val="en-US" w:eastAsia="zh-CN"/>
              </w:rPr>
              <w:t>）海侵层；下部为第四系中更新统（</w:t>
            </w:r>
            <w:r>
              <w:rPr>
                <w:rFonts w:hint="default" w:eastAsia="仿宋" w:cs="Times New Roman"/>
                <w:color w:val="auto"/>
                <w:sz w:val="24"/>
                <w:highlight w:val="none"/>
                <w:lang w:val="en-US" w:eastAsia="zh-CN"/>
              </w:rPr>
              <w:t>Q2</w:t>
            </w:r>
            <w:r>
              <w:rPr>
                <w:rFonts w:hint="eastAsia" w:eastAsia="仿宋" w:cs="Times New Roman"/>
                <w:color w:val="auto"/>
                <w:sz w:val="24"/>
                <w:highlight w:val="none"/>
                <w:lang w:val="en-US" w:eastAsia="zh-CN"/>
              </w:rPr>
              <w:t>）粉土、粉质粘土和第四系下更新统（</w:t>
            </w:r>
            <w:r>
              <w:rPr>
                <w:rFonts w:hint="default" w:eastAsia="仿宋" w:cs="Times New Roman"/>
                <w:color w:val="auto"/>
                <w:sz w:val="24"/>
                <w:highlight w:val="none"/>
                <w:lang w:val="en-US" w:eastAsia="zh-CN"/>
              </w:rPr>
              <w:t>Q1</w:t>
            </w:r>
            <w:r>
              <w:rPr>
                <w:rFonts w:hint="eastAsia" w:eastAsia="仿宋" w:cs="Times New Roman"/>
                <w:color w:val="auto"/>
                <w:sz w:val="24"/>
                <w:highlight w:val="none"/>
                <w:lang w:val="en-US" w:eastAsia="zh-CN"/>
              </w:rPr>
              <w:t>）残坡积土；底部下伏全</w:t>
            </w:r>
            <w:r>
              <w:rPr>
                <w:rFonts w:hint="default" w:eastAsia="仿宋" w:cs="Times New Roman"/>
                <w:color w:val="auto"/>
                <w:sz w:val="24"/>
                <w:highlight w:val="none"/>
                <w:lang w:val="en-US" w:eastAsia="zh-CN"/>
              </w:rPr>
              <w:t>~</w:t>
            </w:r>
            <w:r>
              <w:rPr>
                <w:rFonts w:hint="eastAsia" w:eastAsia="仿宋" w:cs="Times New Roman"/>
                <w:color w:val="auto"/>
                <w:sz w:val="24"/>
                <w:highlight w:val="none"/>
                <w:lang w:val="en-US" w:eastAsia="zh-CN"/>
              </w:rPr>
              <w:t>中风化下第三系阜宁群和白垩系泥、砾、砂岩。</w:t>
            </w:r>
          </w:p>
          <w:p w14:paraId="001DB272">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金坛区地质构造属扬子古陆东端的下扬子褶皱带南部的句容</w:t>
            </w:r>
            <w:r>
              <w:rPr>
                <w:rFonts w:hint="default" w:eastAsia="仿宋" w:cs="Times New Roman"/>
                <w:color w:val="auto"/>
                <w:sz w:val="24"/>
                <w:highlight w:val="none"/>
                <w:lang w:val="en-US" w:eastAsia="zh-CN"/>
              </w:rPr>
              <w:t>~</w:t>
            </w:r>
            <w:r>
              <w:rPr>
                <w:rFonts w:hint="eastAsia" w:eastAsia="仿宋" w:cs="Times New Roman"/>
                <w:color w:val="auto"/>
                <w:sz w:val="24"/>
                <w:highlight w:val="none"/>
                <w:lang w:val="en-US" w:eastAsia="zh-CN"/>
              </w:rPr>
              <w:t>丹阳凹陷盆地。凹陷盆地被宁镇反射弧脊柱</w:t>
            </w:r>
            <w:r>
              <w:rPr>
                <w:rFonts w:hint="default" w:eastAsia="仿宋" w:cs="Times New Roman"/>
                <w:color w:val="auto"/>
                <w:sz w:val="24"/>
                <w:highlight w:val="none"/>
                <w:lang w:val="en-US" w:eastAsia="zh-CN"/>
              </w:rPr>
              <w:t>-</w:t>
            </w:r>
            <w:r>
              <w:rPr>
                <w:rFonts w:hint="eastAsia" w:eastAsia="仿宋" w:cs="Times New Roman"/>
                <w:color w:val="auto"/>
                <w:sz w:val="24"/>
                <w:highlight w:val="none"/>
                <w:lang w:val="en-US" w:eastAsia="zh-CN"/>
              </w:rPr>
              <w:t>茅山山脉分为东西两段，而金坛区位于盆地东端，据物探资料盆地东段无大规模岩浆活动，沉积巨厚的新生代碎屑岩。</w:t>
            </w:r>
          </w:p>
          <w:p w14:paraId="0DD40B3B">
            <w:pPr>
              <w:rPr>
                <w:color w:val="auto"/>
              </w:rPr>
            </w:pPr>
            <w:r>
              <w:rPr>
                <w:rFonts w:hint="eastAsia" w:eastAsia="仿宋" w:cs="Times New Roman"/>
                <w:color w:val="auto"/>
                <w:sz w:val="24"/>
                <w:highlight w:val="none"/>
                <w:lang w:val="en-US" w:eastAsia="zh-CN"/>
              </w:rPr>
              <w:t>据本场地勘察资料，场地覆盖层厚度小于</w:t>
            </w:r>
            <w:r>
              <w:rPr>
                <w:rFonts w:hint="default" w:eastAsia="仿宋" w:cs="Times New Roman"/>
                <w:color w:val="auto"/>
                <w:sz w:val="24"/>
                <w:highlight w:val="none"/>
                <w:lang w:val="en-US" w:eastAsia="zh-CN"/>
              </w:rPr>
              <w:t>50m</w:t>
            </w:r>
            <w:r>
              <w:rPr>
                <w:rFonts w:hint="eastAsia" w:eastAsia="仿宋" w:cs="Times New Roman"/>
                <w:color w:val="auto"/>
                <w:sz w:val="24"/>
                <w:highlight w:val="none"/>
                <w:lang w:val="en-US" w:eastAsia="zh-CN"/>
              </w:rPr>
              <w:t>，下伏白垩系中风化砂岩。</w:t>
            </w:r>
          </w:p>
          <w:p w14:paraId="5996B8FA">
            <w:pPr>
              <w:rPr>
                <w:rFonts w:hint="default" w:eastAsia="仿宋" w:cs="Times New Roman"/>
                <w:color w:val="auto"/>
                <w:sz w:val="24"/>
                <w:highlight w:val="none"/>
                <w:lang w:val="en-US" w:eastAsia="zh-CN"/>
              </w:rPr>
            </w:pPr>
            <w:r>
              <w:rPr>
                <w:rFonts w:hint="eastAsia" w:eastAsia="仿宋" w:cs="Times New Roman"/>
                <w:color w:val="auto"/>
                <w:sz w:val="24"/>
                <w:highlight w:val="none"/>
                <w:lang w:val="en-US" w:eastAsia="zh-CN"/>
              </w:rPr>
              <w:t>（2）水文</w:t>
            </w:r>
          </w:p>
          <w:p w14:paraId="4561D33D">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长荡湖又名洮湖，是太湖流域三大湖泊之一，也是江苏省十大淡水湖之一，位于金坛区和溧阳市交界处，大部分区域位于金坛境内，湖泊东西最宽处</w:t>
            </w:r>
            <w:r>
              <w:rPr>
                <w:rFonts w:hint="default" w:eastAsia="仿宋" w:cs="Times New Roman"/>
                <w:color w:val="auto"/>
                <w:sz w:val="24"/>
                <w:highlight w:val="none"/>
                <w:lang w:val="en-US" w:eastAsia="zh-CN"/>
              </w:rPr>
              <w:t>8km</w:t>
            </w:r>
            <w:r>
              <w:rPr>
                <w:rFonts w:hint="eastAsia" w:eastAsia="仿宋" w:cs="Times New Roman"/>
                <w:color w:val="auto"/>
                <w:sz w:val="24"/>
                <w:highlight w:val="none"/>
                <w:lang w:val="en-US" w:eastAsia="zh-CN"/>
              </w:rPr>
              <w:t>，南北长约</w:t>
            </w:r>
            <w:r>
              <w:rPr>
                <w:rFonts w:hint="default" w:eastAsia="仿宋" w:cs="Times New Roman"/>
                <w:color w:val="auto"/>
                <w:sz w:val="24"/>
                <w:highlight w:val="none"/>
                <w:lang w:val="en-US" w:eastAsia="zh-CN"/>
              </w:rPr>
              <w:t>16km</w:t>
            </w:r>
            <w:r>
              <w:rPr>
                <w:rFonts w:hint="eastAsia" w:eastAsia="仿宋" w:cs="Times New Roman"/>
                <w:color w:val="auto"/>
                <w:sz w:val="24"/>
                <w:highlight w:val="none"/>
                <w:lang w:val="en-US" w:eastAsia="zh-CN"/>
              </w:rPr>
              <w:t>，是一个集饮用水源、农业灌溉、洪涝调节和渔业生产等多功能于一体的浅水草型湖泊，其形状如梨形，湖盆地形平坦，无显著起伏。</w:t>
            </w:r>
          </w:p>
          <w:p w14:paraId="33497932">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根据《江苏省防汛防旱手册》水位统计资料和相关水文分析成果，长荡湖死水位为</w:t>
            </w:r>
            <w:r>
              <w:rPr>
                <w:rFonts w:hint="default" w:eastAsia="仿宋" w:cs="Times New Roman"/>
                <w:color w:val="auto"/>
                <w:sz w:val="24"/>
                <w:highlight w:val="none"/>
                <w:lang w:val="en-US" w:eastAsia="zh-CN"/>
              </w:rPr>
              <w:t>2.15m</w:t>
            </w:r>
            <w:r>
              <w:rPr>
                <w:rFonts w:hint="eastAsia" w:eastAsia="仿宋" w:cs="Times New Roman"/>
                <w:color w:val="auto"/>
                <w:sz w:val="24"/>
                <w:highlight w:val="none"/>
                <w:lang w:val="en-US" w:eastAsia="zh-CN"/>
              </w:rPr>
              <w:t>；正常蓄水位为</w:t>
            </w:r>
            <w:r>
              <w:rPr>
                <w:rFonts w:hint="default" w:eastAsia="仿宋" w:cs="Times New Roman"/>
                <w:color w:val="auto"/>
                <w:sz w:val="24"/>
                <w:highlight w:val="none"/>
                <w:lang w:val="en-US" w:eastAsia="zh-CN"/>
              </w:rPr>
              <w:t>3.49m</w:t>
            </w:r>
            <w:r>
              <w:rPr>
                <w:rFonts w:hint="eastAsia" w:eastAsia="仿宋" w:cs="Times New Roman"/>
                <w:color w:val="auto"/>
                <w:sz w:val="24"/>
                <w:highlight w:val="none"/>
                <w:lang w:val="en-US" w:eastAsia="zh-CN"/>
              </w:rPr>
              <w:t>，相应的湖区面积为</w:t>
            </w:r>
            <w:r>
              <w:rPr>
                <w:rFonts w:hint="default" w:eastAsia="仿宋" w:cs="Times New Roman"/>
                <w:color w:val="auto"/>
                <w:sz w:val="24"/>
                <w:highlight w:val="none"/>
                <w:lang w:val="en-US" w:eastAsia="zh-CN"/>
              </w:rPr>
              <w:t>81.97km</w:t>
            </w:r>
            <w:r>
              <w:rPr>
                <w:rFonts w:hint="default"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，容积为</w:t>
            </w:r>
            <w:r>
              <w:rPr>
                <w:rFonts w:hint="default" w:eastAsia="仿宋" w:cs="Times New Roman"/>
                <w:color w:val="auto"/>
                <w:sz w:val="24"/>
                <w:highlight w:val="none"/>
                <w:lang w:val="en-US" w:eastAsia="zh-CN"/>
              </w:rPr>
              <w:t>0.90</w:t>
            </w:r>
            <w:r>
              <w:rPr>
                <w:rFonts w:hint="eastAsia" w:eastAsia="仿宋" w:cs="Times New Roman"/>
                <w:color w:val="auto"/>
                <w:sz w:val="24"/>
                <w:highlight w:val="none"/>
                <w:lang w:val="en-US" w:eastAsia="zh-CN"/>
              </w:rPr>
              <w:t>亿</w:t>
            </w:r>
            <w:r>
              <w:rPr>
                <w:rFonts w:hint="default" w:eastAsia="仿宋" w:cs="Times New Roman"/>
                <w:color w:val="auto"/>
                <w:sz w:val="24"/>
                <w:highlight w:val="none"/>
                <w:lang w:val="en-US" w:eastAsia="zh-CN"/>
              </w:rPr>
              <w:t>m</w:t>
            </w:r>
            <w:r>
              <w:rPr>
                <w:rFonts w:hint="default" w:eastAsia="仿宋" w:cs="Times New Roman"/>
                <w:color w:val="auto"/>
                <w:sz w:val="24"/>
                <w:highlight w:val="none"/>
                <w:vertAlign w:val="superscript"/>
                <w:lang w:val="en-US" w:eastAsia="zh-CN"/>
              </w:rPr>
              <w:t>3</w:t>
            </w:r>
            <w:r>
              <w:rPr>
                <w:rFonts w:hint="eastAsia" w:eastAsia="仿宋" w:cs="Times New Roman"/>
                <w:color w:val="auto"/>
                <w:sz w:val="24"/>
                <w:highlight w:val="none"/>
                <w:lang w:val="en-US" w:eastAsia="zh-CN"/>
              </w:rPr>
              <w:t>；设计水位</w:t>
            </w:r>
            <w:r>
              <w:rPr>
                <w:rFonts w:hint="default" w:eastAsia="仿宋" w:cs="Times New Roman"/>
                <w:color w:val="auto"/>
                <w:sz w:val="24"/>
                <w:highlight w:val="none"/>
                <w:lang w:val="en-US" w:eastAsia="zh-CN"/>
              </w:rPr>
              <w:t>5.66m</w:t>
            </w:r>
            <w:r>
              <w:rPr>
                <w:rFonts w:hint="eastAsia" w:eastAsia="仿宋" w:cs="Times New Roman"/>
                <w:color w:val="auto"/>
                <w:sz w:val="24"/>
                <w:highlight w:val="none"/>
                <w:lang w:val="en-US" w:eastAsia="zh-CN"/>
              </w:rPr>
              <w:t>时，相应的湖区面积为</w:t>
            </w:r>
            <w:r>
              <w:rPr>
                <w:rFonts w:hint="default" w:eastAsia="仿宋" w:cs="Times New Roman"/>
                <w:color w:val="auto"/>
                <w:sz w:val="24"/>
                <w:highlight w:val="none"/>
                <w:lang w:val="en-US" w:eastAsia="zh-CN"/>
              </w:rPr>
              <w:t>85.23km</w:t>
            </w:r>
            <w:r>
              <w:rPr>
                <w:rFonts w:hint="default"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，容积为</w:t>
            </w:r>
            <w:r>
              <w:rPr>
                <w:rFonts w:hint="default" w:eastAsia="仿宋" w:cs="Times New Roman"/>
                <w:color w:val="auto"/>
                <w:sz w:val="24"/>
                <w:highlight w:val="none"/>
                <w:lang w:val="en-US" w:eastAsia="zh-CN"/>
              </w:rPr>
              <w:t>2.77</w:t>
            </w:r>
            <w:r>
              <w:rPr>
                <w:rFonts w:hint="eastAsia" w:eastAsia="仿宋" w:cs="Times New Roman"/>
                <w:color w:val="auto"/>
                <w:sz w:val="24"/>
                <w:highlight w:val="none"/>
                <w:lang w:val="en-US" w:eastAsia="zh-CN"/>
              </w:rPr>
              <w:t>亿</w:t>
            </w:r>
            <w:r>
              <w:rPr>
                <w:rFonts w:hint="default" w:eastAsia="仿宋" w:cs="Times New Roman"/>
                <w:color w:val="auto"/>
                <w:sz w:val="24"/>
                <w:highlight w:val="none"/>
                <w:lang w:val="en-US" w:eastAsia="zh-CN"/>
              </w:rPr>
              <w:t>m</w:t>
            </w:r>
            <w:r>
              <w:rPr>
                <w:rFonts w:hint="default" w:eastAsia="仿宋" w:cs="Times New Roman"/>
                <w:color w:val="auto"/>
                <w:sz w:val="24"/>
                <w:highlight w:val="none"/>
                <w:vertAlign w:val="superscript"/>
                <w:lang w:val="en-US" w:eastAsia="zh-CN"/>
              </w:rPr>
              <w:t>3</w:t>
            </w:r>
            <w:r>
              <w:rPr>
                <w:rFonts w:hint="eastAsia" w:eastAsia="仿宋" w:cs="Times New Roman"/>
                <w:color w:val="auto"/>
                <w:sz w:val="24"/>
                <w:highlight w:val="none"/>
                <w:lang w:val="en-US" w:eastAsia="zh-CN"/>
              </w:rPr>
              <w:t>。长荡湖正常换水周期为</w:t>
            </w:r>
            <w:r>
              <w:rPr>
                <w:rFonts w:hint="default" w:eastAsia="仿宋" w:cs="Times New Roman"/>
                <w:color w:val="auto"/>
                <w:sz w:val="24"/>
                <w:highlight w:val="none"/>
                <w:lang w:val="en-US" w:eastAsia="zh-CN"/>
              </w:rPr>
              <w:t>55</w:t>
            </w:r>
            <w:r>
              <w:rPr>
                <w:rFonts w:hint="eastAsia" w:eastAsia="仿宋" w:cs="Times New Roman"/>
                <w:color w:val="auto"/>
                <w:sz w:val="24"/>
                <w:highlight w:val="none"/>
                <w:lang w:val="en-US" w:eastAsia="zh-CN"/>
              </w:rPr>
              <w:t>天左右，新孟河工程实施后，长荡湖出入湖水量将增加，换水周期缩短。</w:t>
            </w:r>
          </w:p>
          <w:p w14:paraId="65BB0991">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长荡湖原有面积</w:t>
            </w:r>
            <w:r>
              <w:rPr>
                <w:rFonts w:hint="default" w:eastAsia="仿宋" w:cs="Times New Roman"/>
                <w:color w:val="auto"/>
                <w:sz w:val="24"/>
                <w:highlight w:val="none"/>
                <w:lang w:val="en-US" w:eastAsia="zh-CN"/>
              </w:rPr>
              <w:t>113km</w:t>
            </w:r>
            <w:r>
              <w:rPr>
                <w:rFonts w:hint="default"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左右，</w:t>
            </w:r>
            <w:r>
              <w:rPr>
                <w:rFonts w:hint="default" w:eastAsia="仿宋" w:cs="Times New Roman"/>
                <w:color w:val="auto"/>
                <w:sz w:val="24"/>
                <w:highlight w:val="none"/>
                <w:lang w:val="en-US" w:eastAsia="zh-CN"/>
              </w:rPr>
              <w:t>20</w:t>
            </w:r>
            <w:r>
              <w:rPr>
                <w:rFonts w:hint="eastAsia" w:eastAsia="仿宋" w:cs="Times New Roman"/>
                <w:color w:val="auto"/>
                <w:sz w:val="24"/>
                <w:highlight w:val="none"/>
                <w:lang w:val="en-US" w:eastAsia="zh-CN"/>
              </w:rPr>
              <w:t>世纪</w:t>
            </w:r>
            <w:r>
              <w:rPr>
                <w:rFonts w:hint="default" w:eastAsia="仿宋" w:cs="Times New Roman"/>
                <w:color w:val="auto"/>
                <w:sz w:val="24"/>
                <w:highlight w:val="none"/>
                <w:lang w:val="en-US" w:eastAsia="zh-CN"/>
              </w:rPr>
              <w:t>60</w:t>
            </w:r>
            <w:r>
              <w:rPr>
                <w:rFonts w:hint="eastAsia" w:eastAsia="仿宋" w:cs="Times New Roman"/>
                <w:color w:val="auto"/>
                <w:sz w:val="24"/>
                <w:highlight w:val="none"/>
                <w:lang w:val="en-US" w:eastAsia="zh-CN"/>
              </w:rPr>
              <w:t>～</w:t>
            </w:r>
            <w:r>
              <w:rPr>
                <w:rFonts w:hint="default" w:eastAsia="仿宋" w:cs="Times New Roman"/>
                <w:color w:val="auto"/>
                <w:sz w:val="24"/>
                <w:highlight w:val="none"/>
                <w:lang w:val="en-US" w:eastAsia="zh-CN"/>
              </w:rPr>
              <w:t>80</w:t>
            </w:r>
            <w:r>
              <w:rPr>
                <w:rFonts w:hint="eastAsia" w:eastAsia="仿宋" w:cs="Times New Roman"/>
                <w:color w:val="auto"/>
                <w:sz w:val="24"/>
                <w:highlight w:val="none"/>
                <w:lang w:val="en-US" w:eastAsia="zh-CN"/>
              </w:rPr>
              <w:t>年代环湖居民大量围垦湖泊滩地，建圩</w:t>
            </w:r>
            <w:r>
              <w:rPr>
                <w:rFonts w:hint="default" w:eastAsia="仿宋" w:cs="Times New Roman"/>
                <w:color w:val="auto"/>
                <w:sz w:val="24"/>
                <w:highlight w:val="none"/>
                <w:lang w:val="en-US" w:eastAsia="zh-CN"/>
              </w:rPr>
              <w:t>22</w:t>
            </w:r>
            <w:r>
              <w:rPr>
                <w:rFonts w:hint="eastAsia" w:eastAsia="仿宋" w:cs="Times New Roman"/>
                <w:color w:val="auto"/>
                <w:sz w:val="24"/>
                <w:highlight w:val="none"/>
                <w:lang w:val="en-US" w:eastAsia="zh-CN"/>
              </w:rPr>
              <w:t>座，围垦面积</w:t>
            </w:r>
            <w:r>
              <w:rPr>
                <w:rFonts w:hint="default" w:eastAsia="仿宋" w:cs="Times New Roman"/>
                <w:color w:val="auto"/>
                <w:sz w:val="24"/>
                <w:highlight w:val="none"/>
                <w:lang w:val="en-US" w:eastAsia="zh-CN"/>
              </w:rPr>
              <w:t>22.46km</w:t>
            </w:r>
            <w:r>
              <w:rPr>
                <w:rFonts w:hint="default"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。其中</w:t>
            </w:r>
            <w:r>
              <w:rPr>
                <w:rFonts w:hint="default" w:eastAsia="仿宋" w:cs="Times New Roman"/>
                <w:color w:val="auto"/>
                <w:sz w:val="24"/>
                <w:highlight w:val="none"/>
                <w:lang w:val="en-US" w:eastAsia="zh-CN"/>
              </w:rPr>
              <w:t>60</w:t>
            </w:r>
            <w:r>
              <w:rPr>
                <w:rFonts w:hint="eastAsia" w:eastAsia="仿宋" w:cs="Times New Roman"/>
                <w:color w:val="auto"/>
                <w:sz w:val="24"/>
                <w:highlight w:val="none"/>
                <w:lang w:val="en-US" w:eastAsia="zh-CN"/>
              </w:rPr>
              <w:t>年代围垦</w:t>
            </w:r>
            <w:r>
              <w:rPr>
                <w:rFonts w:hint="default" w:eastAsia="仿宋" w:cs="Times New Roman"/>
                <w:color w:val="auto"/>
                <w:sz w:val="24"/>
                <w:highlight w:val="none"/>
                <w:lang w:val="en-US" w:eastAsia="zh-CN"/>
              </w:rPr>
              <w:t>1km</w:t>
            </w:r>
            <w:r>
              <w:rPr>
                <w:rFonts w:hint="default"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w:t>
            </w:r>
            <w:r>
              <w:rPr>
                <w:rFonts w:hint="default" w:eastAsia="仿宋" w:cs="Times New Roman"/>
                <w:color w:val="auto"/>
                <w:sz w:val="24"/>
                <w:highlight w:val="none"/>
                <w:lang w:val="en-US" w:eastAsia="zh-CN"/>
              </w:rPr>
              <w:t>70</w:t>
            </w:r>
            <w:r>
              <w:rPr>
                <w:rFonts w:hint="eastAsia" w:eastAsia="仿宋" w:cs="Times New Roman"/>
                <w:color w:val="auto"/>
                <w:sz w:val="24"/>
                <w:highlight w:val="none"/>
                <w:lang w:val="en-US" w:eastAsia="zh-CN"/>
              </w:rPr>
              <w:t>年代围垦</w:t>
            </w:r>
            <w:r>
              <w:rPr>
                <w:rFonts w:hint="default" w:eastAsia="仿宋" w:cs="Times New Roman"/>
                <w:color w:val="auto"/>
                <w:sz w:val="24"/>
                <w:highlight w:val="none"/>
                <w:lang w:val="en-US" w:eastAsia="zh-CN"/>
              </w:rPr>
              <w:t>20km</w:t>
            </w:r>
            <w:r>
              <w:rPr>
                <w:rFonts w:hint="default"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w:t>
            </w:r>
            <w:r>
              <w:rPr>
                <w:rFonts w:hint="default" w:eastAsia="仿宋" w:cs="Times New Roman"/>
                <w:color w:val="auto"/>
                <w:sz w:val="24"/>
                <w:highlight w:val="none"/>
                <w:lang w:val="en-US" w:eastAsia="zh-CN"/>
              </w:rPr>
              <w:t>80</w:t>
            </w:r>
            <w:r>
              <w:rPr>
                <w:rFonts w:hint="eastAsia" w:eastAsia="仿宋" w:cs="Times New Roman"/>
                <w:color w:val="auto"/>
                <w:sz w:val="24"/>
                <w:highlight w:val="none"/>
                <w:lang w:val="en-US" w:eastAsia="zh-CN"/>
              </w:rPr>
              <w:t>年代围垦</w:t>
            </w:r>
            <w:r>
              <w:rPr>
                <w:rFonts w:hint="default" w:eastAsia="仿宋" w:cs="Times New Roman"/>
                <w:color w:val="auto"/>
                <w:sz w:val="24"/>
                <w:highlight w:val="none"/>
                <w:lang w:val="en-US" w:eastAsia="zh-CN"/>
              </w:rPr>
              <w:t>2km</w:t>
            </w:r>
            <w:r>
              <w:rPr>
                <w:rFonts w:hint="default"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，使湖泊面积急剧缩小。</w:t>
            </w:r>
          </w:p>
          <w:p w14:paraId="362ED244">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长荡湖（金坛片）周围主要进出河流有</w:t>
            </w:r>
            <w:r>
              <w:rPr>
                <w:rFonts w:hint="default" w:eastAsia="仿宋" w:cs="Times New Roman"/>
                <w:color w:val="auto"/>
                <w:sz w:val="24"/>
                <w:highlight w:val="none"/>
                <w:lang w:val="en-US" w:eastAsia="zh-CN"/>
              </w:rPr>
              <w:t>19</w:t>
            </w:r>
            <w:r>
              <w:rPr>
                <w:rFonts w:hint="eastAsia" w:eastAsia="仿宋" w:cs="Times New Roman"/>
                <w:color w:val="auto"/>
                <w:sz w:val="24"/>
                <w:highlight w:val="none"/>
                <w:lang w:val="en-US" w:eastAsia="zh-CN"/>
              </w:rPr>
              <w:t>条，入湖河流有新建河、方洛港等</w:t>
            </w:r>
            <w:r>
              <w:rPr>
                <w:rFonts w:hint="default" w:eastAsia="仿宋" w:cs="Times New Roman"/>
                <w:color w:val="auto"/>
                <w:sz w:val="24"/>
                <w:highlight w:val="none"/>
                <w:lang w:val="en-US" w:eastAsia="zh-CN"/>
              </w:rPr>
              <w:t>12</w:t>
            </w:r>
            <w:r>
              <w:rPr>
                <w:rFonts w:hint="eastAsia" w:eastAsia="仿宋" w:cs="Times New Roman"/>
                <w:color w:val="auto"/>
                <w:sz w:val="24"/>
                <w:highlight w:val="none"/>
                <w:lang w:val="en-US" w:eastAsia="zh-CN"/>
              </w:rPr>
              <w:t>条；出湖河流有湟里河、北干河等</w:t>
            </w:r>
            <w:r>
              <w:rPr>
                <w:rFonts w:hint="default" w:eastAsia="仿宋" w:cs="Times New Roman"/>
                <w:color w:val="auto"/>
                <w:sz w:val="24"/>
                <w:highlight w:val="none"/>
                <w:lang w:val="en-US" w:eastAsia="zh-CN"/>
              </w:rPr>
              <w:t>7</w:t>
            </w:r>
            <w:r>
              <w:rPr>
                <w:rFonts w:hint="eastAsia" w:eastAsia="仿宋" w:cs="Times New Roman"/>
                <w:color w:val="auto"/>
                <w:sz w:val="24"/>
                <w:highlight w:val="none"/>
                <w:lang w:val="en-US" w:eastAsia="zh-CN"/>
              </w:rPr>
              <w:t>条；环湖河流</w:t>
            </w:r>
            <w:r>
              <w:rPr>
                <w:rFonts w:hint="default" w:eastAsia="仿宋" w:cs="Times New Roman"/>
                <w:color w:val="auto"/>
                <w:sz w:val="24"/>
                <w:highlight w:val="none"/>
                <w:lang w:val="en-US" w:eastAsia="zh-CN"/>
              </w:rPr>
              <w:t>2</w:t>
            </w:r>
            <w:r>
              <w:rPr>
                <w:rFonts w:hint="eastAsia" w:eastAsia="仿宋" w:cs="Times New Roman"/>
                <w:color w:val="auto"/>
                <w:sz w:val="24"/>
                <w:highlight w:val="none"/>
                <w:lang w:val="en-US" w:eastAsia="zh-CN"/>
              </w:rPr>
              <w:t>条。</w:t>
            </w:r>
          </w:p>
          <w:p w14:paraId="7BA512C2">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长荡湖共有</w:t>
            </w:r>
            <w:r>
              <w:rPr>
                <w:rFonts w:hint="default" w:eastAsia="仿宋" w:cs="Times New Roman"/>
                <w:color w:val="auto"/>
                <w:sz w:val="24"/>
                <w:highlight w:val="none"/>
                <w:lang w:val="en-US" w:eastAsia="zh-CN"/>
              </w:rPr>
              <w:t>12</w:t>
            </w:r>
            <w:r>
              <w:rPr>
                <w:rFonts w:hint="eastAsia" w:eastAsia="仿宋" w:cs="Times New Roman"/>
                <w:color w:val="auto"/>
                <w:sz w:val="24"/>
                <w:highlight w:val="none"/>
                <w:lang w:val="en-US" w:eastAsia="zh-CN"/>
              </w:rPr>
              <w:t>条入湖河道，基本信息见下表。其中，新建河、方洛港、新河港、大浦港、白石港、仁和港（含清水渎港）、庄阳港、后渎港等</w:t>
            </w:r>
            <w:r>
              <w:rPr>
                <w:rFonts w:hint="default" w:eastAsia="仿宋" w:cs="Times New Roman"/>
                <w:color w:val="auto"/>
                <w:sz w:val="24"/>
                <w:highlight w:val="none"/>
                <w:lang w:val="en-US" w:eastAsia="zh-CN"/>
              </w:rPr>
              <w:t>8</w:t>
            </w:r>
            <w:r>
              <w:rPr>
                <w:rFonts w:hint="eastAsia" w:eastAsia="仿宋" w:cs="Times New Roman"/>
                <w:color w:val="auto"/>
                <w:sz w:val="24"/>
                <w:highlight w:val="none"/>
                <w:lang w:val="en-US" w:eastAsia="zh-CN"/>
              </w:rPr>
              <w:t>条河道为主要入湖河道，本项目区不涉及入湖河道。</w:t>
            </w:r>
          </w:p>
          <w:p w14:paraId="4FCA6E0D">
            <w:pPr>
              <w:rPr>
                <w:rFonts w:hint="default" w:eastAsia="仿宋" w:cs="Times New Roman"/>
                <w:color w:val="auto"/>
                <w:sz w:val="24"/>
                <w:highlight w:val="none"/>
                <w:lang w:val="en-US" w:eastAsia="zh-CN"/>
              </w:rPr>
            </w:pPr>
            <w:r>
              <w:rPr>
                <w:rFonts w:hint="eastAsia" w:eastAsia="仿宋" w:cs="Times New Roman"/>
                <w:color w:val="auto"/>
                <w:sz w:val="24"/>
                <w:highlight w:val="none"/>
                <w:lang w:val="en-US" w:eastAsia="zh-CN"/>
              </w:rPr>
              <w:t>（3）气候气象</w:t>
            </w:r>
          </w:p>
          <w:p w14:paraId="08826384">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项目采用的是常州气象站（58343）资料，气象站位于江苏省常州市，地理坐标为东经119.9781度，北纬31.8666度，海拔高度4.4米。气象站始建于1952年，1952年正式进行气象观测。</w:t>
            </w:r>
          </w:p>
          <w:p w14:paraId="2D475D3D">
            <w:pPr>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常州气象站距项目约45km，是距项目最近的国家气象站，拥有长期的气象观测资料，拥有常年连续规测资料，该站与本项目之间距离小于50km，并且气象站地理特征与本地区基本一致，因此采用常州市的资料符合《导则》要求。</w:t>
            </w:r>
          </w:p>
          <w:p w14:paraId="5A8E7FBA">
            <w:pPr>
              <w:pStyle w:val="9"/>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常州气象站气象资料如下表所示。</w:t>
            </w:r>
          </w:p>
          <w:p w14:paraId="2BDE9AF5">
            <w:pPr>
              <w:pStyle w:val="32"/>
              <w:jc w:val="center"/>
              <w:rPr>
                <w:rFonts w:hint="default" w:ascii="Times New Roman" w:hAnsi="Times New Roman" w:eastAsia="仿宋" w:cs="Times New Roman"/>
                <w:color w:val="auto"/>
                <w:sz w:val="24"/>
                <w:highlight w:val="none"/>
                <w:lang w:val="en-US" w:eastAsia="zh-CN"/>
              </w:rPr>
            </w:pPr>
            <w:r>
              <w:rPr>
                <w:rFonts w:hint="eastAsia" w:ascii="Times New Roman" w:hAnsi="Times New Roman" w:eastAsia="仿宋" w:cs="Times New Roman"/>
                <w:b/>
                <w:bCs/>
                <w:color w:val="auto"/>
                <w:kern w:val="0"/>
                <w:sz w:val="24"/>
                <w:szCs w:val="22"/>
                <w:highlight w:val="none"/>
                <w:lang w:val="en-US" w:eastAsia="zh-CN" w:bidi="ar-SA"/>
              </w:rPr>
              <w:t>表3-2 常州气象站常规气象项目统计（2001-2020年）</w:t>
            </w:r>
          </w:p>
          <w:tbl>
            <w:tblPr>
              <w:tblStyle w:val="24"/>
              <w:tblW w:w="4995"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3105"/>
              <w:gridCol w:w="1469"/>
              <w:gridCol w:w="2108"/>
              <w:gridCol w:w="1318"/>
            </w:tblGrid>
            <w:tr w14:paraId="04481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425D69D6">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统计项目</w:t>
                  </w:r>
                </w:p>
              </w:tc>
              <w:tc>
                <w:tcPr>
                  <w:tcW w:w="807" w:type="pct"/>
                  <w:vAlign w:val="center"/>
                </w:tcPr>
                <w:p w14:paraId="5214E45A">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统计值</w:t>
                  </w:r>
                </w:p>
              </w:tc>
              <w:tc>
                <w:tcPr>
                  <w:tcW w:w="1158" w:type="pct"/>
                  <w:vAlign w:val="center"/>
                </w:tcPr>
                <w:p w14:paraId="4E4EC5B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极值出现时间</w:t>
                  </w:r>
                </w:p>
              </w:tc>
              <w:tc>
                <w:tcPr>
                  <w:tcW w:w="724" w:type="pct"/>
                  <w:vAlign w:val="center"/>
                </w:tcPr>
                <w:p w14:paraId="5E71205E">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极值</w:t>
                  </w:r>
                </w:p>
              </w:tc>
            </w:tr>
            <w:tr w14:paraId="2A1E6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5A80686E">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多年平均气温（℃）</w:t>
                  </w:r>
                </w:p>
              </w:tc>
              <w:tc>
                <w:tcPr>
                  <w:tcW w:w="807" w:type="pct"/>
                  <w:vAlign w:val="center"/>
                </w:tcPr>
                <w:p w14:paraId="7BB3BE37">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16.7</w:t>
                  </w:r>
                </w:p>
              </w:tc>
              <w:tc>
                <w:tcPr>
                  <w:tcW w:w="1158" w:type="pct"/>
                  <w:vAlign w:val="center"/>
                </w:tcPr>
                <w:p w14:paraId="208EA3F9">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1A0C5C1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617E7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28C6AD0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累年极端最高气温（℃）</w:t>
                  </w:r>
                </w:p>
              </w:tc>
              <w:tc>
                <w:tcPr>
                  <w:tcW w:w="807" w:type="pct"/>
                  <w:vAlign w:val="center"/>
                </w:tcPr>
                <w:p w14:paraId="01AFD0D1">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38.1</w:t>
                  </w:r>
                </w:p>
              </w:tc>
              <w:tc>
                <w:tcPr>
                  <w:tcW w:w="1158" w:type="pct"/>
                  <w:vAlign w:val="center"/>
                </w:tcPr>
                <w:p w14:paraId="6065073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2017-07-23</w:t>
                  </w:r>
                </w:p>
              </w:tc>
              <w:tc>
                <w:tcPr>
                  <w:tcW w:w="724" w:type="pct"/>
                  <w:vAlign w:val="center"/>
                </w:tcPr>
                <w:p w14:paraId="6DDC8CB0">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40.6</w:t>
                  </w:r>
                </w:p>
              </w:tc>
            </w:tr>
            <w:tr w14:paraId="720AB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708ED976">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累年极端最低气温（℃）</w:t>
                  </w:r>
                </w:p>
              </w:tc>
              <w:tc>
                <w:tcPr>
                  <w:tcW w:w="807" w:type="pct"/>
                  <w:vAlign w:val="center"/>
                </w:tcPr>
                <w:p w14:paraId="7A256646">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-5.7</w:t>
                  </w:r>
                </w:p>
              </w:tc>
              <w:tc>
                <w:tcPr>
                  <w:tcW w:w="1158" w:type="pct"/>
                  <w:vAlign w:val="center"/>
                </w:tcPr>
                <w:p w14:paraId="27E43393">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2016-01-24</w:t>
                  </w:r>
                </w:p>
              </w:tc>
              <w:tc>
                <w:tcPr>
                  <w:tcW w:w="724" w:type="pct"/>
                  <w:vAlign w:val="center"/>
                </w:tcPr>
                <w:p w14:paraId="5C6B068B">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-9.2</w:t>
                  </w:r>
                </w:p>
              </w:tc>
            </w:tr>
            <w:tr w14:paraId="19F87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45EED6E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多年平均气压（hPa）</w:t>
                  </w:r>
                </w:p>
              </w:tc>
              <w:tc>
                <w:tcPr>
                  <w:tcW w:w="807" w:type="pct"/>
                  <w:vAlign w:val="center"/>
                </w:tcPr>
                <w:p w14:paraId="1C4369FF">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1015.8</w:t>
                  </w:r>
                </w:p>
              </w:tc>
              <w:tc>
                <w:tcPr>
                  <w:tcW w:w="1158" w:type="pct"/>
                  <w:vAlign w:val="center"/>
                </w:tcPr>
                <w:p w14:paraId="691DAB0F">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01A425BF">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5DE80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3168C83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多年平均水汽压（hPa）</w:t>
                  </w:r>
                </w:p>
              </w:tc>
              <w:tc>
                <w:tcPr>
                  <w:tcW w:w="807" w:type="pct"/>
                  <w:vAlign w:val="center"/>
                </w:tcPr>
                <w:p w14:paraId="6B8CC747">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16.0</w:t>
                  </w:r>
                </w:p>
              </w:tc>
              <w:tc>
                <w:tcPr>
                  <w:tcW w:w="1158" w:type="pct"/>
                  <w:vAlign w:val="center"/>
                </w:tcPr>
                <w:p w14:paraId="52BD4319">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1EAB421E">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3A84F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1584E24C">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多年平均相对湿度（%）</w:t>
                  </w:r>
                </w:p>
              </w:tc>
              <w:tc>
                <w:tcPr>
                  <w:tcW w:w="807" w:type="pct"/>
                  <w:vAlign w:val="center"/>
                </w:tcPr>
                <w:p w14:paraId="46EF3701">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74.1</w:t>
                  </w:r>
                </w:p>
              </w:tc>
              <w:tc>
                <w:tcPr>
                  <w:tcW w:w="1158" w:type="pct"/>
                  <w:vAlign w:val="center"/>
                </w:tcPr>
                <w:p w14:paraId="3F9A2DF3">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2015-06-27</w:t>
                  </w:r>
                </w:p>
              </w:tc>
              <w:tc>
                <w:tcPr>
                  <w:tcW w:w="724" w:type="pct"/>
                  <w:vAlign w:val="center"/>
                </w:tcPr>
                <w:p w14:paraId="012E0B54">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243.6</w:t>
                  </w:r>
                </w:p>
              </w:tc>
            </w:tr>
            <w:tr w14:paraId="0ADAB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27D7A14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多年平均降雨量（mm）</w:t>
                  </w:r>
                </w:p>
              </w:tc>
              <w:tc>
                <w:tcPr>
                  <w:tcW w:w="807" w:type="pct"/>
                  <w:vAlign w:val="center"/>
                </w:tcPr>
                <w:p w14:paraId="545D469A">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1247.8</w:t>
                  </w:r>
                </w:p>
              </w:tc>
              <w:tc>
                <w:tcPr>
                  <w:tcW w:w="1158" w:type="pct"/>
                  <w:vAlign w:val="center"/>
                </w:tcPr>
                <w:p w14:paraId="509808BF">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194BAE53">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6372F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Merge w:val="restart"/>
                  <w:vAlign w:val="center"/>
                </w:tcPr>
                <w:p w14:paraId="4A799908">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灾害天气统计</w:t>
                  </w:r>
                </w:p>
              </w:tc>
              <w:tc>
                <w:tcPr>
                  <w:tcW w:w="1706" w:type="pct"/>
                  <w:vAlign w:val="center"/>
                </w:tcPr>
                <w:p w14:paraId="157F0FD4">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多年平均沙暴日数（d）</w:t>
                  </w:r>
                </w:p>
              </w:tc>
              <w:tc>
                <w:tcPr>
                  <w:tcW w:w="807" w:type="pct"/>
                  <w:vAlign w:val="center"/>
                </w:tcPr>
                <w:p w14:paraId="41990FA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0.0</w:t>
                  </w:r>
                </w:p>
              </w:tc>
              <w:tc>
                <w:tcPr>
                  <w:tcW w:w="1158" w:type="pct"/>
                  <w:vAlign w:val="center"/>
                </w:tcPr>
                <w:p w14:paraId="2E0729E8">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0C5220C0">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0772E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Merge w:val="continue"/>
                  <w:vAlign w:val="center"/>
                </w:tcPr>
                <w:p w14:paraId="2C07FDE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eastAsia" w:ascii="Times New Roman" w:hAnsi="Times New Roman" w:eastAsia="仿宋" w:cs="Times New Roman"/>
                      <w:color w:val="auto"/>
                      <w:sz w:val="21"/>
                      <w:szCs w:val="21"/>
                      <w:highlight w:val="none"/>
                      <w:vertAlign w:val="baseline"/>
                      <w:lang w:val="en-US" w:eastAsia="zh-CN"/>
                    </w:rPr>
                  </w:pPr>
                </w:p>
              </w:tc>
              <w:tc>
                <w:tcPr>
                  <w:tcW w:w="1706" w:type="pct"/>
                  <w:vAlign w:val="center"/>
                </w:tcPr>
                <w:p w14:paraId="553F853C">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多年平均</w:t>
                  </w:r>
                  <w:r>
                    <w:rPr>
                      <w:rFonts w:hint="eastAsia" w:eastAsia="仿宋" w:cs="Times New Roman"/>
                      <w:color w:val="auto"/>
                      <w:sz w:val="21"/>
                      <w:szCs w:val="21"/>
                      <w:highlight w:val="none"/>
                      <w:vertAlign w:val="baseline"/>
                      <w:lang w:val="en-US" w:eastAsia="zh-CN"/>
                    </w:rPr>
                    <w:t>雷</w:t>
                  </w:r>
                  <w:r>
                    <w:rPr>
                      <w:rFonts w:hint="eastAsia" w:ascii="Times New Roman" w:hAnsi="Times New Roman" w:eastAsia="仿宋" w:cs="Times New Roman"/>
                      <w:color w:val="auto"/>
                      <w:sz w:val="21"/>
                      <w:szCs w:val="21"/>
                      <w:highlight w:val="none"/>
                      <w:vertAlign w:val="baseline"/>
                      <w:lang w:val="en-US" w:eastAsia="zh-CN"/>
                    </w:rPr>
                    <w:t>暴日数（d）</w:t>
                  </w:r>
                </w:p>
              </w:tc>
              <w:tc>
                <w:tcPr>
                  <w:tcW w:w="807" w:type="pct"/>
                  <w:vAlign w:val="center"/>
                </w:tcPr>
                <w:p w14:paraId="4C8E4AAB">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25.8</w:t>
                  </w:r>
                </w:p>
              </w:tc>
              <w:tc>
                <w:tcPr>
                  <w:tcW w:w="1158" w:type="pct"/>
                  <w:vAlign w:val="center"/>
                </w:tcPr>
                <w:p w14:paraId="6DAC7690">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2E90B67F">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4DD24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Merge w:val="continue"/>
                  <w:vAlign w:val="center"/>
                </w:tcPr>
                <w:p w14:paraId="65A8E61A">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eastAsia" w:ascii="Times New Roman" w:hAnsi="Times New Roman" w:eastAsia="仿宋" w:cs="Times New Roman"/>
                      <w:color w:val="auto"/>
                      <w:sz w:val="21"/>
                      <w:szCs w:val="21"/>
                      <w:highlight w:val="none"/>
                      <w:vertAlign w:val="baseline"/>
                      <w:lang w:val="en-US" w:eastAsia="zh-CN"/>
                    </w:rPr>
                  </w:pPr>
                </w:p>
              </w:tc>
              <w:tc>
                <w:tcPr>
                  <w:tcW w:w="1706" w:type="pct"/>
                  <w:vAlign w:val="center"/>
                </w:tcPr>
                <w:p w14:paraId="30E787A4">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多年平均</w:t>
                  </w:r>
                  <w:r>
                    <w:rPr>
                      <w:rFonts w:hint="eastAsia" w:eastAsia="仿宋" w:cs="Times New Roman"/>
                      <w:color w:val="auto"/>
                      <w:sz w:val="21"/>
                      <w:szCs w:val="21"/>
                      <w:highlight w:val="none"/>
                      <w:vertAlign w:val="baseline"/>
                      <w:lang w:val="en-US" w:eastAsia="zh-CN"/>
                    </w:rPr>
                    <w:t>冰雹</w:t>
                  </w:r>
                  <w:r>
                    <w:rPr>
                      <w:rFonts w:hint="eastAsia" w:ascii="Times New Roman" w:hAnsi="Times New Roman" w:eastAsia="仿宋" w:cs="Times New Roman"/>
                      <w:color w:val="auto"/>
                      <w:sz w:val="21"/>
                      <w:szCs w:val="21"/>
                      <w:highlight w:val="none"/>
                      <w:vertAlign w:val="baseline"/>
                      <w:lang w:val="en-US" w:eastAsia="zh-CN"/>
                    </w:rPr>
                    <w:t>日数（d）</w:t>
                  </w:r>
                </w:p>
              </w:tc>
              <w:tc>
                <w:tcPr>
                  <w:tcW w:w="807" w:type="pct"/>
                  <w:vAlign w:val="center"/>
                </w:tcPr>
                <w:p w14:paraId="387C6816">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0.2</w:t>
                  </w:r>
                </w:p>
              </w:tc>
              <w:tc>
                <w:tcPr>
                  <w:tcW w:w="1158" w:type="pct"/>
                  <w:vAlign w:val="center"/>
                </w:tcPr>
                <w:p w14:paraId="2834F3A7">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22385295">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79F20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Merge w:val="continue"/>
                  <w:vAlign w:val="center"/>
                </w:tcPr>
                <w:p w14:paraId="39B0C30B">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eastAsia" w:ascii="Times New Roman" w:hAnsi="Times New Roman" w:eastAsia="仿宋" w:cs="Times New Roman"/>
                      <w:color w:val="auto"/>
                      <w:sz w:val="21"/>
                      <w:szCs w:val="21"/>
                      <w:highlight w:val="none"/>
                      <w:vertAlign w:val="baseline"/>
                      <w:lang w:val="en-US" w:eastAsia="zh-CN"/>
                    </w:rPr>
                  </w:pPr>
                </w:p>
              </w:tc>
              <w:tc>
                <w:tcPr>
                  <w:tcW w:w="1706" w:type="pct"/>
                  <w:vAlign w:val="center"/>
                </w:tcPr>
                <w:p w14:paraId="4608C739">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多年平均</w:t>
                  </w:r>
                  <w:r>
                    <w:rPr>
                      <w:rFonts w:hint="eastAsia" w:eastAsia="仿宋" w:cs="Times New Roman"/>
                      <w:color w:val="auto"/>
                      <w:sz w:val="21"/>
                      <w:szCs w:val="21"/>
                      <w:highlight w:val="none"/>
                      <w:vertAlign w:val="baseline"/>
                      <w:lang w:val="en-US" w:eastAsia="zh-CN"/>
                    </w:rPr>
                    <w:t>大风</w:t>
                  </w:r>
                  <w:r>
                    <w:rPr>
                      <w:rFonts w:hint="eastAsia" w:ascii="Times New Roman" w:hAnsi="Times New Roman" w:eastAsia="仿宋" w:cs="Times New Roman"/>
                      <w:color w:val="auto"/>
                      <w:sz w:val="21"/>
                      <w:szCs w:val="21"/>
                      <w:highlight w:val="none"/>
                      <w:vertAlign w:val="baseline"/>
                      <w:lang w:val="en-US" w:eastAsia="zh-CN"/>
                    </w:rPr>
                    <w:t>日数（d）</w:t>
                  </w:r>
                </w:p>
              </w:tc>
              <w:tc>
                <w:tcPr>
                  <w:tcW w:w="807" w:type="pct"/>
                  <w:vAlign w:val="center"/>
                </w:tcPr>
                <w:p w14:paraId="3379698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3.8</w:t>
                  </w:r>
                </w:p>
              </w:tc>
              <w:tc>
                <w:tcPr>
                  <w:tcW w:w="1158" w:type="pct"/>
                  <w:vAlign w:val="center"/>
                </w:tcPr>
                <w:p w14:paraId="7A789720">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662633D0">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76A75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294B42D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多年实测极大风速（m/s）、相应 风向</w:t>
                  </w:r>
                </w:p>
              </w:tc>
              <w:tc>
                <w:tcPr>
                  <w:tcW w:w="807" w:type="pct"/>
                  <w:vAlign w:val="center"/>
                </w:tcPr>
                <w:p w14:paraId="6081E1EB">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20.5</w:t>
                  </w:r>
                </w:p>
              </w:tc>
              <w:tc>
                <w:tcPr>
                  <w:tcW w:w="1158" w:type="pct"/>
                  <w:vAlign w:val="center"/>
                </w:tcPr>
                <w:p w14:paraId="536BA195">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2003-07-21</w:t>
                  </w:r>
                </w:p>
              </w:tc>
              <w:tc>
                <w:tcPr>
                  <w:tcW w:w="724" w:type="pct"/>
                  <w:vAlign w:val="center"/>
                </w:tcPr>
                <w:p w14:paraId="70C45329">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27.5SS W</w:t>
                  </w:r>
                </w:p>
              </w:tc>
            </w:tr>
            <w:tr w14:paraId="14D7A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064D101A">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多年平均风速（m/s）</w:t>
                  </w:r>
                </w:p>
              </w:tc>
              <w:tc>
                <w:tcPr>
                  <w:tcW w:w="807" w:type="pct"/>
                  <w:vAlign w:val="center"/>
                </w:tcPr>
                <w:p w14:paraId="459ABF21">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2.7</w:t>
                  </w:r>
                </w:p>
              </w:tc>
              <w:tc>
                <w:tcPr>
                  <w:tcW w:w="1158" w:type="pct"/>
                  <w:vAlign w:val="center"/>
                </w:tcPr>
                <w:p w14:paraId="73F4B24B">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413F2BA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70FF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046AEFBC">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多年主导风向、风向频率（%）</w:t>
                  </w:r>
                </w:p>
              </w:tc>
              <w:tc>
                <w:tcPr>
                  <w:tcW w:w="807" w:type="pct"/>
                  <w:vAlign w:val="center"/>
                </w:tcPr>
                <w:p w14:paraId="0C5C8244">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ESE 11.6%</w:t>
                  </w:r>
                </w:p>
              </w:tc>
              <w:tc>
                <w:tcPr>
                  <w:tcW w:w="1158" w:type="pct"/>
                  <w:vAlign w:val="center"/>
                </w:tcPr>
                <w:p w14:paraId="37463747">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0912AF46">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r w14:paraId="463A7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9" w:type="pct"/>
                  <w:gridSpan w:val="2"/>
                  <w:vAlign w:val="center"/>
                </w:tcPr>
                <w:p w14:paraId="07B668F1">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多年静风频率（风速≤0.2m/s）（%）</w:t>
                  </w:r>
                </w:p>
              </w:tc>
              <w:tc>
                <w:tcPr>
                  <w:tcW w:w="807" w:type="pct"/>
                  <w:vAlign w:val="center"/>
                </w:tcPr>
                <w:p w14:paraId="6647A3C7">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ascii="Times New Roman" w:hAnsi="Times New Roman" w:eastAsia="仿宋" w:cs="Times New Roman"/>
                      <w:color w:val="auto"/>
                      <w:sz w:val="21"/>
                      <w:szCs w:val="21"/>
                      <w:highlight w:val="none"/>
                      <w:vertAlign w:val="baseline"/>
                      <w:lang w:val="en-US" w:eastAsia="zh-CN"/>
                    </w:rPr>
                    <w:t>4.2</w:t>
                  </w:r>
                </w:p>
              </w:tc>
              <w:tc>
                <w:tcPr>
                  <w:tcW w:w="1158" w:type="pct"/>
                  <w:vAlign w:val="center"/>
                </w:tcPr>
                <w:p w14:paraId="724428F9">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c>
                <w:tcPr>
                  <w:tcW w:w="724" w:type="pct"/>
                  <w:vAlign w:val="center"/>
                </w:tcPr>
                <w:p w14:paraId="37CEA628">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eastAsia" w:eastAsia="仿宋" w:cs="Times New Roman"/>
                      <w:color w:val="auto"/>
                      <w:sz w:val="21"/>
                      <w:szCs w:val="21"/>
                      <w:highlight w:val="none"/>
                      <w:vertAlign w:val="baseline"/>
                      <w:lang w:val="en-US" w:eastAsia="zh-CN"/>
                    </w:rPr>
                    <w:t>/</w:t>
                  </w:r>
                </w:p>
              </w:tc>
            </w:tr>
          </w:tbl>
          <w:p w14:paraId="52448218">
            <w:pPr>
              <w:pStyle w:val="32"/>
              <w:numPr>
                <w:ilvl w:val="0"/>
                <w:numId w:val="0"/>
              </w:numPr>
              <w:jc w:val="both"/>
              <w:rPr>
                <w:rFonts w:hint="default" w:eastAsia="仿宋" w:cs="Times New Roman"/>
                <w:color w:val="auto"/>
                <w:sz w:val="24"/>
                <w:highlight w:val="none"/>
                <w:lang w:val="en-US" w:eastAsia="zh-CN"/>
              </w:rPr>
            </w:pPr>
            <w:r>
              <w:rPr>
                <w:rFonts w:hint="eastAsia" w:eastAsia="仿宋" w:cs="Times New Roman"/>
                <w:color w:val="auto"/>
                <w:sz w:val="24"/>
                <w:highlight w:val="none"/>
                <w:lang w:val="en-US" w:eastAsia="zh-CN"/>
              </w:rPr>
              <w:t>四、区域环境质量现状</w:t>
            </w:r>
          </w:p>
          <w:p w14:paraId="09AC5FB4">
            <w:pPr>
              <w:pStyle w:val="9"/>
              <w:rPr>
                <w:rFonts w:hint="default" w:eastAsia="仿宋" w:cs="Times New Roman"/>
                <w:b/>
                <w:bCs/>
                <w:color w:val="auto"/>
                <w:sz w:val="24"/>
                <w:highlight w:val="none"/>
                <w:lang w:val="en-US" w:eastAsia="zh-CN"/>
              </w:rPr>
            </w:pPr>
            <w:r>
              <w:rPr>
                <w:rFonts w:hint="eastAsia" w:eastAsia="仿宋" w:cs="Times New Roman"/>
                <w:b/>
                <w:bCs/>
                <w:color w:val="auto"/>
                <w:sz w:val="24"/>
                <w:highlight w:val="none"/>
                <w:lang w:val="en-US" w:eastAsia="zh-CN"/>
              </w:rPr>
              <w:t>1、地表水环境现状</w:t>
            </w:r>
          </w:p>
          <w:p w14:paraId="7EAB9B70">
            <w:pPr>
              <w:keepNext w:val="0"/>
              <w:keepLines w:val="0"/>
              <w:widowControl/>
              <w:suppressLineNumbers w:val="0"/>
              <w:jc w:val="left"/>
              <w:rPr>
                <w:rFonts w:hint="eastAsia" w:eastAsia="仿宋" w:cs="Times New Roman"/>
                <w:color w:val="auto"/>
                <w:kern w:val="2"/>
                <w:sz w:val="24"/>
                <w:szCs w:val="22"/>
                <w:highlight w:val="none"/>
                <w:lang w:val="en-US" w:eastAsia="zh-CN" w:bidi="ar-SA"/>
              </w:rPr>
            </w:pPr>
            <w:r>
              <w:rPr>
                <w:rFonts w:hint="eastAsia" w:eastAsia="仿宋" w:cs="Times New Roman"/>
                <w:color w:val="auto"/>
                <w:kern w:val="2"/>
                <w:sz w:val="24"/>
                <w:szCs w:val="22"/>
                <w:highlight w:val="none"/>
                <w:lang w:val="en-US" w:eastAsia="zh-CN" w:bidi="ar-SA"/>
              </w:rPr>
              <w:t>根据《2023年常州市环境状况公报》，2023年常州市共有20个断面参与“十四五”国家地表水环境质量考核。其中，达到或优于</w:t>
            </w:r>
            <w:r>
              <w:rPr>
                <w:rFonts w:hint="default" w:ascii="Times New Roman" w:hAnsi="Times New Roman" w:eastAsia="仿宋" w:cs="Times New Roman"/>
                <w:color w:val="auto"/>
                <w:kern w:val="0"/>
                <w:sz w:val="24"/>
                <w:szCs w:val="22"/>
                <w:highlight w:val="none"/>
                <w:lang w:val="en-US" w:eastAsia="zh-CN" w:bidi="ar-SA"/>
              </w:rPr>
              <w:t>Ⅲ</w:t>
            </w:r>
            <w:r>
              <w:rPr>
                <w:rFonts w:hint="eastAsia" w:eastAsia="仿宋" w:cs="Times New Roman"/>
                <w:color w:val="auto"/>
                <w:kern w:val="2"/>
                <w:sz w:val="24"/>
                <w:szCs w:val="22"/>
                <w:highlight w:val="none"/>
                <w:lang w:val="en-US" w:eastAsia="zh-CN" w:bidi="ar-SA"/>
              </w:rPr>
              <w:t>类断面有17个，占比为85%，无劣</w:t>
            </w:r>
            <w:r>
              <w:rPr>
                <w:rFonts w:hint="default" w:ascii="Times New Roman" w:hAnsi="Times New Roman" w:eastAsia="仿宋" w:cs="Times New Roman"/>
                <w:color w:val="auto"/>
                <w:kern w:val="0"/>
                <w:sz w:val="24"/>
                <w:szCs w:val="22"/>
                <w:highlight w:val="none"/>
                <w:lang w:val="en-US" w:eastAsia="zh-CN" w:bidi="ar-SA"/>
              </w:rPr>
              <w:t>Ⅴ</w:t>
            </w:r>
            <w:r>
              <w:rPr>
                <w:rFonts w:hint="eastAsia" w:eastAsia="仿宋" w:cs="Times New Roman"/>
                <w:color w:val="auto"/>
                <w:kern w:val="2"/>
                <w:sz w:val="24"/>
                <w:szCs w:val="22"/>
                <w:highlight w:val="none"/>
                <w:lang w:val="en-US" w:eastAsia="zh-CN" w:bidi="ar-SA"/>
              </w:rPr>
              <w:t>类断面。纳入江苏省“十四五”水环境质量目标考核51个断面，年均水质达到或好于</w:t>
            </w:r>
            <w:r>
              <w:rPr>
                <w:rFonts w:hint="default" w:ascii="Times New Roman" w:hAnsi="Times New Roman" w:eastAsia="仿宋" w:cs="Times New Roman"/>
                <w:color w:val="auto"/>
                <w:kern w:val="0"/>
                <w:sz w:val="24"/>
                <w:szCs w:val="22"/>
                <w:highlight w:val="none"/>
                <w:lang w:val="en-US" w:eastAsia="zh-CN" w:bidi="ar-SA"/>
              </w:rPr>
              <w:t>Ⅲ</w:t>
            </w:r>
            <w:r>
              <w:rPr>
                <w:rFonts w:hint="eastAsia" w:eastAsia="仿宋" w:cs="Times New Roman"/>
                <w:color w:val="auto"/>
                <w:kern w:val="2"/>
                <w:sz w:val="24"/>
                <w:szCs w:val="22"/>
                <w:highlight w:val="none"/>
                <w:lang w:val="en-US" w:eastAsia="zh-CN" w:bidi="ar-SA"/>
              </w:rPr>
              <w:t>类断面占比94.1%，无劣</w:t>
            </w:r>
            <w:r>
              <w:rPr>
                <w:rFonts w:hint="default" w:ascii="Times New Roman" w:hAnsi="Times New Roman" w:eastAsia="仿宋" w:cs="Times New Roman"/>
                <w:color w:val="auto"/>
                <w:kern w:val="0"/>
                <w:sz w:val="24"/>
                <w:szCs w:val="22"/>
                <w:highlight w:val="none"/>
                <w:lang w:val="en-US" w:eastAsia="zh-CN" w:bidi="ar-SA"/>
              </w:rPr>
              <w:t>Ⅴ</w:t>
            </w:r>
            <w:r>
              <w:rPr>
                <w:rFonts w:hint="eastAsia" w:eastAsia="仿宋" w:cs="Times New Roman"/>
                <w:color w:val="auto"/>
                <w:kern w:val="2"/>
                <w:sz w:val="24"/>
                <w:szCs w:val="22"/>
                <w:highlight w:val="none"/>
                <w:lang w:val="en-US" w:eastAsia="zh-CN" w:bidi="ar-SA"/>
              </w:rPr>
              <w:t>类断面。</w:t>
            </w:r>
          </w:p>
          <w:p w14:paraId="4A96A2B9">
            <w:pPr>
              <w:keepNext w:val="0"/>
              <w:keepLines w:val="0"/>
              <w:widowControl/>
              <w:suppressLineNumbers w:val="0"/>
              <w:jc w:val="left"/>
              <w:rPr>
                <w:rFonts w:hint="eastAsia" w:eastAsia="仿宋" w:cs="Times New Roman"/>
                <w:color w:val="auto"/>
                <w:kern w:val="2"/>
                <w:sz w:val="24"/>
                <w:szCs w:val="22"/>
                <w:highlight w:val="none"/>
                <w:lang w:val="en-US" w:eastAsia="zh-CN" w:bidi="ar-SA"/>
              </w:rPr>
            </w:pPr>
            <w:r>
              <w:rPr>
                <w:rFonts w:hint="eastAsia" w:eastAsia="仿宋" w:cs="Times New Roman"/>
                <w:color w:val="auto"/>
                <w:kern w:val="2"/>
                <w:sz w:val="24"/>
                <w:szCs w:val="22"/>
                <w:highlight w:val="none"/>
                <w:lang w:val="en-US" w:eastAsia="zh-CN" w:bidi="ar-SA"/>
              </w:rPr>
              <w:t>项目所在区域原有温洛港河已因河海大学的建设而截断，因次项目评价区域与长荡湖水域的水力联系主要为气象及温差驱动的水量交换，考虑到地转偏向力及周边迎丰</w:t>
            </w:r>
          </w:p>
          <w:p w14:paraId="41513E13">
            <w:pPr>
              <w:keepNext w:val="0"/>
              <w:keepLines w:val="0"/>
              <w:widowControl/>
              <w:suppressLineNumbers w:val="0"/>
              <w:ind w:left="0" w:leftChars="0" w:firstLine="0" w:firstLineChars="0"/>
              <w:jc w:val="left"/>
              <w:rPr>
                <w:rFonts w:hint="eastAsia" w:eastAsia="仿宋" w:cs="Times New Roman"/>
                <w:color w:val="auto"/>
                <w:sz w:val="24"/>
                <w:highlight w:val="none"/>
                <w:lang w:val="en-US" w:eastAsia="zh-CN"/>
              </w:rPr>
            </w:pPr>
            <w:r>
              <w:rPr>
                <w:rFonts w:hint="eastAsia" w:eastAsia="仿宋" w:cs="Times New Roman"/>
                <w:color w:val="auto"/>
                <w:kern w:val="2"/>
                <w:sz w:val="24"/>
                <w:szCs w:val="22"/>
                <w:highlight w:val="none"/>
                <w:lang w:val="en-US" w:eastAsia="zh-CN" w:bidi="ar-SA"/>
              </w:rPr>
              <w:t>河、新建河流向，评价区域内水体整体为自西向东顺时针流动。项目主要污染物为悬浮物，湖区水位较低，水深较为均匀，长荡湖多年平均水位为1.53m，历史最高水位为</w:t>
            </w:r>
            <w:r>
              <w:rPr>
                <w:rFonts w:hint="eastAsia" w:eastAsia="仿宋" w:cs="Times New Roman"/>
                <w:color w:val="auto"/>
                <w:sz w:val="24"/>
                <w:highlight w:val="none"/>
                <w:lang w:val="en-US" w:eastAsia="zh-CN"/>
              </w:rPr>
              <w:t>4.23m（1991年7月12日），历史最低水位为0.23m（1958年7月31日），流速较慢，悬浮物迁移距离较短，根据设计图纸可知，项目共计打下43个桩基础，其中桥墩采用直径为1.3m的钻孔灌注桩，桥台采用直径为1m的双联钻孔灌注桩，护筒埋设深度3m，基础截面总面积约41.6m</w:t>
            </w:r>
            <w:r>
              <w:rPr>
                <w:rFonts w:hint="eastAsia"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，预计扰动土方量为125m</w:t>
            </w:r>
            <w:r>
              <w:rPr>
                <w:rFonts w:hint="eastAsia" w:eastAsia="仿宋" w:cs="Times New Roman"/>
                <w:color w:val="auto"/>
                <w:sz w:val="24"/>
                <w:highlight w:val="none"/>
                <w:vertAlign w:val="superscript"/>
                <w:lang w:val="en-US" w:eastAsia="zh-CN"/>
              </w:rPr>
              <w:t>3</w:t>
            </w:r>
            <w:r>
              <w:rPr>
                <w:rFonts w:hint="eastAsia" w:eastAsia="仿宋" w:cs="Times New Roman"/>
                <w:color w:val="auto"/>
                <w:sz w:val="24"/>
                <w:highlight w:val="none"/>
                <w:lang w:val="en-US" w:eastAsia="zh-CN"/>
              </w:rPr>
              <w:t>，根据《海洋工程施工悬浮泥沙源强及扩散规律研究进展》预计总悬浮物产生量为6.21m</w:t>
            </w:r>
            <w:r>
              <w:rPr>
                <w:rFonts w:hint="eastAsia" w:eastAsia="仿宋" w:cs="Times New Roman"/>
                <w:color w:val="auto"/>
                <w:sz w:val="24"/>
                <w:highlight w:val="none"/>
                <w:vertAlign w:val="superscript"/>
                <w:lang w:val="en-US" w:eastAsia="zh-CN"/>
              </w:rPr>
              <w:t>3</w:t>
            </w:r>
            <w:r>
              <w:rPr>
                <w:rFonts w:hint="eastAsia" w:eastAsia="仿宋" w:cs="Times New Roman"/>
                <w:color w:val="auto"/>
                <w:sz w:val="24"/>
                <w:highlight w:val="none"/>
                <w:lang w:val="en-US" w:eastAsia="zh-CN"/>
              </w:rPr>
              <w:t>。</w:t>
            </w:r>
          </w:p>
          <w:p w14:paraId="28394007">
            <w:pPr>
              <w:pStyle w:val="9"/>
              <w:rPr>
                <w:rFonts w:hint="default" w:eastAsia="仿宋" w:cs="Times New Roman"/>
                <w:b/>
                <w:bCs/>
                <w:color w:val="auto"/>
                <w:sz w:val="24"/>
                <w:highlight w:val="none"/>
                <w:lang w:val="en-US" w:eastAsia="zh-CN"/>
              </w:rPr>
            </w:pPr>
            <w:r>
              <w:rPr>
                <w:rFonts w:hint="eastAsia" w:eastAsia="仿宋" w:cs="Times New Roman"/>
                <w:b/>
                <w:bCs/>
                <w:color w:val="auto"/>
                <w:sz w:val="24"/>
                <w:highlight w:val="none"/>
                <w:lang w:val="en-US" w:eastAsia="zh-CN"/>
              </w:rPr>
              <w:t>2、地表水环境质量评价等级判定</w:t>
            </w:r>
          </w:p>
          <w:p w14:paraId="3C042900">
            <w:pPr>
              <w:keepNext w:val="0"/>
              <w:keepLines w:val="0"/>
              <w:widowControl/>
              <w:suppressLineNumbers w:val="0"/>
              <w:jc w:val="left"/>
              <w:rPr>
                <w:rFonts w:hint="eastAsia" w:eastAsia="仿宋" w:cs="Times New Roman"/>
                <w:color w:val="auto"/>
                <w:kern w:val="2"/>
                <w:sz w:val="24"/>
                <w:szCs w:val="22"/>
                <w:highlight w:val="none"/>
                <w:lang w:val="en-US" w:eastAsia="zh-CN" w:bidi="ar-SA"/>
              </w:rPr>
            </w:pPr>
            <w:r>
              <w:rPr>
                <w:rFonts w:hint="eastAsia" w:eastAsia="仿宋" w:cs="Times New Roman"/>
                <w:color w:val="auto"/>
                <w:kern w:val="2"/>
                <w:sz w:val="24"/>
                <w:szCs w:val="22"/>
                <w:highlight w:val="none"/>
                <w:lang w:val="en-US" w:eastAsia="zh-CN" w:bidi="ar-SA"/>
              </w:rPr>
              <w:t>按照《环境影响评价技术导则地表水环境》（HJ2.3-2018）中地表水环境影响评价分级判据，该项目地表水环境影响评价等级判定主要依据如下表所示。</w:t>
            </w:r>
          </w:p>
          <w:p w14:paraId="2456AC73">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表3-3 地表水评价等级判定</w:t>
            </w:r>
          </w:p>
          <w:tbl>
            <w:tblPr>
              <w:tblStyle w:val="23"/>
              <w:tblW w:w="9106" w:type="dxa"/>
              <w:tblInd w:w="0" w:type="dxa"/>
              <w:tblLayout w:type="autofit"/>
              <w:tblCellMar>
                <w:top w:w="0" w:type="dxa"/>
                <w:left w:w="0" w:type="dxa"/>
                <w:bottom w:w="0" w:type="dxa"/>
                <w:right w:w="0" w:type="dxa"/>
              </w:tblCellMar>
            </w:tblPr>
            <w:tblGrid>
              <w:gridCol w:w="723"/>
              <w:gridCol w:w="1401"/>
              <w:gridCol w:w="933"/>
              <w:gridCol w:w="824"/>
              <w:gridCol w:w="1064"/>
              <w:gridCol w:w="3096"/>
              <w:gridCol w:w="1065"/>
            </w:tblGrid>
            <w:tr w14:paraId="4A3BABEF">
              <w:tblPrEx>
                <w:tblCellMar>
                  <w:top w:w="0" w:type="dxa"/>
                  <w:left w:w="0" w:type="dxa"/>
                  <w:bottom w:w="0" w:type="dxa"/>
                  <w:right w:w="0" w:type="dxa"/>
                </w:tblCellMar>
              </w:tblPrEx>
              <w:trPr>
                <w:trHeight w:val="330" w:hRule="atLeast"/>
              </w:trPr>
              <w:tc>
                <w:tcPr>
                  <w:tcW w:w="723" w:type="dxa"/>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E4C1C4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bCs w:val="0"/>
                      <w:color w:val="auto"/>
                      <w:sz w:val="21"/>
                      <w:szCs w:val="21"/>
                      <w:highlight w:val="none"/>
                      <w:vertAlign w:val="baseline"/>
                      <w:lang w:val="en-US" w:eastAsia="zh-CN"/>
                    </w:rPr>
                  </w:pPr>
                  <w:r>
                    <w:rPr>
                      <w:rFonts w:hint="default" w:ascii="Times New Roman" w:hAnsi="Times New Roman" w:eastAsia="仿宋" w:cs="Times New Roman"/>
                      <w:b/>
                      <w:bCs w:val="0"/>
                      <w:color w:val="auto"/>
                      <w:sz w:val="21"/>
                      <w:szCs w:val="21"/>
                      <w:highlight w:val="none"/>
                      <w:vertAlign w:val="baseline"/>
                      <w:lang w:val="en-US" w:eastAsia="zh-CN"/>
                    </w:rPr>
                    <w:t>评价等级</w:t>
                  </w:r>
                </w:p>
              </w:tc>
              <w:tc>
                <w:tcPr>
                  <w:tcW w:w="1401"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05C90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bCs w:val="0"/>
                      <w:color w:val="auto"/>
                      <w:sz w:val="21"/>
                      <w:szCs w:val="21"/>
                      <w:highlight w:val="none"/>
                      <w:vertAlign w:val="baseline"/>
                      <w:lang w:val="en-US" w:eastAsia="zh-CN"/>
                    </w:rPr>
                  </w:pPr>
                  <w:r>
                    <w:rPr>
                      <w:rFonts w:hint="eastAsia" w:ascii="Times New Roman" w:hAnsi="Times New Roman" w:eastAsia="仿宋" w:cs="Times New Roman"/>
                      <w:b/>
                      <w:bCs w:val="0"/>
                      <w:color w:val="auto"/>
                      <w:sz w:val="21"/>
                      <w:szCs w:val="21"/>
                      <w:highlight w:val="none"/>
                      <w:vertAlign w:val="baseline"/>
                      <w:lang w:val="en-US" w:eastAsia="zh-CN"/>
                    </w:rPr>
                    <w:t>水温</w:t>
                  </w:r>
                </w:p>
              </w:tc>
              <w:tc>
                <w:tcPr>
                  <w:tcW w:w="1757" w:type="dxa"/>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6E2005">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bCs w:val="0"/>
                      <w:color w:val="auto"/>
                      <w:sz w:val="21"/>
                      <w:szCs w:val="21"/>
                      <w:highlight w:val="none"/>
                      <w:vertAlign w:val="baseline"/>
                      <w:lang w:val="en-US" w:eastAsia="zh-CN"/>
                    </w:rPr>
                  </w:pPr>
                  <w:r>
                    <w:rPr>
                      <w:rFonts w:hint="default" w:ascii="Times New Roman" w:hAnsi="Times New Roman" w:eastAsia="仿宋" w:cs="Times New Roman"/>
                      <w:b/>
                      <w:bCs w:val="0"/>
                      <w:color w:val="auto"/>
                      <w:sz w:val="21"/>
                      <w:szCs w:val="21"/>
                      <w:highlight w:val="none"/>
                      <w:vertAlign w:val="baseline"/>
                      <w:lang w:val="en-US" w:eastAsia="zh-CN"/>
                    </w:rPr>
                    <w:t>径流</w:t>
                  </w:r>
                </w:p>
              </w:tc>
              <w:tc>
                <w:tcPr>
                  <w:tcW w:w="5225" w:type="dxa"/>
                  <w:gridSpan w:val="3"/>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57F083">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b/>
                      <w:bCs w:val="0"/>
                      <w:color w:val="auto"/>
                      <w:sz w:val="21"/>
                      <w:szCs w:val="21"/>
                      <w:highlight w:val="none"/>
                      <w:vertAlign w:val="baseline"/>
                      <w:lang w:val="en-US" w:eastAsia="zh-CN"/>
                    </w:rPr>
                  </w:pPr>
                  <w:r>
                    <w:rPr>
                      <w:rFonts w:hint="default" w:ascii="Times New Roman" w:hAnsi="Times New Roman" w:eastAsia="仿宋" w:cs="Times New Roman"/>
                      <w:b/>
                      <w:bCs w:val="0"/>
                      <w:color w:val="auto"/>
                      <w:sz w:val="21"/>
                      <w:szCs w:val="21"/>
                      <w:highlight w:val="none"/>
                      <w:vertAlign w:val="baseline"/>
                      <w:lang w:val="en-US" w:eastAsia="zh-CN"/>
                    </w:rPr>
                    <w:t>受影响地表水域</w:t>
                  </w:r>
                </w:p>
              </w:tc>
            </w:tr>
            <w:tr w14:paraId="10AB8C25">
              <w:tblPrEx>
                <w:tblCellMar>
                  <w:top w:w="0" w:type="dxa"/>
                  <w:left w:w="0" w:type="dxa"/>
                  <w:bottom w:w="0" w:type="dxa"/>
                  <w:right w:w="0" w:type="dxa"/>
                </w:tblCellMar>
              </w:tblPrEx>
              <w:trPr>
                <w:trHeight w:val="2925" w:hRule="atLeast"/>
              </w:trPr>
              <w:tc>
                <w:tcPr>
                  <w:tcW w:w="723" w:type="dxa"/>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E007CD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p>
              </w:tc>
              <w:tc>
                <w:tcPr>
                  <w:tcW w:w="1401" w:type="dxa"/>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82FCA1">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年径流量与总库容之比α</w:t>
                  </w:r>
                </w:p>
              </w:tc>
              <w:tc>
                <w:tcPr>
                  <w:tcW w:w="933" w:type="dxa"/>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A67DB5">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兴利库容占年径流量百分比β/%</w:t>
                  </w:r>
                </w:p>
              </w:tc>
              <w:tc>
                <w:tcPr>
                  <w:tcW w:w="824" w:type="dxa"/>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1085CB5">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取水量占多年平均径流量百分比γ/%</w:t>
                  </w:r>
                </w:p>
              </w:tc>
              <w:tc>
                <w:tcPr>
                  <w:tcW w:w="4160" w:type="dxa"/>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79100AF">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工程垂直投影面积及外扩范围A</w:t>
                  </w:r>
                  <w:r>
                    <w:rPr>
                      <w:rFonts w:hint="default" w:ascii="Times New Roman" w:hAnsi="Times New Roman" w:eastAsia="仿宋" w:cs="Times New Roman"/>
                      <w:color w:val="auto"/>
                      <w:sz w:val="21"/>
                      <w:szCs w:val="21"/>
                      <w:highlight w:val="none"/>
                      <w:vertAlign w:val="subscript"/>
                      <w:lang w:val="en-US" w:eastAsia="zh-CN"/>
                    </w:rPr>
                    <w:t>1</w:t>
                  </w:r>
                  <w:r>
                    <w:rPr>
                      <w:rFonts w:hint="default" w:ascii="Times New Roman" w:hAnsi="Times New Roman" w:eastAsia="仿宋" w:cs="Times New Roman"/>
                      <w:color w:val="auto"/>
                      <w:sz w:val="21"/>
                      <w:szCs w:val="21"/>
                      <w:highlight w:val="none"/>
                      <w:vertAlign w:val="baseline"/>
                      <w:lang w:val="en-US" w:eastAsia="zh-CN"/>
                    </w:rPr>
                    <w:t>/km</w:t>
                  </w:r>
                  <w:r>
                    <w:rPr>
                      <w:rFonts w:hint="default" w:ascii="Times New Roman" w:hAnsi="Times New Roman" w:eastAsia="仿宋" w:cs="Times New Roman"/>
                      <w:color w:val="auto"/>
                      <w:sz w:val="21"/>
                      <w:szCs w:val="21"/>
                      <w:highlight w:val="none"/>
                      <w:vertAlign w:val="superscript"/>
                      <w:lang w:val="en-US" w:eastAsia="zh-CN"/>
                    </w:rPr>
                    <w:t>2</w:t>
                  </w:r>
                  <w:r>
                    <w:rPr>
                      <w:rFonts w:hint="default" w:ascii="Times New Roman" w:hAnsi="Times New Roman" w:eastAsia="仿宋" w:cs="Times New Roman"/>
                      <w:color w:val="auto"/>
                      <w:sz w:val="21"/>
                      <w:szCs w:val="21"/>
                      <w:highlight w:val="none"/>
                      <w:vertAlign w:val="baseline"/>
                      <w:lang w:val="en-US" w:eastAsia="zh-CN"/>
                    </w:rPr>
                    <w:t>；工程扰动水底面积A</w:t>
                  </w:r>
                  <w:r>
                    <w:rPr>
                      <w:rFonts w:hint="default" w:ascii="Times New Roman" w:hAnsi="Times New Roman" w:eastAsia="仿宋" w:cs="Times New Roman"/>
                      <w:color w:val="auto"/>
                      <w:sz w:val="21"/>
                      <w:szCs w:val="21"/>
                      <w:highlight w:val="none"/>
                      <w:vertAlign w:val="subscript"/>
                      <w:lang w:val="en-US" w:eastAsia="zh-CN"/>
                    </w:rPr>
                    <w:t>2</w:t>
                  </w:r>
                  <w:r>
                    <w:rPr>
                      <w:rFonts w:hint="default" w:ascii="Times New Roman" w:hAnsi="Times New Roman" w:eastAsia="仿宋" w:cs="Times New Roman"/>
                      <w:color w:val="auto"/>
                      <w:sz w:val="21"/>
                      <w:szCs w:val="21"/>
                      <w:highlight w:val="none"/>
                      <w:vertAlign w:val="baseline"/>
                      <w:lang w:val="en-US" w:eastAsia="zh-CN"/>
                    </w:rPr>
                    <w:t>/km</w:t>
                  </w:r>
                  <w:r>
                    <w:rPr>
                      <w:rFonts w:hint="default" w:ascii="Times New Roman" w:hAnsi="Times New Roman" w:eastAsia="仿宋" w:cs="Times New Roman"/>
                      <w:color w:val="auto"/>
                      <w:sz w:val="21"/>
                      <w:szCs w:val="21"/>
                      <w:highlight w:val="none"/>
                      <w:vertAlign w:val="superscript"/>
                      <w:lang w:val="en-US" w:eastAsia="zh-CN"/>
                    </w:rPr>
                    <w:t>2</w:t>
                  </w:r>
                  <w:r>
                    <w:rPr>
                      <w:rFonts w:hint="default" w:ascii="Times New Roman" w:hAnsi="Times New Roman" w:eastAsia="仿宋" w:cs="Times New Roman"/>
                      <w:color w:val="auto"/>
                      <w:sz w:val="21"/>
                      <w:szCs w:val="21"/>
                      <w:highlight w:val="none"/>
                      <w:vertAlign w:val="baseline"/>
                      <w:lang w:val="en-US" w:eastAsia="zh-CN"/>
                    </w:rPr>
                    <w:t>；过水断面宽度占用比例或占用水域面积比例R/%</w:t>
                  </w:r>
                </w:p>
              </w:tc>
              <w:tc>
                <w:tcPr>
                  <w:tcW w:w="1065"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7F58E5">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工程垂直投影面积及外扩范围A</w:t>
                  </w:r>
                  <w:r>
                    <w:rPr>
                      <w:rFonts w:hint="default" w:ascii="Times New Roman" w:hAnsi="Times New Roman" w:eastAsia="仿宋" w:cs="Times New Roman"/>
                      <w:color w:val="auto"/>
                      <w:sz w:val="21"/>
                      <w:szCs w:val="21"/>
                      <w:highlight w:val="none"/>
                      <w:vertAlign w:val="subscript"/>
                      <w:lang w:val="en-US" w:eastAsia="zh-CN"/>
                    </w:rPr>
                    <w:t>1</w:t>
                  </w:r>
                  <w:r>
                    <w:rPr>
                      <w:rFonts w:hint="default" w:ascii="Times New Roman" w:hAnsi="Times New Roman" w:eastAsia="仿宋" w:cs="Times New Roman"/>
                      <w:color w:val="auto"/>
                      <w:sz w:val="21"/>
                      <w:szCs w:val="21"/>
                      <w:highlight w:val="none"/>
                      <w:vertAlign w:val="baseline"/>
                      <w:lang w:val="en-US" w:eastAsia="zh-CN"/>
                    </w:rPr>
                    <w:t>/km</w:t>
                  </w:r>
                  <w:r>
                    <w:rPr>
                      <w:rFonts w:hint="default" w:ascii="Times New Roman" w:hAnsi="Times New Roman" w:eastAsia="仿宋" w:cs="Times New Roman"/>
                      <w:color w:val="auto"/>
                      <w:sz w:val="21"/>
                      <w:szCs w:val="21"/>
                      <w:highlight w:val="none"/>
                      <w:vertAlign w:val="superscript"/>
                      <w:lang w:val="en-US" w:eastAsia="zh-CN"/>
                    </w:rPr>
                    <w:t>2</w:t>
                  </w:r>
                  <w:r>
                    <w:rPr>
                      <w:rFonts w:hint="default" w:ascii="Times New Roman" w:hAnsi="Times New Roman" w:eastAsia="仿宋" w:cs="Times New Roman"/>
                      <w:color w:val="auto"/>
                      <w:sz w:val="21"/>
                      <w:szCs w:val="21"/>
                      <w:highlight w:val="none"/>
                      <w:vertAlign w:val="baseline"/>
                      <w:lang w:val="en-US" w:eastAsia="zh-CN"/>
                    </w:rPr>
                    <w:t>；工程扰动水底面积A</w:t>
                  </w:r>
                  <w:r>
                    <w:rPr>
                      <w:rFonts w:hint="default" w:ascii="Times New Roman" w:hAnsi="Times New Roman" w:eastAsia="仿宋" w:cs="Times New Roman"/>
                      <w:color w:val="auto"/>
                      <w:sz w:val="21"/>
                      <w:szCs w:val="21"/>
                      <w:highlight w:val="none"/>
                      <w:vertAlign w:val="subscript"/>
                      <w:lang w:val="en-US" w:eastAsia="zh-CN"/>
                    </w:rPr>
                    <w:t>2</w:t>
                  </w:r>
                  <w:r>
                    <w:rPr>
                      <w:rFonts w:hint="default" w:ascii="Times New Roman" w:hAnsi="Times New Roman" w:eastAsia="仿宋" w:cs="Times New Roman"/>
                      <w:color w:val="auto"/>
                      <w:sz w:val="21"/>
                      <w:szCs w:val="21"/>
                      <w:highlight w:val="none"/>
                      <w:vertAlign w:val="baseline"/>
                      <w:lang w:val="en-US" w:eastAsia="zh-CN"/>
                    </w:rPr>
                    <w:t>/km</w:t>
                  </w:r>
                  <w:r>
                    <w:rPr>
                      <w:rFonts w:hint="default" w:ascii="Times New Roman" w:hAnsi="Times New Roman" w:eastAsia="仿宋" w:cs="Times New Roman"/>
                      <w:color w:val="auto"/>
                      <w:sz w:val="21"/>
                      <w:szCs w:val="21"/>
                      <w:highlight w:val="none"/>
                      <w:vertAlign w:val="superscript"/>
                      <w:lang w:val="en-US" w:eastAsia="zh-CN"/>
                    </w:rPr>
                    <w:t>2</w:t>
                  </w:r>
                </w:p>
              </w:tc>
            </w:tr>
            <w:tr w14:paraId="63A24A7B">
              <w:tblPrEx>
                <w:tblCellMar>
                  <w:top w:w="0" w:type="dxa"/>
                  <w:left w:w="0" w:type="dxa"/>
                  <w:bottom w:w="0" w:type="dxa"/>
                  <w:right w:w="0" w:type="dxa"/>
                </w:tblCellMar>
              </w:tblPrEx>
              <w:trPr>
                <w:trHeight w:val="870" w:hRule="atLeast"/>
              </w:trPr>
              <w:tc>
                <w:tcPr>
                  <w:tcW w:w="723" w:type="dxa"/>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EBDD1DE">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p>
              </w:tc>
              <w:tc>
                <w:tcPr>
                  <w:tcW w:w="1401" w:type="dxa"/>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CD11249">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p>
              </w:tc>
              <w:tc>
                <w:tcPr>
                  <w:tcW w:w="933" w:type="dxa"/>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D61AD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p>
              </w:tc>
              <w:tc>
                <w:tcPr>
                  <w:tcW w:w="824" w:type="dxa"/>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B7E9FF">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p>
              </w:tc>
              <w:tc>
                <w:tcPr>
                  <w:tcW w:w="1064"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DD2F24">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河流</w:t>
                  </w:r>
                </w:p>
              </w:tc>
              <w:tc>
                <w:tcPr>
                  <w:tcW w:w="3096"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65972D3">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湖库</w:t>
                  </w:r>
                </w:p>
              </w:tc>
              <w:tc>
                <w:tcPr>
                  <w:tcW w:w="1065"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D4F49B8">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入海河口、近岸海域</w:t>
                  </w:r>
                </w:p>
              </w:tc>
            </w:tr>
            <w:tr w14:paraId="600C9293">
              <w:tblPrEx>
                <w:tblCellMar>
                  <w:top w:w="0" w:type="dxa"/>
                  <w:left w:w="0" w:type="dxa"/>
                  <w:bottom w:w="0" w:type="dxa"/>
                  <w:right w:w="0" w:type="dxa"/>
                </w:tblCellMar>
              </w:tblPrEx>
              <w:trPr>
                <w:trHeight w:val="1275" w:hRule="atLeast"/>
              </w:trPr>
              <w:tc>
                <w:tcPr>
                  <w:tcW w:w="723"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2D48129">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一级</w:t>
                  </w:r>
                </w:p>
              </w:tc>
              <w:tc>
                <w:tcPr>
                  <w:tcW w:w="1401"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D02151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α≤10；或稳定分层</w:t>
                  </w:r>
                </w:p>
              </w:tc>
              <w:tc>
                <w:tcPr>
                  <w:tcW w:w="933"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2EBF3B1">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β≥20；或完全年调节与多年调节</w:t>
                  </w:r>
                </w:p>
              </w:tc>
              <w:tc>
                <w:tcPr>
                  <w:tcW w:w="824"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4C2D793">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γ≥30</w:t>
                  </w:r>
                </w:p>
              </w:tc>
              <w:tc>
                <w:tcPr>
                  <w:tcW w:w="1064"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27F95E4">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A1≥0.3；或A2≥1.5；或R≥10</w:t>
                  </w:r>
                </w:p>
              </w:tc>
              <w:tc>
                <w:tcPr>
                  <w:tcW w:w="3096" w:type="dxa"/>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4DF777">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A1≥0.3；或A2≥1.5；或R≥2</w:t>
                  </w:r>
                </w:p>
              </w:tc>
              <w:tc>
                <w:tcPr>
                  <w:tcW w:w="1065"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333E15A">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A1≥0.5；或A2≥3</w:t>
                  </w:r>
                </w:p>
              </w:tc>
            </w:tr>
            <w:tr w14:paraId="75E13700">
              <w:tblPrEx>
                <w:tblCellMar>
                  <w:top w:w="0" w:type="dxa"/>
                  <w:left w:w="0" w:type="dxa"/>
                  <w:bottom w:w="0" w:type="dxa"/>
                  <w:right w:w="0" w:type="dxa"/>
                </w:tblCellMar>
              </w:tblPrEx>
              <w:trPr>
                <w:trHeight w:val="2220" w:hRule="atLeast"/>
              </w:trPr>
              <w:tc>
                <w:tcPr>
                  <w:tcW w:w="723"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775EDF">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二级</w:t>
                  </w:r>
                </w:p>
              </w:tc>
              <w:tc>
                <w:tcPr>
                  <w:tcW w:w="1401"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D6EF499">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20＞α＞10；或不稳定分层</w:t>
                  </w:r>
                </w:p>
              </w:tc>
              <w:tc>
                <w:tcPr>
                  <w:tcW w:w="933"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8776953">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20＞β＞2；或季调节与不完全年调节</w:t>
                  </w:r>
                </w:p>
              </w:tc>
              <w:tc>
                <w:tcPr>
                  <w:tcW w:w="824"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135AF8">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30＞γ＞10</w:t>
                  </w:r>
                </w:p>
              </w:tc>
              <w:tc>
                <w:tcPr>
                  <w:tcW w:w="1064"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8F2673">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0.3＞A1＞0.05；或1.5＞A2＞0.2；或10＞R＞5</w:t>
                  </w:r>
                </w:p>
              </w:tc>
              <w:tc>
                <w:tcPr>
                  <w:tcW w:w="3096"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0AD7AB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0.3＞A1＞0.05；或1.5＞A2＞0.2；或20＞R＞5</w:t>
                  </w:r>
                </w:p>
              </w:tc>
              <w:tc>
                <w:tcPr>
                  <w:tcW w:w="1065"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CEF616E">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0.5＞A1＞0.15；或3＞A2＞0.5</w:t>
                  </w:r>
                </w:p>
              </w:tc>
            </w:tr>
            <w:tr w14:paraId="540F1CF9">
              <w:tblPrEx>
                <w:tblCellMar>
                  <w:top w:w="0" w:type="dxa"/>
                  <w:left w:w="0" w:type="dxa"/>
                  <w:bottom w:w="0" w:type="dxa"/>
                  <w:right w:w="0" w:type="dxa"/>
                </w:tblCellMar>
              </w:tblPrEx>
              <w:trPr>
                <w:trHeight w:val="1590" w:hRule="atLeast"/>
              </w:trPr>
              <w:tc>
                <w:tcPr>
                  <w:tcW w:w="723"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E84E79">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三级</w:t>
                  </w:r>
                </w:p>
              </w:tc>
              <w:tc>
                <w:tcPr>
                  <w:tcW w:w="1401"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5FC6DC">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α≥20；或混合型</w:t>
                  </w:r>
                </w:p>
              </w:tc>
              <w:tc>
                <w:tcPr>
                  <w:tcW w:w="933"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0F957E">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β≤2；或无调节</w:t>
                  </w:r>
                </w:p>
              </w:tc>
              <w:tc>
                <w:tcPr>
                  <w:tcW w:w="824"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4288D9A">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γ≤10</w:t>
                  </w:r>
                </w:p>
              </w:tc>
              <w:tc>
                <w:tcPr>
                  <w:tcW w:w="1064"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45755F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A1≤0.05；或A2≤0.2；或R≤5</w:t>
                  </w:r>
                </w:p>
              </w:tc>
              <w:tc>
                <w:tcPr>
                  <w:tcW w:w="3096"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7DA5156">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A1≤0.05；或A2≤0.2；或R≤5</w:t>
                  </w:r>
                </w:p>
              </w:tc>
              <w:tc>
                <w:tcPr>
                  <w:tcW w:w="1065" w:type="dxa"/>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9E6D6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A1≤0.15；或A2≤0.5</w:t>
                  </w:r>
                </w:p>
              </w:tc>
            </w:tr>
            <w:tr w14:paraId="761A8CAA">
              <w:tblPrEx>
                <w:tblCellMar>
                  <w:top w:w="0" w:type="dxa"/>
                  <w:left w:w="0" w:type="dxa"/>
                  <w:bottom w:w="0" w:type="dxa"/>
                  <w:right w:w="0" w:type="dxa"/>
                </w:tblCellMar>
              </w:tblPrEx>
              <w:trPr>
                <w:trHeight w:val="285" w:hRule="atLeast"/>
              </w:trPr>
              <w:tc>
                <w:tcPr>
                  <w:tcW w:w="9106" w:type="dxa"/>
                  <w:gridSpan w:val="7"/>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8D155B">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left"/>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注1:影响范围涉及饮用水水源保护区、重点保护与珍稀水生生物的栖息地、重要水生生物的自然产卵场、自然保护</w:t>
                  </w:r>
                  <w:r>
                    <w:rPr>
                      <w:rFonts w:hint="eastAsia" w:ascii="Times New Roman" w:hAnsi="Times New Roman" w:eastAsia="仿宋" w:cs="Times New Roman"/>
                      <w:color w:val="auto"/>
                      <w:sz w:val="21"/>
                      <w:szCs w:val="21"/>
                      <w:highlight w:val="none"/>
                      <w:vertAlign w:val="baseline"/>
                      <w:lang w:val="en-US" w:eastAsia="zh-CN"/>
                    </w:rPr>
                    <w:t>区</w:t>
                  </w:r>
                  <w:r>
                    <w:rPr>
                      <w:rFonts w:hint="default" w:ascii="Times New Roman" w:hAnsi="Times New Roman" w:eastAsia="仿宋" w:cs="Times New Roman"/>
                      <w:color w:val="auto"/>
                      <w:sz w:val="21"/>
                      <w:szCs w:val="21"/>
                      <w:highlight w:val="none"/>
                      <w:vertAlign w:val="baseline"/>
                      <w:lang w:val="en-US" w:eastAsia="zh-CN"/>
                    </w:rPr>
                    <w:t>等保护目标，评价等级应不低于二级。</w:t>
                  </w:r>
                </w:p>
                <w:p w14:paraId="417FC1A1">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left"/>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注2:跨流域调水、引水式电站、可能受到大型河流感潮河段咸潮影响的建设项目，评价等级不低于二级。</w:t>
                  </w:r>
                </w:p>
                <w:p w14:paraId="3919E44F">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left"/>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注3:造成入海河口(湾口)宽度束窄(束窄尺度达到原宽度的5%以上)，评价等级应不低于二级。</w:t>
                  </w:r>
                </w:p>
                <w:p w14:paraId="5D36B9B0">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left"/>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注4:对不透水的单方向建筑尺度较长的水工建筑物(如防波堤、导流堤等)，其与潮流或水流主流向切线垂直方向投影长度大于2km时，评价等级应不低于二级。</w:t>
                  </w:r>
                </w:p>
                <w:p w14:paraId="306C269D">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left"/>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注5:允许在一类海域建设的项目，评价等级为</w:t>
                  </w:r>
                  <w:r>
                    <w:rPr>
                      <w:rFonts w:hint="eastAsia" w:ascii="Times New Roman" w:hAnsi="Times New Roman" w:eastAsia="仿宋" w:cs="Times New Roman"/>
                      <w:color w:val="auto"/>
                      <w:sz w:val="21"/>
                      <w:szCs w:val="21"/>
                      <w:highlight w:val="none"/>
                      <w:vertAlign w:val="baseline"/>
                      <w:lang w:val="en-US" w:eastAsia="zh-CN"/>
                    </w:rPr>
                    <w:t>一</w:t>
                  </w:r>
                  <w:r>
                    <w:rPr>
                      <w:rFonts w:hint="default" w:ascii="Times New Roman" w:hAnsi="Times New Roman" w:eastAsia="仿宋" w:cs="Times New Roman"/>
                      <w:color w:val="auto"/>
                      <w:sz w:val="21"/>
                      <w:szCs w:val="21"/>
                      <w:highlight w:val="none"/>
                      <w:vertAlign w:val="baseline"/>
                      <w:lang w:val="en-US" w:eastAsia="zh-CN"/>
                    </w:rPr>
                    <w:t>级。</w:t>
                  </w:r>
                </w:p>
                <w:p w14:paraId="5EA010C2">
                  <w:pPr>
                    <w:pStyle w:val="10"/>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left"/>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注6:同时存在多个水文要素影响的建设项目，分别判定各水文要素影响评价等级，并取其中最高等级作为水文要素影响型建设项目评价等级。</w:t>
                  </w:r>
                </w:p>
              </w:tc>
            </w:tr>
          </w:tbl>
          <w:p w14:paraId="2E523F38">
            <w:pPr>
              <w:keepNext w:val="0"/>
              <w:keepLines w:val="0"/>
              <w:widowControl/>
              <w:suppressLineNumbers w:val="0"/>
              <w:jc w:val="left"/>
              <w:rPr>
                <w:rFonts w:hint="eastAsia" w:eastAsia="仿宋" w:cs="Times New Roman"/>
                <w:color w:val="auto"/>
                <w:kern w:val="2"/>
                <w:sz w:val="24"/>
                <w:szCs w:val="22"/>
                <w:highlight w:val="none"/>
                <w:lang w:val="en-US" w:eastAsia="zh-CN" w:bidi="ar-SA"/>
              </w:rPr>
            </w:pPr>
            <w:r>
              <w:rPr>
                <w:rFonts w:hint="eastAsia" w:eastAsia="仿宋" w:cs="Times New Roman"/>
                <w:color w:val="auto"/>
                <w:kern w:val="2"/>
                <w:sz w:val="24"/>
                <w:szCs w:val="22"/>
                <w:highlight w:val="none"/>
                <w:lang w:val="en-US" w:eastAsia="zh-CN" w:bidi="ar-SA"/>
              </w:rPr>
              <w:t>本项目施工期生活污水产生量较小，经收集后运往</w:t>
            </w:r>
            <w:r>
              <w:rPr>
                <w:rFonts w:hint="eastAsia" w:eastAsia="仿宋" w:cs="Times New Roman"/>
                <w:color w:val="auto"/>
                <w:kern w:val="0"/>
                <w:sz w:val="24"/>
                <w:szCs w:val="22"/>
                <w:highlight w:val="none"/>
                <w:lang w:val="en-US" w:eastAsia="zh-CN" w:bidi="ar-SA"/>
              </w:rPr>
              <w:t>常州金坛区第一污水处理有限公司</w:t>
            </w:r>
            <w:r>
              <w:rPr>
                <w:rFonts w:hint="eastAsia" w:eastAsia="仿宋" w:cs="Times New Roman"/>
                <w:color w:val="auto"/>
                <w:kern w:val="2"/>
                <w:sz w:val="24"/>
                <w:szCs w:val="22"/>
                <w:highlight w:val="none"/>
                <w:lang w:val="en-US" w:eastAsia="zh-CN" w:bidi="ar-SA"/>
              </w:rPr>
              <w:t>处理，对周边水体产生影响较小，水体扰动因素主要为桩基础施工产生的悬浮物，水文要素影响型项目评价等级划分根据水温、径流与受影响地表水域等三类水文要素的影响程度进行判定，本项目桩基础、生态浮岛总面积约1716.3m</w:t>
            </w:r>
            <w:r>
              <w:rPr>
                <w:rFonts w:hint="eastAsia" w:eastAsia="仿宋" w:cs="Times New Roman"/>
                <w:color w:val="auto"/>
                <w:kern w:val="2"/>
                <w:sz w:val="24"/>
                <w:szCs w:val="22"/>
                <w:highlight w:val="none"/>
                <w:vertAlign w:val="superscript"/>
                <w:lang w:val="en-US" w:eastAsia="zh-CN" w:bidi="ar-SA"/>
              </w:rPr>
              <w:t>2</w:t>
            </w:r>
            <w:r>
              <w:rPr>
                <w:rFonts w:hint="eastAsia" w:eastAsia="仿宋" w:cs="Times New Roman"/>
                <w:color w:val="auto"/>
                <w:kern w:val="2"/>
                <w:sz w:val="24"/>
                <w:szCs w:val="22"/>
                <w:highlight w:val="none"/>
                <w:lang w:val="en-US" w:eastAsia="zh-CN" w:bidi="ar-SA"/>
              </w:rPr>
              <w:t>，长荡湖水域面积约85km</w:t>
            </w:r>
            <w:r>
              <w:rPr>
                <w:rFonts w:hint="eastAsia" w:eastAsia="仿宋" w:cs="Times New Roman"/>
                <w:color w:val="auto"/>
                <w:kern w:val="2"/>
                <w:sz w:val="24"/>
                <w:szCs w:val="22"/>
                <w:highlight w:val="none"/>
                <w:vertAlign w:val="superscript"/>
                <w:lang w:val="en-US" w:eastAsia="zh-CN" w:bidi="ar-SA"/>
              </w:rPr>
              <w:t>2</w:t>
            </w:r>
            <w:r>
              <w:rPr>
                <w:rFonts w:hint="eastAsia" w:eastAsia="仿宋" w:cs="Times New Roman"/>
                <w:color w:val="auto"/>
                <w:kern w:val="2"/>
                <w:sz w:val="24"/>
                <w:szCs w:val="22"/>
                <w:highlight w:val="none"/>
                <w:lang w:val="en-US" w:eastAsia="zh-CN" w:bidi="ar-SA"/>
              </w:rPr>
              <w:t>，占用水域面积比例R/%远小于5。同时根据中华人民共和国生态环境部《关于明确准保护区到底是不是保护区的回复》，“按照《中华人民共和国水污染防治法》第六十三条规定：“国家建立饮用水水源保护区制度。饮用水水源保护区分为一级保护区和二级保护区；必要时，可以在饮用水水源保护区外围划定一定的区域作为准保护区”。因此，饮用水水源准保护区不属于饮用水水源保护区范畴。”，本项目不在饮用水水源地保护区范围内，不属于饮用水水源准保护区禁止建设项目，故本项目地表水环境影响评价等级为三级。</w:t>
            </w:r>
          </w:p>
          <w:p w14:paraId="33274178">
            <w:pPr>
              <w:pStyle w:val="9"/>
              <w:rPr>
                <w:rFonts w:hint="default" w:eastAsia="仿宋" w:cs="Times New Roman"/>
                <w:b/>
                <w:bCs/>
                <w:color w:val="auto"/>
                <w:sz w:val="24"/>
                <w:highlight w:val="none"/>
                <w:lang w:val="en-US" w:eastAsia="zh-CN"/>
              </w:rPr>
            </w:pPr>
            <w:r>
              <w:rPr>
                <w:rFonts w:hint="eastAsia" w:eastAsia="仿宋" w:cs="Times New Roman"/>
                <w:b/>
                <w:bCs/>
                <w:color w:val="auto"/>
                <w:sz w:val="24"/>
                <w:highlight w:val="none"/>
                <w:lang w:val="en-US" w:eastAsia="zh-CN"/>
              </w:rPr>
              <w:t>3、地表水环境质量监测布点</w:t>
            </w:r>
          </w:p>
          <w:p w14:paraId="593C829A">
            <w:pPr>
              <w:pStyle w:val="10"/>
              <w:numPr>
                <w:ilvl w:val="0"/>
                <w:numId w:val="0"/>
              </w:numPr>
              <w:ind w:firstLine="480" w:firstLineChars="200"/>
              <w:rPr>
                <w:rFonts w:hint="default" w:eastAsia="仿宋" w:cs="Times New Roman"/>
                <w:color w:val="auto"/>
                <w:sz w:val="24"/>
                <w:highlight w:val="none"/>
                <w:lang w:val="en-US" w:eastAsia="zh-CN"/>
              </w:rPr>
            </w:pPr>
            <w:r>
              <w:rPr>
                <w:rFonts w:hint="eastAsia" w:eastAsia="仿宋" w:cs="Times New Roman"/>
                <w:color w:val="auto"/>
                <w:sz w:val="24"/>
                <w:highlight w:val="none"/>
                <w:lang w:val="en-US" w:eastAsia="zh-CN"/>
              </w:rPr>
              <w:t>（1）监测点位</w:t>
            </w:r>
          </w:p>
          <w:p w14:paraId="037E7137">
            <w:pPr>
              <w:pStyle w:val="10"/>
              <w:numPr>
                <w:ilvl w:val="0"/>
                <w:numId w:val="0"/>
              </w:numPr>
              <w:ind w:firstLine="480" w:firstLineChars="200"/>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根据《环境影响评价技术导则 地表水环境》（HJ 2.3-2018）要求，沿污染物迁移途径，分别于项目区流场上游W1、项目区流场下游W2设置监测垂线，具体位置见图3-1。</w:t>
            </w:r>
          </w:p>
          <w:tbl>
            <w:tblPr>
              <w:tblStyle w:val="24"/>
              <w:tblW w:w="8306"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56"/>
            </w:tblGrid>
            <w:tr w14:paraId="271BD5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54" w:hRule="atLeast"/>
              </w:trPr>
              <w:tc>
                <w:tcPr>
                  <w:tcW w:w="8306" w:type="dxa"/>
                </w:tcPr>
                <w:p w14:paraId="25090D0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sz w:val="21"/>
                      <w:szCs w:val="21"/>
                      <w:lang w:val="en-US" w:eastAsia="zh-CN"/>
                    </w:rPr>
                  </w:pPr>
                  <w:r>
                    <w:drawing>
                      <wp:anchor distT="0" distB="0" distL="114300" distR="114300" simplePos="0" relativeHeight="251682816" behindDoc="0" locked="0" layoutInCell="1" allowOverlap="1">
                        <wp:simplePos x="0" y="0"/>
                        <wp:positionH relativeFrom="column">
                          <wp:posOffset>4659630</wp:posOffset>
                        </wp:positionH>
                        <wp:positionV relativeFrom="paragraph">
                          <wp:posOffset>181610</wp:posOffset>
                        </wp:positionV>
                        <wp:extent cx="571500" cy="670560"/>
                        <wp:effectExtent l="0" t="0" r="0" b="15240"/>
                        <wp:wrapNone/>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41"/>
                                <a:stretch>
                                  <a:fillRect/>
                                </a:stretch>
                              </pic:blipFill>
                              <pic:spPr>
                                <a:xfrm>
                                  <a:off x="0" y="0"/>
                                  <a:ext cx="571500" cy="670560"/>
                                </a:xfrm>
                                <a:prstGeom prst="rect">
                                  <a:avLst/>
                                </a:prstGeom>
                                <a:noFill/>
                                <a:ln>
                                  <a:noFill/>
                                </a:ln>
                              </pic:spPr>
                            </pic:pic>
                          </a:graphicData>
                        </a:graphic>
                      </wp:anchor>
                    </w:drawing>
                  </w:r>
                  <w:r>
                    <w:drawing>
                      <wp:inline distT="0" distB="0" distL="114300" distR="114300">
                        <wp:extent cx="5293360" cy="2972435"/>
                        <wp:effectExtent l="0" t="0" r="2540" b="184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2"/>
                                <a:stretch>
                                  <a:fillRect/>
                                </a:stretch>
                              </pic:blipFill>
                              <pic:spPr>
                                <a:xfrm>
                                  <a:off x="0" y="0"/>
                                  <a:ext cx="5293360" cy="2972435"/>
                                </a:xfrm>
                                <a:prstGeom prst="rect">
                                  <a:avLst/>
                                </a:prstGeom>
                                <a:noFill/>
                                <a:ln>
                                  <a:noFill/>
                                </a:ln>
                              </pic:spPr>
                            </pic:pic>
                          </a:graphicData>
                        </a:graphic>
                      </wp:inline>
                    </w:drawing>
                  </w:r>
                </w:p>
              </w:tc>
            </w:tr>
            <w:tr w14:paraId="34A063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306" w:type="dxa"/>
                </w:tcPr>
                <w:p w14:paraId="249E006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sz w:val="21"/>
                      <w:szCs w:val="21"/>
                      <w:lang w:val="en-US" w:eastAsia="zh-CN"/>
                    </w:rPr>
                  </w:pPr>
                  <w:r>
                    <w:rPr>
                      <w:rFonts w:hint="eastAsia" w:ascii="Times New Roman" w:hAnsi="Times New Roman" w:eastAsia="仿宋" w:cs="Times New Roman"/>
                      <w:b/>
                      <w:bCs/>
                      <w:color w:val="auto"/>
                      <w:kern w:val="0"/>
                      <w:sz w:val="24"/>
                      <w:szCs w:val="22"/>
                      <w:highlight w:val="none"/>
                      <w:lang w:val="en-US" w:eastAsia="zh-CN" w:bidi="ar-SA"/>
                    </w:rPr>
                    <w:t>图3-1 地表水环境质量监测布点图</w:t>
                  </w:r>
                </w:p>
              </w:tc>
            </w:tr>
          </w:tbl>
          <w:p w14:paraId="0670F7B2">
            <w:pPr>
              <w:pStyle w:val="10"/>
              <w:numPr>
                <w:ilvl w:val="0"/>
                <w:numId w:val="0"/>
              </w:numPr>
              <w:ind w:firstLine="480" w:firstLineChars="200"/>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（2）监测项目</w:t>
            </w:r>
          </w:p>
          <w:p w14:paraId="638680DC">
            <w:pPr>
              <w:pStyle w:val="10"/>
              <w:numPr>
                <w:ilvl w:val="0"/>
                <w:numId w:val="0"/>
              </w:numPr>
              <w:ind w:firstLine="480" w:firstLineChars="200"/>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根据地表水环境质量考核要求及项目建设特点，地表水环境质量监测因子设置为pH、COD、氨氮、总磷、悬浮物。</w:t>
            </w:r>
          </w:p>
          <w:p w14:paraId="7E68F285">
            <w:pPr>
              <w:pStyle w:val="10"/>
              <w:numPr>
                <w:ilvl w:val="0"/>
                <w:numId w:val="0"/>
              </w:numPr>
              <w:ind w:firstLine="480" w:firstLineChars="200"/>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（3）地表水质量标准</w:t>
            </w:r>
          </w:p>
          <w:p w14:paraId="44392873">
            <w:pPr>
              <w:pStyle w:val="10"/>
              <w:numPr>
                <w:ilvl w:val="0"/>
                <w:numId w:val="0"/>
              </w:numPr>
              <w:ind w:firstLine="480" w:firstLineChars="200"/>
              <w:rPr>
                <w:rFonts w:hint="default" w:eastAsia="仿宋" w:cs="Times New Roman"/>
                <w:color w:val="auto"/>
                <w:sz w:val="24"/>
                <w:highlight w:val="none"/>
                <w:lang w:val="en-US" w:eastAsia="zh-CN"/>
              </w:rPr>
            </w:pPr>
            <w:r>
              <w:rPr>
                <w:rFonts w:hint="default" w:eastAsia="仿宋" w:cs="Times New Roman"/>
                <w:color w:val="auto"/>
                <w:sz w:val="24"/>
                <w:highlight w:val="none"/>
                <w:lang w:val="en-US" w:eastAsia="zh-CN"/>
              </w:rPr>
              <w:t>本项目跨越</w:t>
            </w:r>
            <w:r>
              <w:rPr>
                <w:rFonts w:hint="eastAsia" w:eastAsia="仿宋" w:cs="Times New Roman"/>
                <w:color w:val="auto"/>
                <w:sz w:val="24"/>
                <w:highlight w:val="none"/>
                <w:lang w:val="en-US" w:eastAsia="zh-CN"/>
              </w:rPr>
              <w:t>长荡湖</w:t>
            </w:r>
            <w:r>
              <w:rPr>
                <w:rFonts w:hint="default" w:eastAsia="仿宋" w:cs="Times New Roman"/>
                <w:color w:val="auto"/>
                <w:sz w:val="24"/>
                <w:highlight w:val="none"/>
                <w:lang w:val="en-US" w:eastAsia="zh-CN"/>
              </w:rPr>
              <w:t>，根据《江苏省地表水（环境）功能区划（2021－2030年）》（苏政复〔2022〕13号），</w:t>
            </w:r>
            <w:r>
              <w:rPr>
                <w:rFonts w:hint="eastAsia" w:eastAsia="仿宋" w:cs="Times New Roman"/>
                <w:color w:val="auto"/>
                <w:sz w:val="24"/>
                <w:highlight w:val="none"/>
                <w:lang w:val="en-US" w:eastAsia="zh-CN"/>
              </w:rPr>
              <w:t>长荡湖</w:t>
            </w:r>
            <w:r>
              <w:rPr>
                <w:rFonts w:hint="default" w:eastAsia="仿宋" w:cs="Times New Roman"/>
                <w:color w:val="auto"/>
                <w:sz w:val="24"/>
                <w:highlight w:val="none"/>
                <w:lang w:val="en-US" w:eastAsia="zh-CN"/>
              </w:rPr>
              <w:t>执行《地表水环境质量标准》（GB3838-2002）中Ⅲ类水体标准</w:t>
            </w:r>
            <w:r>
              <w:rPr>
                <w:rFonts w:hint="eastAsia" w:eastAsia="仿宋" w:cs="Times New Roman"/>
                <w:color w:val="auto"/>
                <w:sz w:val="24"/>
                <w:highlight w:val="none"/>
                <w:lang w:val="en-US" w:eastAsia="zh-CN"/>
              </w:rPr>
              <w:t>，</w:t>
            </w:r>
            <w:r>
              <w:rPr>
                <w:rFonts w:hint="default" w:eastAsia="仿宋" w:cs="Times New Roman"/>
                <w:color w:val="auto"/>
                <w:sz w:val="24"/>
                <w:highlight w:val="none"/>
                <w:lang w:val="en-US" w:eastAsia="zh-CN"/>
              </w:rPr>
              <w:t>其中无SS指标，参照执行《农田灌溉水质标准》GB5084-2021表1中蔬菜作物种类标准），见表</w:t>
            </w:r>
            <w:r>
              <w:rPr>
                <w:rFonts w:hint="eastAsia" w:eastAsia="仿宋" w:cs="Times New Roman"/>
                <w:color w:val="auto"/>
                <w:sz w:val="24"/>
                <w:highlight w:val="none"/>
                <w:lang w:val="en-US" w:eastAsia="zh-CN"/>
              </w:rPr>
              <w:t>3-4</w:t>
            </w:r>
            <w:r>
              <w:rPr>
                <w:rFonts w:hint="default" w:eastAsia="仿宋" w:cs="Times New Roman"/>
                <w:color w:val="auto"/>
                <w:sz w:val="24"/>
                <w:highlight w:val="none"/>
                <w:lang w:val="en-US" w:eastAsia="zh-CN"/>
              </w:rPr>
              <w:t>。</w:t>
            </w:r>
          </w:p>
          <w:p w14:paraId="664A9C73">
            <w:pPr>
              <w:pStyle w:val="10"/>
              <w:numPr>
                <w:ilvl w:val="0"/>
                <w:numId w:val="0"/>
              </w:numPr>
              <w:ind w:firstLine="480" w:firstLineChars="200"/>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（4）取样方法</w:t>
            </w:r>
          </w:p>
          <w:p w14:paraId="6F4E8B38">
            <w:pPr>
              <w:pStyle w:val="10"/>
              <w:numPr>
                <w:ilvl w:val="0"/>
                <w:numId w:val="0"/>
              </w:numPr>
              <w:ind w:firstLine="480" w:firstLineChars="200"/>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由于湖区水位小于5m，故在水下0.5m处取一点水样，连续3天，每天一次。</w:t>
            </w:r>
          </w:p>
          <w:p w14:paraId="3EB1C807">
            <w:pPr>
              <w:pStyle w:val="10"/>
              <w:numPr>
                <w:ilvl w:val="0"/>
                <w:numId w:val="0"/>
              </w:numPr>
              <w:ind w:firstLine="480" w:firstLineChars="200"/>
              <w:rPr>
                <w:rFonts w:hint="default" w:eastAsia="仿宋" w:cs="Times New Roman"/>
                <w:color w:val="auto"/>
                <w:sz w:val="24"/>
                <w:highlight w:val="none"/>
                <w:lang w:val="en-US" w:eastAsia="zh-CN"/>
              </w:rPr>
            </w:pPr>
            <w:r>
              <w:rPr>
                <w:rFonts w:hint="eastAsia" w:eastAsia="仿宋" w:cs="Times New Roman"/>
                <w:color w:val="auto"/>
                <w:sz w:val="24"/>
                <w:highlight w:val="none"/>
                <w:lang w:val="en-US" w:eastAsia="zh-CN"/>
              </w:rPr>
              <w:t>（5）监测结果</w:t>
            </w:r>
          </w:p>
          <w:p w14:paraId="6FA9598A">
            <w:pPr>
              <w:pStyle w:val="9"/>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项目委托中科阿斯迈（江</w:t>
            </w:r>
            <w:r>
              <w:rPr>
                <w:rFonts w:hint="eastAsia" w:ascii="Times New Roman" w:hAnsi="Times New Roman" w:eastAsia="仿宋" w:cs="Times New Roman"/>
                <w:color w:val="auto"/>
                <w:sz w:val="24"/>
                <w:highlight w:val="none"/>
                <w:lang w:val="en-US" w:eastAsia="zh-CN"/>
              </w:rPr>
              <w:t>苏）检验检测有限公司于2024年</w:t>
            </w:r>
            <w:r>
              <w:rPr>
                <w:rFonts w:hint="eastAsia" w:eastAsia="仿宋" w:cs="Times New Roman"/>
                <w:color w:val="auto"/>
                <w:sz w:val="24"/>
                <w:highlight w:val="none"/>
                <w:lang w:val="en-US" w:eastAsia="zh-CN"/>
              </w:rPr>
              <w:t>10</w:t>
            </w:r>
            <w:r>
              <w:rPr>
                <w:rFonts w:hint="eastAsia" w:ascii="Times New Roman" w:hAnsi="Times New Roman" w:eastAsia="仿宋" w:cs="Times New Roman"/>
                <w:color w:val="auto"/>
                <w:sz w:val="24"/>
                <w:highlight w:val="none"/>
                <w:lang w:val="en-US" w:eastAsia="zh-CN"/>
              </w:rPr>
              <w:t>月</w:t>
            </w:r>
            <w:r>
              <w:rPr>
                <w:rFonts w:hint="eastAsia" w:eastAsia="仿宋" w:cs="Times New Roman"/>
                <w:color w:val="auto"/>
                <w:sz w:val="24"/>
                <w:highlight w:val="none"/>
                <w:lang w:val="en-US" w:eastAsia="zh-CN"/>
              </w:rPr>
              <w:t>12</w:t>
            </w:r>
            <w:r>
              <w:rPr>
                <w:rFonts w:hint="eastAsia" w:ascii="Times New Roman" w:hAnsi="Times New Roman" w:eastAsia="仿宋" w:cs="Times New Roman"/>
                <w:color w:val="auto"/>
                <w:sz w:val="24"/>
                <w:highlight w:val="none"/>
                <w:lang w:val="en-US" w:eastAsia="zh-CN"/>
              </w:rPr>
              <w:t>日-</w:t>
            </w:r>
            <w:r>
              <w:rPr>
                <w:rFonts w:hint="eastAsia" w:eastAsia="仿宋" w:cs="Times New Roman"/>
                <w:color w:val="auto"/>
                <w:sz w:val="24"/>
                <w:highlight w:val="none"/>
                <w:lang w:val="en-US" w:eastAsia="zh-CN"/>
              </w:rPr>
              <w:t>14</w:t>
            </w:r>
            <w:r>
              <w:rPr>
                <w:rFonts w:hint="eastAsia" w:ascii="Times New Roman" w:hAnsi="Times New Roman" w:eastAsia="仿宋" w:cs="Times New Roman"/>
                <w:color w:val="auto"/>
                <w:sz w:val="24"/>
                <w:highlight w:val="none"/>
                <w:lang w:val="en-US" w:eastAsia="zh-CN"/>
              </w:rPr>
              <w:t>日对</w:t>
            </w:r>
            <w:r>
              <w:rPr>
                <w:rFonts w:hint="eastAsia" w:eastAsia="仿宋" w:cs="Times New Roman"/>
                <w:color w:val="auto"/>
                <w:sz w:val="24"/>
                <w:highlight w:val="none"/>
                <w:lang w:val="en-US" w:eastAsia="zh-CN"/>
              </w:rPr>
              <w:t>长荡湖</w:t>
            </w:r>
            <w:r>
              <w:rPr>
                <w:rFonts w:hint="eastAsia" w:ascii="Times New Roman" w:hAnsi="Times New Roman" w:eastAsia="仿宋" w:cs="Times New Roman"/>
                <w:color w:val="auto"/>
                <w:sz w:val="24"/>
                <w:highlight w:val="none"/>
                <w:lang w:val="en-US" w:eastAsia="zh-CN"/>
              </w:rPr>
              <w:t>监测断面进行了水环境质量监测，检测报告编号：（2024）ZKASM（水）字第（</w:t>
            </w:r>
            <w:r>
              <w:rPr>
                <w:rFonts w:hint="eastAsia" w:eastAsia="仿宋" w:cs="Times New Roman"/>
                <w:color w:val="auto"/>
                <w:sz w:val="24"/>
                <w:highlight w:val="none"/>
                <w:lang w:val="en-US" w:eastAsia="zh-CN"/>
              </w:rPr>
              <w:t>0608</w:t>
            </w:r>
            <w:r>
              <w:rPr>
                <w:rFonts w:hint="eastAsia" w:ascii="Times New Roman" w:hAnsi="Times New Roman" w:eastAsia="仿宋" w:cs="Times New Roman"/>
                <w:color w:val="auto"/>
                <w:sz w:val="24"/>
                <w:highlight w:val="none"/>
                <w:lang w:val="en-US" w:eastAsia="zh-CN"/>
              </w:rPr>
              <w:t>）号。结</w:t>
            </w:r>
            <w:r>
              <w:rPr>
                <w:rFonts w:hint="eastAsia" w:eastAsia="仿宋" w:cs="Times New Roman"/>
                <w:color w:val="auto"/>
                <w:sz w:val="24"/>
                <w:highlight w:val="none"/>
                <w:lang w:val="en-US" w:eastAsia="zh-CN"/>
              </w:rPr>
              <w:t>果统计详见下表：</w:t>
            </w:r>
          </w:p>
          <w:p w14:paraId="0B812ABD">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表3-4 地表水环境质量现状监测结果</w:t>
            </w:r>
          </w:p>
          <w:tbl>
            <w:tblPr>
              <w:tblStyle w:val="23"/>
              <w:tblW w:w="4997"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15" w:type="dxa"/>
                <w:left w:w="15" w:type="dxa"/>
                <w:bottom w:w="15" w:type="dxa"/>
                <w:right w:w="15" w:type="dxa"/>
              </w:tblCellMar>
            </w:tblPr>
            <w:tblGrid>
              <w:gridCol w:w="1082"/>
              <w:gridCol w:w="1386"/>
              <w:gridCol w:w="1415"/>
              <w:gridCol w:w="1415"/>
              <w:gridCol w:w="2"/>
              <w:gridCol w:w="1413"/>
              <w:gridCol w:w="1420"/>
              <w:gridCol w:w="958"/>
            </w:tblGrid>
            <w:tr w14:paraId="76DCF6F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tblHeader/>
                <w:jc w:val="center"/>
              </w:trPr>
              <w:tc>
                <w:tcPr>
                  <w:tcW w:w="595" w:type="pct"/>
                  <w:vMerge w:val="restart"/>
                  <w:tcBorders>
                    <w:tl2br w:val="nil"/>
                    <w:tr2bl w:val="nil"/>
                  </w:tcBorders>
                  <w:noWrap w:val="0"/>
                  <w:vAlign w:val="center"/>
                </w:tcPr>
                <w:p w14:paraId="217CD3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r>
                    <w:rPr>
                      <w:rFonts w:hint="default" w:ascii="Times New Roman" w:hAnsi="Times New Roman" w:eastAsia="仿宋" w:cs="Times New Roman"/>
                      <w:b w:val="0"/>
                      <w:bCs/>
                      <w:color w:val="auto"/>
                      <w:sz w:val="21"/>
                      <w:szCs w:val="21"/>
                      <w:highlight w:val="none"/>
                    </w:rPr>
                    <w:t>采样</w:t>
                  </w:r>
                  <w:r>
                    <w:rPr>
                      <w:rFonts w:hint="default" w:ascii="Times New Roman" w:hAnsi="Times New Roman" w:eastAsia="仿宋" w:cs="Times New Roman"/>
                      <w:b w:val="0"/>
                      <w:bCs/>
                      <w:color w:val="auto"/>
                      <w:sz w:val="21"/>
                      <w:szCs w:val="21"/>
                      <w:highlight w:val="none"/>
                      <w:lang w:eastAsia="zh-CN"/>
                    </w:rPr>
                    <w:t>时间</w:t>
                  </w:r>
                </w:p>
              </w:tc>
              <w:tc>
                <w:tcPr>
                  <w:tcW w:w="762" w:type="pct"/>
                  <w:vMerge w:val="restart"/>
                  <w:tcBorders>
                    <w:tl2br w:val="nil"/>
                    <w:tr2bl w:val="nil"/>
                  </w:tcBorders>
                  <w:noWrap w:val="0"/>
                  <w:vAlign w:val="center"/>
                </w:tcPr>
                <w:p w14:paraId="47542D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r>
                    <w:rPr>
                      <w:rFonts w:hint="eastAsia" w:ascii="Times New Roman" w:hAnsi="Times New Roman" w:eastAsia="仿宋" w:cs="Times New Roman"/>
                      <w:b w:val="0"/>
                      <w:bCs/>
                      <w:color w:val="auto"/>
                      <w:sz w:val="21"/>
                      <w:szCs w:val="21"/>
                      <w:highlight w:val="none"/>
                      <w:lang w:val="en-US" w:eastAsia="zh-CN"/>
                    </w:rPr>
                    <w:t>监测</w:t>
                  </w:r>
                  <w:r>
                    <w:rPr>
                      <w:rFonts w:hint="default" w:ascii="Times New Roman" w:hAnsi="Times New Roman" w:eastAsia="仿宋" w:cs="Times New Roman"/>
                      <w:b w:val="0"/>
                      <w:bCs/>
                      <w:color w:val="auto"/>
                      <w:sz w:val="21"/>
                      <w:szCs w:val="21"/>
                      <w:highlight w:val="none"/>
                    </w:rPr>
                    <w:t>项目</w:t>
                  </w:r>
                </w:p>
              </w:tc>
              <w:tc>
                <w:tcPr>
                  <w:tcW w:w="3115" w:type="pct"/>
                  <w:gridSpan w:val="5"/>
                  <w:tcBorders>
                    <w:tl2br w:val="nil"/>
                    <w:tr2bl w:val="nil"/>
                  </w:tcBorders>
                  <w:noWrap w:val="0"/>
                  <w:vAlign w:val="center"/>
                </w:tcPr>
                <w:p w14:paraId="0329D4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eastAsia="zh-CN"/>
                    </w:rPr>
                  </w:pPr>
                  <w:r>
                    <w:rPr>
                      <w:rFonts w:hint="eastAsia" w:ascii="Times New Roman" w:hAnsi="Times New Roman" w:eastAsia="仿宋" w:cs="Times New Roman"/>
                      <w:b w:val="0"/>
                      <w:bCs/>
                      <w:color w:val="auto"/>
                      <w:sz w:val="21"/>
                      <w:szCs w:val="21"/>
                      <w:highlight w:val="none"/>
                      <w:lang w:val="en-US" w:eastAsia="zh-CN"/>
                    </w:rPr>
                    <w:t>监测</w:t>
                  </w:r>
                  <w:r>
                    <w:rPr>
                      <w:rFonts w:hint="default" w:ascii="Times New Roman" w:hAnsi="Times New Roman" w:eastAsia="仿宋" w:cs="Times New Roman"/>
                      <w:b w:val="0"/>
                      <w:bCs/>
                      <w:color w:val="auto"/>
                      <w:sz w:val="21"/>
                      <w:szCs w:val="21"/>
                      <w:highlight w:val="none"/>
                    </w:rPr>
                    <w:t>结果</w:t>
                  </w:r>
                </w:p>
              </w:tc>
              <w:tc>
                <w:tcPr>
                  <w:tcW w:w="527" w:type="pct"/>
                  <w:vMerge w:val="restart"/>
                  <w:tcBorders>
                    <w:tl2br w:val="nil"/>
                    <w:tr2bl w:val="nil"/>
                  </w:tcBorders>
                  <w:noWrap w:val="0"/>
                  <w:vAlign w:val="center"/>
                </w:tcPr>
                <w:p w14:paraId="667AAB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lang w:val="en-US" w:eastAsia="zh-CN"/>
                    </w:rPr>
                  </w:pPr>
                  <w:r>
                    <w:rPr>
                      <w:rFonts w:hint="eastAsia" w:eastAsia="仿宋" w:cs="Times New Roman"/>
                      <w:b w:val="0"/>
                      <w:bCs/>
                      <w:color w:val="auto"/>
                      <w:sz w:val="21"/>
                      <w:szCs w:val="21"/>
                      <w:highlight w:val="none"/>
                      <w:lang w:val="en-US" w:eastAsia="zh-CN"/>
                    </w:rPr>
                    <w:t>标准限值</w:t>
                  </w:r>
                </w:p>
              </w:tc>
            </w:tr>
            <w:tr w14:paraId="4511215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tblHeader/>
                <w:jc w:val="center"/>
              </w:trPr>
              <w:tc>
                <w:tcPr>
                  <w:tcW w:w="595" w:type="pct"/>
                  <w:vMerge w:val="continue"/>
                  <w:tcBorders>
                    <w:tl2br w:val="nil"/>
                    <w:tr2bl w:val="nil"/>
                  </w:tcBorders>
                  <w:noWrap w:val="0"/>
                  <w:vAlign w:val="center"/>
                </w:tcPr>
                <w:p w14:paraId="205523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vMerge w:val="continue"/>
                  <w:tcBorders>
                    <w:tl2br w:val="nil"/>
                    <w:tr2bl w:val="nil"/>
                  </w:tcBorders>
                  <w:noWrap w:val="0"/>
                  <w:vAlign w:val="center"/>
                </w:tcPr>
                <w:p w14:paraId="42267D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1557" w:type="pct"/>
                  <w:gridSpan w:val="3"/>
                  <w:tcBorders>
                    <w:tl2br w:val="nil"/>
                    <w:tr2bl w:val="nil"/>
                  </w:tcBorders>
                  <w:noWrap w:val="0"/>
                  <w:vAlign w:val="center"/>
                </w:tcPr>
                <w:p w14:paraId="670768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r>
                    <w:rPr>
                      <w:rFonts w:hint="default" w:ascii="Times New Roman" w:hAnsi="Times New Roman" w:eastAsia="仿宋" w:cs="Times New Roman"/>
                      <w:b w:val="0"/>
                      <w:bCs/>
                      <w:color w:val="auto"/>
                      <w:sz w:val="21"/>
                      <w:szCs w:val="21"/>
                      <w:highlight w:val="none"/>
                      <w:lang w:val="en-US" w:eastAsia="zh-CN"/>
                    </w:rPr>
                    <w:t>W1建设区流场上游</w:t>
                  </w:r>
                </w:p>
              </w:tc>
              <w:tc>
                <w:tcPr>
                  <w:tcW w:w="1557" w:type="pct"/>
                  <w:gridSpan w:val="2"/>
                  <w:tcBorders>
                    <w:tl2br w:val="nil"/>
                    <w:tr2bl w:val="nil"/>
                  </w:tcBorders>
                  <w:noWrap w:val="0"/>
                  <w:vAlign w:val="center"/>
                </w:tcPr>
                <w:p w14:paraId="7DE1C9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r>
                    <w:rPr>
                      <w:rFonts w:hint="default" w:ascii="Times New Roman" w:hAnsi="Times New Roman" w:eastAsia="仿宋" w:cs="Times New Roman"/>
                      <w:b w:val="0"/>
                      <w:bCs/>
                      <w:color w:val="auto"/>
                      <w:sz w:val="21"/>
                      <w:szCs w:val="21"/>
                      <w:highlight w:val="none"/>
                      <w:lang w:val="en-US" w:eastAsia="zh-CN"/>
                    </w:rPr>
                    <w:t>W2建设区流场下游</w:t>
                  </w:r>
                </w:p>
              </w:tc>
              <w:tc>
                <w:tcPr>
                  <w:tcW w:w="527" w:type="pct"/>
                  <w:vMerge w:val="continue"/>
                  <w:tcBorders>
                    <w:tl2br w:val="nil"/>
                    <w:tr2bl w:val="nil"/>
                  </w:tcBorders>
                  <w:noWrap w:val="0"/>
                  <w:vAlign w:val="center"/>
                </w:tcPr>
                <w:p w14:paraId="09CD11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p>
              </w:tc>
            </w:tr>
            <w:tr w14:paraId="22722EB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restart"/>
                  <w:tcBorders>
                    <w:tl2br w:val="nil"/>
                    <w:tr2bl w:val="nil"/>
                  </w:tcBorders>
                  <w:noWrap w:val="0"/>
                  <w:vAlign w:val="center"/>
                </w:tcPr>
                <w:p w14:paraId="0C7B9C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20</w:t>
                  </w:r>
                  <w:r>
                    <w:rPr>
                      <w:rFonts w:hint="eastAsia" w:ascii="Times New Roman" w:hAnsi="Times New Roman" w:eastAsia="仿宋" w:cs="Times New Roman"/>
                      <w:b w:val="0"/>
                      <w:bCs/>
                      <w:color w:val="auto"/>
                      <w:sz w:val="21"/>
                      <w:szCs w:val="21"/>
                      <w:highlight w:val="none"/>
                      <w:lang w:val="en-US" w:eastAsia="zh-CN"/>
                    </w:rPr>
                    <w:t>24</w:t>
                  </w:r>
                  <w:r>
                    <w:rPr>
                      <w:rFonts w:hint="default" w:ascii="Times New Roman" w:hAnsi="Times New Roman" w:eastAsia="仿宋" w:cs="Times New Roman"/>
                      <w:b w:val="0"/>
                      <w:bCs/>
                      <w:color w:val="auto"/>
                      <w:sz w:val="21"/>
                      <w:szCs w:val="21"/>
                      <w:highlight w:val="none"/>
                      <w:lang w:val="en-US" w:eastAsia="zh-CN"/>
                    </w:rPr>
                    <w:t>年</w:t>
                  </w:r>
                </w:p>
                <w:p w14:paraId="2EC457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r>
                    <w:rPr>
                      <w:rFonts w:hint="eastAsia" w:ascii="Times New Roman" w:hAnsi="Times New Roman" w:eastAsia="仿宋" w:cs="Times New Roman"/>
                      <w:b w:val="0"/>
                      <w:bCs/>
                      <w:color w:val="auto"/>
                      <w:sz w:val="21"/>
                      <w:szCs w:val="21"/>
                      <w:highlight w:val="none"/>
                      <w:lang w:val="en-US" w:eastAsia="zh-CN"/>
                    </w:rPr>
                    <w:t>10</w:t>
                  </w:r>
                  <w:r>
                    <w:rPr>
                      <w:rFonts w:hint="default" w:ascii="Times New Roman" w:hAnsi="Times New Roman" w:eastAsia="仿宋" w:cs="Times New Roman"/>
                      <w:b w:val="0"/>
                      <w:bCs/>
                      <w:color w:val="auto"/>
                      <w:sz w:val="21"/>
                      <w:szCs w:val="21"/>
                      <w:highlight w:val="none"/>
                      <w:lang w:val="en-US" w:eastAsia="zh-CN"/>
                    </w:rPr>
                    <w:t>月</w:t>
                  </w:r>
                  <w:r>
                    <w:rPr>
                      <w:rFonts w:hint="eastAsia" w:ascii="Times New Roman" w:hAnsi="Times New Roman" w:eastAsia="仿宋" w:cs="Times New Roman"/>
                      <w:b w:val="0"/>
                      <w:bCs/>
                      <w:color w:val="auto"/>
                      <w:sz w:val="21"/>
                      <w:szCs w:val="21"/>
                      <w:highlight w:val="none"/>
                      <w:lang w:val="en-US" w:eastAsia="zh-CN"/>
                    </w:rPr>
                    <w:t>12</w:t>
                  </w:r>
                  <w:r>
                    <w:rPr>
                      <w:rFonts w:hint="default" w:ascii="Times New Roman" w:hAnsi="Times New Roman" w:eastAsia="仿宋" w:cs="Times New Roman"/>
                      <w:b w:val="0"/>
                      <w:bCs/>
                      <w:color w:val="auto"/>
                      <w:sz w:val="21"/>
                      <w:szCs w:val="21"/>
                      <w:highlight w:val="none"/>
                      <w:lang w:val="en-US" w:eastAsia="zh-CN"/>
                    </w:rPr>
                    <w:t>日</w:t>
                  </w:r>
                </w:p>
              </w:tc>
              <w:tc>
                <w:tcPr>
                  <w:tcW w:w="762" w:type="pct"/>
                  <w:tcBorders>
                    <w:tl2br w:val="nil"/>
                    <w:tr2bl w:val="nil"/>
                  </w:tcBorders>
                  <w:noWrap w:val="0"/>
                  <w:vAlign w:val="center"/>
                </w:tcPr>
                <w:p w14:paraId="17C7B9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rPr>
                    <w:t>pH</w:t>
                  </w:r>
                  <w:r>
                    <w:rPr>
                      <w:rFonts w:hint="default" w:ascii="Times New Roman" w:hAnsi="Times New Roman" w:eastAsia="仿宋" w:cs="Times New Roman"/>
                      <w:b w:val="0"/>
                      <w:bCs/>
                      <w:color w:val="auto"/>
                      <w:sz w:val="21"/>
                      <w:szCs w:val="21"/>
                      <w:highlight w:val="none"/>
                      <w:lang w:eastAsia="zh-CN"/>
                    </w:rPr>
                    <w:t>值</w:t>
                  </w:r>
                  <w:r>
                    <w:rPr>
                      <w:rFonts w:hint="default" w:ascii="Times New Roman" w:hAnsi="Times New Roman" w:eastAsia="仿宋" w:cs="Times New Roman"/>
                      <w:b w:val="0"/>
                      <w:bCs/>
                      <w:color w:val="auto"/>
                      <w:sz w:val="21"/>
                      <w:szCs w:val="21"/>
                      <w:highlight w:val="none"/>
                      <w:lang w:val="en-US" w:eastAsia="zh-CN"/>
                    </w:rPr>
                    <w:t>（无量纲）</w:t>
                  </w:r>
                </w:p>
              </w:tc>
              <w:tc>
                <w:tcPr>
                  <w:tcW w:w="778" w:type="pct"/>
                  <w:tcBorders>
                    <w:tl2br w:val="nil"/>
                    <w:tr2bl w:val="nil"/>
                  </w:tcBorders>
                  <w:noWrap w:val="0"/>
                  <w:vAlign w:val="center"/>
                </w:tcPr>
                <w:p w14:paraId="323F84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7.7</w:t>
                  </w:r>
                </w:p>
              </w:tc>
              <w:tc>
                <w:tcPr>
                  <w:tcW w:w="778" w:type="pct"/>
                  <w:tcBorders>
                    <w:tl2br w:val="nil"/>
                    <w:tr2bl w:val="nil"/>
                  </w:tcBorders>
                  <w:noWrap w:val="0"/>
                  <w:vAlign w:val="center"/>
                </w:tcPr>
                <w:p w14:paraId="12E35D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7.6</w:t>
                  </w:r>
                </w:p>
              </w:tc>
              <w:tc>
                <w:tcPr>
                  <w:tcW w:w="778" w:type="pct"/>
                  <w:gridSpan w:val="2"/>
                  <w:tcBorders>
                    <w:tl2br w:val="nil"/>
                    <w:tr2bl w:val="nil"/>
                  </w:tcBorders>
                  <w:noWrap w:val="0"/>
                  <w:vAlign w:val="center"/>
                </w:tcPr>
                <w:p w14:paraId="4298C9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7.5</w:t>
                  </w:r>
                </w:p>
              </w:tc>
              <w:tc>
                <w:tcPr>
                  <w:tcW w:w="780" w:type="pct"/>
                  <w:tcBorders>
                    <w:tl2br w:val="nil"/>
                    <w:tr2bl w:val="nil"/>
                  </w:tcBorders>
                  <w:noWrap w:val="0"/>
                  <w:vAlign w:val="center"/>
                </w:tcPr>
                <w:p w14:paraId="19DE97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7.4</w:t>
                  </w:r>
                </w:p>
              </w:tc>
              <w:tc>
                <w:tcPr>
                  <w:tcW w:w="527" w:type="pct"/>
                  <w:tcBorders>
                    <w:tl2br w:val="nil"/>
                    <w:tr2bl w:val="nil"/>
                  </w:tcBorders>
                  <w:noWrap w:val="0"/>
                  <w:vAlign w:val="center"/>
                </w:tcPr>
                <w:p w14:paraId="7266A0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6～9</w:t>
                  </w:r>
                </w:p>
              </w:tc>
            </w:tr>
            <w:tr w14:paraId="18145A0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1590D9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45D31C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r>
                    <w:rPr>
                      <w:rFonts w:hint="default" w:ascii="Times New Roman" w:hAnsi="Times New Roman" w:eastAsia="仿宋" w:cs="Times New Roman"/>
                      <w:b w:val="0"/>
                      <w:bCs/>
                      <w:color w:val="auto"/>
                      <w:sz w:val="21"/>
                      <w:szCs w:val="21"/>
                      <w:highlight w:val="none"/>
                      <w:lang w:eastAsia="zh-CN"/>
                    </w:rPr>
                    <w:t>化学需氧量</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219EB1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14</w:t>
                  </w:r>
                </w:p>
              </w:tc>
              <w:tc>
                <w:tcPr>
                  <w:tcW w:w="778" w:type="pct"/>
                  <w:tcBorders>
                    <w:tl2br w:val="nil"/>
                    <w:tr2bl w:val="nil"/>
                  </w:tcBorders>
                  <w:noWrap w:val="0"/>
                  <w:vAlign w:val="center"/>
                </w:tcPr>
                <w:p w14:paraId="7E4374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15</w:t>
                  </w:r>
                </w:p>
              </w:tc>
              <w:tc>
                <w:tcPr>
                  <w:tcW w:w="778" w:type="pct"/>
                  <w:gridSpan w:val="2"/>
                  <w:tcBorders>
                    <w:tl2br w:val="nil"/>
                    <w:tr2bl w:val="nil"/>
                  </w:tcBorders>
                  <w:noWrap w:val="0"/>
                  <w:vAlign w:val="center"/>
                </w:tcPr>
                <w:p w14:paraId="1CC16D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15</w:t>
                  </w:r>
                </w:p>
              </w:tc>
              <w:tc>
                <w:tcPr>
                  <w:tcW w:w="780" w:type="pct"/>
                  <w:tcBorders>
                    <w:tl2br w:val="nil"/>
                    <w:tr2bl w:val="nil"/>
                  </w:tcBorders>
                  <w:noWrap w:val="0"/>
                  <w:vAlign w:val="center"/>
                </w:tcPr>
                <w:p w14:paraId="6FC6C7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31</w:t>
                  </w:r>
                </w:p>
              </w:tc>
              <w:tc>
                <w:tcPr>
                  <w:tcW w:w="527" w:type="pct"/>
                  <w:tcBorders>
                    <w:tl2br w:val="nil"/>
                    <w:tr2bl w:val="nil"/>
                  </w:tcBorders>
                  <w:noWrap w:val="0"/>
                  <w:vAlign w:val="center"/>
                </w:tcPr>
                <w:p w14:paraId="4D9825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w:t>
                  </w:r>
                  <w:r>
                    <w:rPr>
                      <w:rFonts w:hint="eastAsia" w:ascii="Times New Roman" w:hAnsi="Times New Roman" w:eastAsia="仿宋" w:cs="Times New Roman"/>
                      <w:b w:val="0"/>
                      <w:bCs/>
                      <w:color w:val="auto"/>
                      <w:sz w:val="21"/>
                      <w:szCs w:val="21"/>
                      <w:highlight w:val="none"/>
                      <w:lang w:val="en-US" w:eastAsia="zh-CN"/>
                    </w:rPr>
                    <w:t>20</w:t>
                  </w:r>
                </w:p>
              </w:tc>
            </w:tr>
            <w:tr w14:paraId="3571B84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3BEE25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45F6CC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r>
                    <w:rPr>
                      <w:rFonts w:hint="eastAsia" w:ascii="Times New Roman" w:hAnsi="Times New Roman" w:eastAsia="仿宋" w:cs="Times New Roman"/>
                      <w:b w:val="0"/>
                      <w:bCs/>
                      <w:color w:val="auto"/>
                      <w:sz w:val="21"/>
                      <w:szCs w:val="21"/>
                      <w:highlight w:val="none"/>
                      <w:lang w:val="en-US" w:eastAsia="zh-CN"/>
                    </w:rPr>
                    <w:t>悬浮物</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620FC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12</w:t>
                  </w:r>
                </w:p>
              </w:tc>
              <w:tc>
                <w:tcPr>
                  <w:tcW w:w="778" w:type="pct"/>
                  <w:tcBorders>
                    <w:tl2br w:val="nil"/>
                    <w:tr2bl w:val="nil"/>
                  </w:tcBorders>
                  <w:noWrap w:val="0"/>
                  <w:vAlign w:val="center"/>
                </w:tcPr>
                <w:p w14:paraId="187D4B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14</w:t>
                  </w:r>
                </w:p>
              </w:tc>
              <w:tc>
                <w:tcPr>
                  <w:tcW w:w="778" w:type="pct"/>
                  <w:gridSpan w:val="2"/>
                  <w:tcBorders>
                    <w:tl2br w:val="nil"/>
                    <w:tr2bl w:val="nil"/>
                  </w:tcBorders>
                  <w:noWrap w:val="0"/>
                  <w:vAlign w:val="center"/>
                </w:tcPr>
                <w:p w14:paraId="1EF997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8</w:t>
                  </w:r>
                </w:p>
              </w:tc>
              <w:tc>
                <w:tcPr>
                  <w:tcW w:w="780" w:type="pct"/>
                  <w:tcBorders>
                    <w:tl2br w:val="nil"/>
                    <w:tr2bl w:val="nil"/>
                  </w:tcBorders>
                  <w:noWrap w:val="0"/>
                  <w:vAlign w:val="center"/>
                </w:tcPr>
                <w:p w14:paraId="143696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9</w:t>
                  </w:r>
                </w:p>
              </w:tc>
              <w:tc>
                <w:tcPr>
                  <w:tcW w:w="527" w:type="pct"/>
                  <w:tcBorders>
                    <w:tl2br w:val="nil"/>
                    <w:tr2bl w:val="nil"/>
                  </w:tcBorders>
                  <w:noWrap w:val="0"/>
                  <w:vAlign w:val="center"/>
                </w:tcPr>
                <w:p w14:paraId="45C4CA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w:t>
                  </w:r>
                  <w:r>
                    <w:rPr>
                      <w:rFonts w:hint="eastAsia" w:ascii="Times New Roman" w:hAnsi="Times New Roman" w:eastAsia="仿宋" w:cs="Times New Roman"/>
                      <w:b w:val="0"/>
                      <w:bCs/>
                      <w:color w:val="auto"/>
                      <w:sz w:val="21"/>
                      <w:szCs w:val="21"/>
                      <w:highlight w:val="none"/>
                      <w:lang w:val="en-US" w:eastAsia="zh-CN"/>
                    </w:rPr>
                    <w:t>15</w:t>
                  </w:r>
                </w:p>
              </w:tc>
            </w:tr>
            <w:tr w14:paraId="3B6DB9A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5BCEFD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1D5073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rPr>
                    <w:t>氨氮</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460FAC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0.357</w:t>
                  </w:r>
                </w:p>
              </w:tc>
              <w:tc>
                <w:tcPr>
                  <w:tcW w:w="778" w:type="pct"/>
                  <w:tcBorders>
                    <w:tl2br w:val="nil"/>
                    <w:tr2bl w:val="nil"/>
                  </w:tcBorders>
                  <w:noWrap w:val="0"/>
                  <w:vAlign w:val="center"/>
                </w:tcPr>
                <w:p w14:paraId="3015CA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0.417</w:t>
                  </w:r>
                </w:p>
              </w:tc>
              <w:tc>
                <w:tcPr>
                  <w:tcW w:w="778" w:type="pct"/>
                  <w:gridSpan w:val="2"/>
                  <w:tcBorders>
                    <w:tl2br w:val="nil"/>
                    <w:tr2bl w:val="nil"/>
                  </w:tcBorders>
                  <w:noWrap w:val="0"/>
                  <w:vAlign w:val="center"/>
                </w:tcPr>
                <w:p w14:paraId="765F61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0.184</w:t>
                  </w:r>
                </w:p>
              </w:tc>
              <w:tc>
                <w:tcPr>
                  <w:tcW w:w="780" w:type="pct"/>
                  <w:tcBorders>
                    <w:tl2br w:val="nil"/>
                    <w:tr2bl w:val="nil"/>
                  </w:tcBorders>
                  <w:noWrap w:val="0"/>
                  <w:vAlign w:val="center"/>
                </w:tcPr>
                <w:p w14:paraId="6084F1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1.01</w:t>
                  </w:r>
                </w:p>
              </w:tc>
              <w:tc>
                <w:tcPr>
                  <w:tcW w:w="527" w:type="pct"/>
                  <w:tcBorders>
                    <w:tl2br w:val="nil"/>
                    <w:tr2bl w:val="nil"/>
                  </w:tcBorders>
                  <w:noWrap w:val="0"/>
                  <w:vAlign w:val="center"/>
                </w:tcPr>
                <w:p w14:paraId="6DCD43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w:t>
                  </w:r>
                  <w:r>
                    <w:rPr>
                      <w:rFonts w:hint="eastAsia" w:ascii="Times New Roman" w:hAnsi="Times New Roman" w:eastAsia="仿宋" w:cs="Times New Roman"/>
                      <w:b w:val="0"/>
                      <w:bCs/>
                      <w:color w:val="auto"/>
                      <w:sz w:val="21"/>
                      <w:szCs w:val="21"/>
                      <w:highlight w:val="none"/>
                      <w:lang w:val="en-US" w:eastAsia="zh-CN"/>
                    </w:rPr>
                    <w:t>1.0</w:t>
                  </w:r>
                </w:p>
              </w:tc>
            </w:tr>
            <w:tr w14:paraId="60D8686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0960AD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287311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eastAsia="zh-CN"/>
                    </w:rPr>
                  </w:pPr>
                  <w:r>
                    <w:rPr>
                      <w:rFonts w:hint="default" w:ascii="Times New Roman" w:hAnsi="Times New Roman" w:eastAsia="仿宋" w:cs="Times New Roman"/>
                      <w:b w:val="0"/>
                      <w:bCs/>
                      <w:color w:val="auto"/>
                      <w:sz w:val="21"/>
                      <w:szCs w:val="21"/>
                      <w:highlight w:val="none"/>
                    </w:rPr>
                    <w:t>总磷</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2D9CB9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0.08</w:t>
                  </w:r>
                </w:p>
              </w:tc>
              <w:tc>
                <w:tcPr>
                  <w:tcW w:w="778" w:type="pct"/>
                  <w:tcBorders>
                    <w:tl2br w:val="nil"/>
                    <w:tr2bl w:val="nil"/>
                  </w:tcBorders>
                  <w:noWrap w:val="0"/>
                  <w:vAlign w:val="center"/>
                </w:tcPr>
                <w:p w14:paraId="1C9273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0.12</w:t>
                  </w:r>
                </w:p>
              </w:tc>
              <w:tc>
                <w:tcPr>
                  <w:tcW w:w="778" w:type="pct"/>
                  <w:gridSpan w:val="2"/>
                  <w:tcBorders>
                    <w:tl2br w:val="nil"/>
                    <w:tr2bl w:val="nil"/>
                  </w:tcBorders>
                  <w:noWrap w:val="0"/>
                  <w:vAlign w:val="center"/>
                </w:tcPr>
                <w:p w14:paraId="362BAD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0.05</w:t>
                  </w:r>
                </w:p>
              </w:tc>
              <w:tc>
                <w:tcPr>
                  <w:tcW w:w="780" w:type="pct"/>
                  <w:tcBorders>
                    <w:tl2br w:val="nil"/>
                    <w:tr2bl w:val="nil"/>
                  </w:tcBorders>
                  <w:noWrap w:val="0"/>
                  <w:vAlign w:val="center"/>
                </w:tcPr>
                <w:p w14:paraId="4465C1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0.14</w:t>
                  </w:r>
                </w:p>
              </w:tc>
              <w:tc>
                <w:tcPr>
                  <w:tcW w:w="527" w:type="pct"/>
                  <w:tcBorders>
                    <w:tl2br w:val="nil"/>
                    <w:tr2bl w:val="nil"/>
                  </w:tcBorders>
                  <w:noWrap w:val="0"/>
                  <w:vAlign w:val="center"/>
                </w:tcPr>
                <w:p w14:paraId="0DB201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≤0.</w:t>
                  </w:r>
                  <w:r>
                    <w:rPr>
                      <w:rFonts w:hint="eastAsia" w:eastAsia="仿宋" w:cs="Times New Roman"/>
                      <w:b w:val="0"/>
                      <w:bCs/>
                      <w:color w:val="auto"/>
                      <w:sz w:val="21"/>
                      <w:szCs w:val="21"/>
                      <w:highlight w:val="none"/>
                      <w:lang w:val="en-US" w:eastAsia="zh-CN"/>
                    </w:rPr>
                    <w:t>05</w:t>
                  </w:r>
                </w:p>
              </w:tc>
            </w:tr>
            <w:tr w14:paraId="207A9D1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restart"/>
                  <w:tcBorders>
                    <w:tl2br w:val="nil"/>
                    <w:tr2bl w:val="nil"/>
                  </w:tcBorders>
                  <w:noWrap w:val="0"/>
                  <w:vAlign w:val="center"/>
                </w:tcPr>
                <w:p w14:paraId="41EAF6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20</w:t>
                  </w:r>
                  <w:r>
                    <w:rPr>
                      <w:rFonts w:hint="eastAsia" w:ascii="Times New Roman" w:hAnsi="Times New Roman" w:eastAsia="仿宋" w:cs="Times New Roman"/>
                      <w:b w:val="0"/>
                      <w:bCs/>
                      <w:color w:val="auto"/>
                      <w:sz w:val="21"/>
                      <w:szCs w:val="21"/>
                      <w:highlight w:val="none"/>
                      <w:lang w:val="en-US" w:eastAsia="zh-CN"/>
                    </w:rPr>
                    <w:t>24</w:t>
                  </w:r>
                  <w:r>
                    <w:rPr>
                      <w:rFonts w:hint="default" w:ascii="Times New Roman" w:hAnsi="Times New Roman" w:eastAsia="仿宋" w:cs="Times New Roman"/>
                      <w:b w:val="0"/>
                      <w:bCs/>
                      <w:color w:val="auto"/>
                      <w:sz w:val="21"/>
                      <w:szCs w:val="21"/>
                      <w:highlight w:val="none"/>
                      <w:lang w:val="en-US" w:eastAsia="zh-CN"/>
                    </w:rPr>
                    <w:t>年</w:t>
                  </w:r>
                </w:p>
                <w:p w14:paraId="0FC7C0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r>
                    <w:rPr>
                      <w:rFonts w:hint="eastAsia" w:ascii="Times New Roman" w:hAnsi="Times New Roman" w:eastAsia="仿宋" w:cs="Times New Roman"/>
                      <w:b w:val="0"/>
                      <w:bCs/>
                      <w:color w:val="auto"/>
                      <w:sz w:val="21"/>
                      <w:szCs w:val="21"/>
                      <w:highlight w:val="none"/>
                      <w:lang w:val="en-US" w:eastAsia="zh-CN"/>
                    </w:rPr>
                    <w:t>10</w:t>
                  </w:r>
                  <w:r>
                    <w:rPr>
                      <w:rFonts w:hint="default" w:ascii="Times New Roman" w:hAnsi="Times New Roman" w:eastAsia="仿宋" w:cs="Times New Roman"/>
                      <w:b w:val="0"/>
                      <w:bCs/>
                      <w:color w:val="auto"/>
                      <w:sz w:val="21"/>
                      <w:szCs w:val="21"/>
                      <w:highlight w:val="none"/>
                      <w:lang w:val="en-US" w:eastAsia="zh-CN"/>
                    </w:rPr>
                    <w:t>月</w:t>
                  </w:r>
                  <w:r>
                    <w:rPr>
                      <w:rFonts w:hint="eastAsia" w:ascii="Times New Roman" w:hAnsi="Times New Roman" w:eastAsia="仿宋" w:cs="Times New Roman"/>
                      <w:b w:val="0"/>
                      <w:bCs/>
                      <w:color w:val="auto"/>
                      <w:sz w:val="21"/>
                      <w:szCs w:val="21"/>
                      <w:highlight w:val="none"/>
                      <w:lang w:val="en-US" w:eastAsia="zh-CN"/>
                    </w:rPr>
                    <w:t>13</w:t>
                  </w:r>
                  <w:r>
                    <w:rPr>
                      <w:rFonts w:hint="default" w:ascii="Times New Roman" w:hAnsi="Times New Roman" w:eastAsia="仿宋" w:cs="Times New Roman"/>
                      <w:b w:val="0"/>
                      <w:bCs/>
                      <w:color w:val="auto"/>
                      <w:sz w:val="21"/>
                      <w:szCs w:val="21"/>
                      <w:highlight w:val="none"/>
                      <w:lang w:val="en-US" w:eastAsia="zh-CN"/>
                    </w:rPr>
                    <w:t>日</w:t>
                  </w:r>
                </w:p>
              </w:tc>
              <w:tc>
                <w:tcPr>
                  <w:tcW w:w="762" w:type="pct"/>
                  <w:tcBorders>
                    <w:tl2br w:val="nil"/>
                    <w:tr2bl w:val="nil"/>
                  </w:tcBorders>
                  <w:noWrap w:val="0"/>
                  <w:vAlign w:val="center"/>
                </w:tcPr>
                <w:p w14:paraId="6E8CCE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rPr>
                    <w:t>pH</w:t>
                  </w:r>
                  <w:r>
                    <w:rPr>
                      <w:rFonts w:hint="default" w:ascii="Times New Roman" w:hAnsi="Times New Roman" w:eastAsia="仿宋" w:cs="Times New Roman"/>
                      <w:b w:val="0"/>
                      <w:bCs/>
                      <w:color w:val="auto"/>
                      <w:sz w:val="21"/>
                      <w:szCs w:val="21"/>
                      <w:highlight w:val="none"/>
                      <w:lang w:eastAsia="zh-CN"/>
                    </w:rPr>
                    <w:t>值</w:t>
                  </w:r>
                  <w:r>
                    <w:rPr>
                      <w:rFonts w:hint="default" w:ascii="Times New Roman" w:hAnsi="Times New Roman" w:eastAsia="仿宋" w:cs="Times New Roman"/>
                      <w:b w:val="0"/>
                      <w:bCs/>
                      <w:color w:val="auto"/>
                      <w:sz w:val="21"/>
                      <w:szCs w:val="21"/>
                      <w:highlight w:val="none"/>
                      <w:lang w:val="en-US" w:eastAsia="zh-CN"/>
                    </w:rPr>
                    <w:t>（无量纲）</w:t>
                  </w:r>
                </w:p>
              </w:tc>
              <w:tc>
                <w:tcPr>
                  <w:tcW w:w="778" w:type="pct"/>
                  <w:tcBorders>
                    <w:tl2br w:val="nil"/>
                    <w:tr2bl w:val="nil"/>
                  </w:tcBorders>
                  <w:noWrap w:val="0"/>
                  <w:vAlign w:val="center"/>
                </w:tcPr>
                <w:p w14:paraId="599513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7.6</w:t>
                  </w:r>
                </w:p>
              </w:tc>
              <w:tc>
                <w:tcPr>
                  <w:tcW w:w="778" w:type="pct"/>
                  <w:tcBorders>
                    <w:tl2br w:val="nil"/>
                    <w:tr2bl w:val="nil"/>
                  </w:tcBorders>
                  <w:noWrap w:val="0"/>
                  <w:vAlign w:val="center"/>
                </w:tcPr>
                <w:p w14:paraId="63D881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7.5</w:t>
                  </w:r>
                </w:p>
              </w:tc>
              <w:tc>
                <w:tcPr>
                  <w:tcW w:w="778" w:type="pct"/>
                  <w:gridSpan w:val="2"/>
                  <w:tcBorders>
                    <w:tl2br w:val="nil"/>
                    <w:tr2bl w:val="nil"/>
                  </w:tcBorders>
                  <w:noWrap w:val="0"/>
                  <w:vAlign w:val="center"/>
                </w:tcPr>
                <w:p w14:paraId="464FED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7.5</w:t>
                  </w:r>
                </w:p>
              </w:tc>
              <w:tc>
                <w:tcPr>
                  <w:tcW w:w="780" w:type="pct"/>
                  <w:tcBorders>
                    <w:tl2br w:val="nil"/>
                    <w:tr2bl w:val="nil"/>
                  </w:tcBorders>
                  <w:noWrap w:val="0"/>
                  <w:vAlign w:val="center"/>
                </w:tcPr>
                <w:p w14:paraId="54965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7.4</w:t>
                  </w:r>
                </w:p>
              </w:tc>
              <w:tc>
                <w:tcPr>
                  <w:tcW w:w="958" w:type="dxa"/>
                  <w:tcBorders>
                    <w:tl2br w:val="nil"/>
                    <w:tr2bl w:val="nil"/>
                  </w:tcBorders>
                  <w:noWrap w:val="0"/>
                  <w:vAlign w:val="center"/>
                </w:tcPr>
                <w:p w14:paraId="651E39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6～9</w:t>
                  </w:r>
                </w:p>
              </w:tc>
            </w:tr>
            <w:tr w14:paraId="6543E11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1D8673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406AD0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eastAsia="zh-CN"/>
                    </w:rPr>
                    <w:t>化学需氧量</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63028B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14</w:t>
                  </w:r>
                </w:p>
              </w:tc>
              <w:tc>
                <w:tcPr>
                  <w:tcW w:w="778" w:type="pct"/>
                  <w:tcBorders>
                    <w:tl2br w:val="nil"/>
                    <w:tr2bl w:val="nil"/>
                  </w:tcBorders>
                  <w:noWrap w:val="0"/>
                  <w:vAlign w:val="center"/>
                </w:tcPr>
                <w:p w14:paraId="4172A6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15</w:t>
                  </w:r>
                </w:p>
              </w:tc>
              <w:tc>
                <w:tcPr>
                  <w:tcW w:w="778" w:type="pct"/>
                  <w:gridSpan w:val="2"/>
                  <w:tcBorders>
                    <w:tl2br w:val="nil"/>
                    <w:tr2bl w:val="nil"/>
                  </w:tcBorders>
                  <w:noWrap w:val="0"/>
                  <w:vAlign w:val="center"/>
                </w:tcPr>
                <w:p w14:paraId="7E9404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13</w:t>
                  </w:r>
                </w:p>
              </w:tc>
              <w:tc>
                <w:tcPr>
                  <w:tcW w:w="780" w:type="pct"/>
                  <w:tcBorders>
                    <w:tl2br w:val="nil"/>
                    <w:tr2bl w:val="nil"/>
                  </w:tcBorders>
                  <w:noWrap w:val="0"/>
                  <w:vAlign w:val="center"/>
                </w:tcPr>
                <w:p w14:paraId="54965C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20</w:t>
                  </w:r>
                </w:p>
              </w:tc>
              <w:tc>
                <w:tcPr>
                  <w:tcW w:w="958" w:type="dxa"/>
                  <w:tcBorders>
                    <w:tl2br w:val="nil"/>
                    <w:tr2bl w:val="nil"/>
                  </w:tcBorders>
                  <w:noWrap w:val="0"/>
                  <w:vAlign w:val="center"/>
                </w:tcPr>
                <w:p w14:paraId="0C6112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w:t>
                  </w:r>
                  <w:r>
                    <w:rPr>
                      <w:rFonts w:hint="eastAsia" w:ascii="Times New Roman" w:hAnsi="Times New Roman" w:eastAsia="仿宋" w:cs="Times New Roman"/>
                      <w:b w:val="0"/>
                      <w:bCs/>
                      <w:color w:val="auto"/>
                      <w:sz w:val="21"/>
                      <w:szCs w:val="21"/>
                      <w:highlight w:val="none"/>
                      <w:lang w:val="en-US" w:eastAsia="zh-CN"/>
                    </w:rPr>
                    <w:t>20</w:t>
                  </w:r>
                </w:p>
              </w:tc>
            </w:tr>
            <w:tr w14:paraId="6F9920C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0C01D5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46E85F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悬浮物</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5AB8ED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16</w:t>
                  </w:r>
                </w:p>
              </w:tc>
              <w:tc>
                <w:tcPr>
                  <w:tcW w:w="778" w:type="pct"/>
                  <w:tcBorders>
                    <w:tl2br w:val="nil"/>
                    <w:tr2bl w:val="nil"/>
                  </w:tcBorders>
                  <w:noWrap w:val="0"/>
                  <w:vAlign w:val="center"/>
                </w:tcPr>
                <w:p w14:paraId="1F9179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13</w:t>
                  </w:r>
                </w:p>
              </w:tc>
              <w:tc>
                <w:tcPr>
                  <w:tcW w:w="778" w:type="pct"/>
                  <w:gridSpan w:val="2"/>
                  <w:tcBorders>
                    <w:tl2br w:val="nil"/>
                    <w:tr2bl w:val="nil"/>
                  </w:tcBorders>
                  <w:noWrap w:val="0"/>
                  <w:vAlign w:val="center"/>
                </w:tcPr>
                <w:p w14:paraId="389AC1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6</w:t>
                  </w:r>
                </w:p>
              </w:tc>
              <w:tc>
                <w:tcPr>
                  <w:tcW w:w="780" w:type="pct"/>
                  <w:tcBorders>
                    <w:tl2br w:val="nil"/>
                    <w:tr2bl w:val="nil"/>
                  </w:tcBorders>
                  <w:noWrap w:val="0"/>
                  <w:vAlign w:val="center"/>
                </w:tcPr>
                <w:p w14:paraId="1A0C63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8</w:t>
                  </w:r>
                </w:p>
              </w:tc>
              <w:tc>
                <w:tcPr>
                  <w:tcW w:w="958" w:type="dxa"/>
                  <w:tcBorders>
                    <w:tl2br w:val="nil"/>
                    <w:tr2bl w:val="nil"/>
                  </w:tcBorders>
                  <w:noWrap w:val="0"/>
                  <w:vAlign w:val="center"/>
                </w:tcPr>
                <w:p w14:paraId="4494AF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w:t>
                  </w:r>
                  <w:r>
                    <w:rPr>
                      <w:rFonts w:hint="eastAsia" w:ascii="Times New Roman" w:hAnsi="Times New Roman" w:eastAsia="仿宋" w:cs="Times New Roman"/>
                      <w:b w:val="0"/>
                      <w:bCs/>
                      <w:color w:val="auto"/>
                      <w:sz w:val="21"/>
                      <w:szCs w:val="21"/>
                      <w:highlight w:val="none"/>
                      <w:lang w:val="en-US" w:eastAsia="zh-CN"/>
                    </w:rPr>
                    <w:t>15</w:t>
                  </w:r>
                </w:p>
              </w:tc>
            </w:tr>
            <w:tr w14:paraId="2897BB2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067937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021F52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rPr>
                    <w:t>氨氮</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13ADAE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0.391</w:t>
                  </w:r>
                </w:p>
              </w:tc>
              <w:tc>
                <w:tcPr>
                  <w:tcW w:w="778" w:type="pct"/>
                  <w:tcBorders>
                    <w:tl2br w:val="nil"/>
                    <w:tr2bl w:val="nil"/>
                  </w:tcBorders>
                  <w:noWrap w:val="0"/>
                  <w:vAlign w:val="center"/>
                </w:tcPr>
                <w:p w14:paraId="2E27C3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0.397</w:t>
                  </w:r>
                </w:p>
              </w:tc>
              <w:tc>
                <w:tcPr>
                  <w:tcW w:w="778" w:type="pct"/>
                  <w:gridSpan w:val="2"/>
                  <w:tcBorders>
                    <w:tl2br w:val="nil"/>
                    <w:tr2bl w:val="nil"/>
                  </w:tcBorders>
                  <w:noWrap w:val="0"/>
                  <w:vAlign w:val="center"/>
                </w:tcPr>
                <w:p w14:paraId="7F7FD4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0.184</w:t>
                  </w:r>
                </w:p>
              </w:tc>
              <w:tc>
                <w:tcPr>
                  <w:tcW w:w="780" w:type="pct"/>
                  <w:tcBorders>
                    <w:tl2br w:val="nil"/>
                    <w:tr2bl w:val="nil"/>
                  </w:tcBorders>
                  <w:noWrap w:val="0"/>
                  <w:vAlign w:val="center"/>
                </w:tcPr>
                <w:p w14:paraId="5CCC46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0.128</w:t>
                  </w:r>
                </w:p>
              </w:tc>
              <w:tc>
                <w:tcPr>
                  <w:tcW w:w="958" w:type="dxa"/>
                  <w:tcBorders>
                    <w:tl2br w:val="nil"/>
                    <w:tr2bl w:val="nil"/>
                  </w:tcBorders>
                  <w:noWrap w:val="0"/>
                  <w:vAlign w:val="center"/>
                </w:tcPr>
                <w:p w14:paraId="5D8CC3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w:t>
                  </w:r>
                  <w:r>
                    <w:rPr>
                      <w:rFonts w:hint="eastAsia" w:ascii="Times New Roman" w:hAnsi="Times New Roman" w:eastAsia="仿宋" w:cs="Times New Roman"/>
                      <w:b w:val="0"/>
                      <w:bCs/>
                      <w:color w:val="auto"/>
                      <w:sz w:val="21"/>
                      <w:szCs w:val="21"/>
                      <w:highlight w:val="none"/>
                      <w:lang w:val="en-US" w:eastAsia="zh-CN"/>
                    </w:rPr>
                    <w:t>1.0</w:t>
                  </w:r>
                </w:p>
              </w:tc>
            </w:tr>
            <w:tr w14:paraId="4721AF3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146CC0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40493E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rPr>
                    <w:t>总磷</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60631C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0.14</w:t>
                  </w:r>
                </w:p>
              </w:tc>
              <w:tc>
                <w:tcPr>
                  <w:tcW w:w="778" w:type="pct"/>
                  <w:tcBorders>
                    <w:tl2br w:val="nil"/>
                    <w:tr2bl w:val="nil"/>
                  </w:tcBorders>
                  <w:noWrap w:val="0"/>
                  <w:vAlign w:val="center"/>
                </w:tcPr>
                <w:p w14:paraId="687C50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0.12</w:t>
                  </w:r>
                </w:p>
              </w:tc>
              <w:tc>
                <w:tcPr>
                  <w:tcW w:w="778" w:type="pct"/>
                  <w:gridSpan w:val="2"/>
                  <w:tcBorders>
                    <w:tl2br w:val="nil"/>
                    <w:tr2bl w:val="nil"/>
                  </w:tcBorders>
                  <w:noWrap w:val="0"/>
                  <w:vAlign w:val="center"/>
                </w:tcPr>
                <w:p w14:paraId="6525C9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0.04</w:t>
                  </w:r>
                </w:p>
              </w:tc>
              <w:tc>
                <w:tcPr>
                  <w:tcW w:w="780" w:type="pct"/>
                  <w:tcBorders>
                    <w:tl2br w:val="nil"/>
                    <w:tr2bl w:val="nil"/>
                  </w:tcBorders>
                  <w:noWrap w:val="0"/>
                  <w:vAlign w:val="center"/>
                </w:tcPr>
                <w:p w14:paraId="727ADD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0.04</w:t>
                  </w:r>
                </w:p>
              </w:tc>
              <w:tc>
                <w:tcPr>
                  <w:tcW w:w="958" w:type="dxa"/>
                  <w:tcBorders>
                    <w:tl2br w:val="nil"/>
                    <w:tr2bl w:val="nil"/>
                  </w:tcBorders>
                  <w:noWrap w:val="0"/>
                  <w:vAlign w:val="center"/>
                </w:tcPr>
                <w:p w14:paraId="1E53F5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≤0.</w:t>
                  </w:r>
                  <w:r>
                    <w:rPr>
                      <w:rFonts w:hint="eastAsia" w:eastAsia="仿宋" w:cs="Times New Roman"/>
                      <w:b w:val="0"/>
                      <w:bCs/>
                      <w:color w:val="auto"/>
                      <w:sz w:val="21"/>
                      <w:szCs w:val="21"/>
                      <w:highlight w:val="none"/>
                      <w:lang w:val="en-US" w:eastAsia="zh-CN"/>
                    </w:rPr>
                    <w:t>05</w:t>
                  </w:r>
                </w:p>
              </w:tc>
            </w:tr>
            <w:tr w14:paraId="413F135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restart"/>
                  <w:tcBorders>
                    <w:tl2br w:val="nil"/>
                    <w:tr2bl w:val="nil"/>
                  </w:tcBorders>
                  <w:noWrap w:val="0"/>
                  <w:vAlign w:val="center"/>
                </w:tcPr>
                <w:p w14:paraId="3281E3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20</w:t>
                  </w:r>
                  <w:r>
                    <w:rPr>
                      <w:rFonts w:hint="eastAsia" w:ascii="Times New Roman" w:hAnsi="Times New Roman" w:eastAsia="仿宋" w:cs="Times New Roman"/>
                      <w:b w:val="0"/>
                      <w:bCs/>
                      <w:color w:val="auto"/>
                      <w:sz w:val="21"/>
                      <w:szCs w:val="21"/>
                      <w:highlight w:val="none"/>
                      <w:lang w:val="en-US" w:eastAsia="zh-CN"/>
                    </w:rPr>
                    <w:t>24</w:t>
                  </w:r>
                  <w:r>
                    <w:rPr>
                      <w:rFonts w:hint="default" w:ascii="Times New Roman" w:hAnsi="Times New Roman" w:eastAsia="仿宋" w:cs="Times New Roman"/>
                      <w:b w:val="0"/>
                      <w:bCs/>
                      <w:color w:val="auto"/>
                      <w:sz w:val="21"/>
                      <w:szCs w:val="21"/>
                      <w:highlight w:val="none"/>
                      <w:lang w:val="en-US" w:eastAsia="zh-CN"/>
                    </w:rPr>
                    <w:t>年</w:t>
                  </w:r>
                </w:p>
                <w:p w14:paraId="0E5310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r>
                    <w:rPr>
                      <w:rFonts w:hint="eastAsia" w:ascii="Times New Roman" w:hAnsi="Times New Roman" w:eastAsia="仿宋" w:cs="Times New Roman"/>
                      <w:b w:val="0"/>
                      <w:bCs/>
                      <w:color w:val="auto"/>
                      <w:sz w:val="21"/>
                      <w:szCs w:val="21"/>
                      <w:highlight w:val="none"/>
                      <w:lang w:val="en-US" w:eastAsia="zh-CN"/>
                    </w:rPr>
                    <w:t>10</w:t>
                  </w:r>
                  <w:r>
                    <w:rPr>
                      <w:rFonts w:hint="default" w:ascii="Times New Roman" w:hAnsi="Times New Roman" w:eastAsia="仿宋" w:cs="Times New Roman"/>
                      <w:b w:val="0"/>
                      <w:bCs/>
                      <w:color w:val="auto"/>
                      <w:sz w:val="21"/>
                      <w:szCs w:val="21"/>
                      <w:highlight w:val="none"/>
                      <w:lang w:val="en-US" w:eastAsia="zh-CN"/>
                    </w:rPr>
                    <w:t>月</w:t>
                  </w:r>
                  <w:r>
                    <w:rPr>
                      <w:rFonts w:hint="eastAsia" w:ascii="Times New Roman" w:hAnsi="Times New Roman" w:eastAsia="仿宋" w:cs="Times New Roman"/>
                      <w:b w:val="0"/>
                      <w:bCs/>
                      <w:color w:val="auto"/>
                      <w:sz w:val="21"/>
                      <w:szCs w:val="21"/>
                      <w:highlight w:val="none"/>
                      <w:lang w:val="en-US" w:eastAsia="zh-CN"/>
                    </w:rPr>
                    <w:t>14</w:t>
                  </w:r>
                  <w:r>
                    <w:rPr>
                      <w:rFonts w:hint="default" w:ascii="Times New Roman" w:hAnsi="Times New Roman" w:eastAsia="仿宋" w:cs="Times New Roman"/>
                      <w:b w:val="0"/>
                      <w:bCs/>
                      <w:color w:val="auto"/>
                      <w:sz w:val="21"/>
                      <w:szCs w:val="21"/>
                      <w:highlight w:val="none"/>
                      <w:lang w:val="en-US" w:eastAsia="zh-CN"/>
                    </w:rPr>
                    <w:t>日</w:t>
                  </w:r>
                </w:p>
              </w:tc>
              <w:tc>
                <w:tcPr>
                  <w:tcW w:w="762" w:type="pct"/>
                  <w:tcBorders>
                    <w:tl2br w:val="nil"/>
                    <w:tr2bl w:val="nil"/>
                  </w:tcBorders>
                  <w:noWrap w:val="0"/>
                  <w:vAlign w:val="center"/>
                </w:tcPr>
                <w:p w14:paraId="6BEFEC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rPr>
                    <w:t>pH</w:t>
                  </w:r>
                  <w:r>
                    <w:rPr>
                      <w:rFonts w:hint="default" w:ascii="Times New Roman" w:hAnsi="Times New Roman" w:eastAsia="仿宋" w:cs="Times New Roman"/>
                      <w:b w:val="0"/>
                      <w:bCs/>
                      <w:color w:val="auto"/>
                      <w:sz w:val="21"/>
                      <w:szCs w:val="21"/>
                      <w:highlight w:val="none"/>
                      <w:lang w:eastAsia="zh-CN"/>
                    </w:rPr>
                    <w:t>值</w:t>
                  </w:r>
                  <w:r>
                    <w:rPr>
                      <w:rFonts w:hint="default" w:ascii="Times New Roman" w:hAnsi="Times New Roman" w:eastAsia="仿宋" w:cs="Times New Roman"/>
                      <w:b w:val="0"/>
                      <w:bCs/>
                      <w:color w:val="auto"/>
                      <w:sz w:val="21"/>
                      <w:szCs w:val="21"/>
                      <w:highlight w:val="none"/>
                      <w:lang w:val="en-US" w:eastAsia="zh-CN"/>
                    </w:rPr>
                    <w:t>（无量纲）</w:t>
                  </w:r>
                </w:p>
              </w:tc>
              <w:tc>
                <w:tcPr>
                  <w:tcW w:w="778" w:type="pct"/>
                  <w:tcBorders>
                    <w:tl2br w:val="nil"/>
                    <w:tr2bl w:val="nil"/>
                  </w:tcBorders>
                  <w:noWrap w:val="0"/>
                  <w:vAlign w:val="center"/>
                </w:tcPr>
                <w:p w14:paraId="30E71E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7.5</w:t>
                  </w:r>
                </w:p>
              </w:tc>
              <w:tc>
                <w:tcPr>
                  <w:tcW w:w="778" w:type="pct"/>
                  <w:tcBorders>
                    <w:tl2br w:val="nil"/>
                    <w:tr2bl w:val="nil"/>
                  </w:tcBorders>
                  <w:noWrap w:val="0"/>
                  <w:vAlign w:val="center"/>
                </w:tcPr>
                <w:p w14:paraId="3FC777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7.5</w:t>
                  </w:r>
                </w:p>
              </w:tc>
              <w:tc>
                <w:tcPr>
                  <w:tcW w:w="778" w:type="pct"/>
                  <w:gridSpan w:val="2"/>
                  <w:tcBorders>
                    <w:tl2br w:val="nil"/>
                    <w:tr2bl w:val="nil"/>
                  </w:tcBorders>
                  <w:noWrap w:val="0"/>
                  <w:vAlign w:val="center"/>
                </w:tcPr>
                <w:p w14:paraId="3603FE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7.6</w:t>
                  </w:r>
                </w:p>
              </w:tc>
              <w:tc>
                <w:tcPr>
                  <w:tcW w:w="780" w:type="pct"/>
                  <w:tcBorders>
                    <w:tl2br w:val="nil"/>
                    <w:tr2bl w:val="nil"/>
                  </w:tcBorders>
                  <w:noWrap w:val="0"/>
                  <w:vAlign w:val="center"/>
                </w:tcPr>
                <w:p w14:paraId="717E84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7.6</w:t>
                  </w:r>
                </w:p>
              </w:tc>
              <w:tc>
                <w:tcPr>
                  <w:tcW w:w="958" w:type="dxa"/>
                  <w:tcBorders>
                    <w:tl2br w:val="nil"/>
                    <w:tr2bl w:val="nil"/>
                  </w:tcBorders>
                  <w:noWrap w:val="0"/>
                  <w:vAlign w:val="center"/>
                </w:tcPr>
                <w:p w14:paraId="78967C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6～9</w:t>
                  </w:r>
                </w:p>
              </w:tc>
            </w:tr>
            <w:tr w14:paraId="77F8881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54828C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32A44B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eastAsia="zh-CN"/>
                    </w:rPr>
                    <w:t>化学需氧量</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1E420A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14</w:t>
                  </w:r>
                </w:p>
              </w:tc>
              <w:tc>
                <w:tcPr>
                  <w:tcW w:w="778" w:type="pct"/>
                  <w:tcBorders>
                    <w:tl2br w:val="nil"/>
                    <w:tr2bl w:val="nil"/>
                  </w:tcBorders>
                  <w:noWrap w:val="0"/>
                  <w:vAlign w:val="center"/>
                </w:tcPr>
                <w:p w14:paraId="612D78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13</w:t>
                  </w:r>
                </w:p>
              </w:tc>
              <w:tc>
                <w:tcPr>
                  <w:tcW w:w="778" w:type="pct"/>
                  <w:gridSpan w:val="2"/>
                  <w:tcBorders>
                    <w:tl2br w:val="nil"/>
                    <w:tr2bl w:val="nil"/>
                  </w:tcBorders>
                  <w:noWrap w:val="0"/>
                  <w:vAlign w:val="center"/>
                </w:tcPr>
                <w:p w14:paraId="78AB59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15</w:t>
                  </w:r>
                </w:p>
              </w:tc>
              <w:tc>
                <w:tcPr>
                  <w:tcW w:w="780" w:type="pct"/>
                  <w:tcBorders>
                    <w:tl2br w:val="nil"/>
                    <w:tr2bl w:val="nil"/>
                  </w:tcBorders>
                  <w:noWrap w:val="0"/>
                  <w:vAlign w:val="center"/>
                </w:tcPr>
                <w:p w14:paraId="7F8DD1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18</w:t>
                  </w:r>
                </w:p>
              </w:tc>
              <w:tc>
                <w:tcPr>
                  <w:tcW w:w="958" w:type="dxa"/>
                  <w:tcBorders>
                    <w:tl2br w:val="nil"/>
                    <w:tr2bl w:val="nil"/>
                  </w:tcBorders>
                  <w:noWrap w:val="0"/>
                  <w:vAlign w:val="center"/>
                </w:tcPr>
                <w:p w14:paraId="21AFEF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w:t>
                  </w:r>
                  <w:r>
                    <w:rPr>
                      <w:rFonts w:hint="eastAsia" w:ascii="Times New Roman" w:hAnsi="Times New Roman" w:eastAsia="仿宋" w:cs="Times New Roman"/>
                      <w:b w:val="0"/>
                      <w:bCs/>
                      <w:color w:val="auto"/>
                      <w:sz w:val="21"/>
                      <w:szCs w:val="21"/>
                      <w:highlight w:val="none"/>
                      <w:lang w:val="en-US" w:eastAsia="zh-CN"/>
                    </w:rPr>
                    <w:t>20</w:t>
                  </w:r>
                </w:p>
              </w:tc>
            </w:tr>
            <w:tr w14:paraId="5573E76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404E6D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42D7FC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悬浮物</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209E7F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14</w:t>
                  </w:r>
                </w:p>
              </w:tc>
              <w:tc>
                <w:tcPr>
                  <w:tcW w:w="778" w:type="pct"/>
                  <w:tcBorders>
                    <w:tl2br w:val="nil"/>
                    <w:tr2bl w:val="nil"/>
                  </w:tcBorders>
                  <w:noWrap w:val="0"/>
                  <w:vAlign w:val="center"/>
                </w:tcPr>
                <w:p w14:paraId="469D5B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13</w:t>
                  </w:r>
                </w:p>
              </w:tc>
              <w:tc>
                <w:tcPr>
                  <w:tcW w:w="778" w:type="pct"/>
                  <w:gridSpan w:val="2"/>
                  <w:tcBorders>
                    <w:tl2br w:val="nil"/>
                    <w:tr2bl w:val="nil"/>
                  </w:tcBorders>
                  <w:noWrap w:val="0"/>
                  <w:vAlign w:val="center"/>
                </w:tcPr>
                <w:p w14:paraId="26B7BA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9</w:t>
                  </w:r>
                </w:p>
              </w:tc>
              <w:tc>
                <w:tcPr>
                  <w:tcW w:w="780" w:type="pct"/>
                  <w:tcBorders>
                    <w:tl2br w:val="nil"/>
                    <w:tr2bl w:val="nil"/>
                  </w:tcBorders>
                  <w:noWrap w:val="0"/>
                  <w:vAlign w:val="center"/>
                </w:tcPr>
                <w:p w14:paraId="1454E8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9</w:t>
                  </w:r>
                </w:p>
              </w:tc>
              <w:tc>
                <w:tcPr>
                  <w:tcW w:w="958" w:type="dxa"/>
                  <w:tcBorders>
                    <w:tl2br w:val="nil"/>
                    <w:tr2bl w:val="nil"/>
                  </w:tcBorders>
                  <w:noWrap w:val="0"/>
                  <w:vAlign w:val="center"/>
                </w:tcPr>
                <w:p w14:paraId="5BA9ED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w:t>
                  </w:r>
                  <w:r>
                    <w:rPr>
                      <w:rFonts w:hint="eastAsia" w:ascii="Times New Roman" w:hAnsi="Times New Roman" w:eastAsia="仿宋" w:cs="Times New Roman"/>
                      <w:b w:val="0"/>
                      <w:bCs/>
                      <w:color w:val="auto"/>
                      <w:sz w:val="21"/>
                      <w:szCs w:val="21"/>
                      <w:highlight w:val="none"/>
                      <w:lang w:val="en-US" w:eastAsia="zh-CN"/>
                    </w:rPr>
                    <w:t>15</w:t>
                  </w:r>
                </w:p>
              </w:tc>
            </w:tr>
            <w:tr w14:paraId="6356D1D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29030E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42993B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rPr>
                    <w:t>氨氮</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2D1028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0.390</w:t>
                  </w:r>
                </w:p>
              </w:tc>
              <w:tc>
                <w:tcPr>
                  <w:tcW w:w="778" w:type="pct"/>
                  <w:tcBorders>
                    <w:tl2br w:val="nil"/>
                    <w:tr2bl w:val="nil"/>
                  </w:tcBorders>
                  <w:noWrap w:val="0"/>
                  <w:vAlign w:val="center"/>
                </w:tcPr>
                <w:p w14:paraId="25D5C6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0.451</w:t>
                  </w:r>
                </w:p>
              </w:tc>
              <w:tc>
                <w:tcPr>
                  <w:tcW w:w="778" w:type="pct"/>
                  <w:gridSpan w:val="2"/>
                  <w:tcBorders>
                    <w:tl2br w:val="nil"/>
                    <w:tr2bl w:val="nil"/>
                  </w:tcBorders>
                  <w:noWrap w:val="0"/>
                  <w:vAlign w:val="center"/>
                </w:tcPr>
                <w:p w14:paraId="0D3501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0.177</w:t>
                  </w:r>
                </w:p>
              </w:tc>
              <w:tc>
                <w:tcPr>
                  <w:tcW w:w="780" w:type="pct"/>
                  <w:tcBorders>
                    <w:tl2br w:val="nil"/>
                    <w:tr2bl w:val="nil"/>
                  </w:tcBorders>
                  <w:noWrap w:val="0"/>
                  <w:vAlign w:val="center"/>
                </w:tcPr>
                <w:p w14:paraId="59CFF9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0.174</w:t>
                  </w:r>
                </w:p>
              </w:tc>
              <w:tc>
                <w:tcPr>
                  <w:tcW w:w="958" w:type="dxa"/>
                  <w:tcBorders>
                    <w:tl2br w:val="nil"/>
                    <w:tr2bl w:val="nil"/>
                  </w:tcBorders>
                  <w:noWrap w:val="0"/>
                  <w:vAlign w:val="center"/>
                </w:tcPr>
                <w:p w14:paraId="6569D3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w:t>
                  </w:r>
                  <w:r>
                    <w:rPr>
                      <w:rFonts w:hint="eastAsia" w:ascii="Times New Roman" w:hAnsi="Times New Roman" w:eastAsia="仿宋" w:cs="Times New Roman"/>
                      <w:b w:val="0"/>
                      <w:bCs/>
                      <w:color w:val="auto"/>
                      <w:sz w:val="21"/>
                      <w:szCs w:val="21"/>
                      <w:highlight w:val="none"/>
                      <w:lang w:val="en-US" w:eastAsia="zh-CN"/>
                    </w:rPr>
                    <w:t>1.0</w:t>
                  </w:r>
                </w:p>
              </w:tc>
            </w:tr>
            <w:tr w14:paraId="58B8576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15" w:type="dxa"/>
                  <w:left w:w="15" w:type="dxa"/>
                  <w:bottom w:w="15" w:type="dxa"/>
                  <w:right w:w="15" w:type="dxa"/>
                </w:tblCellMar>
              </w:tblPrEx>
              <w:trPr>
                <w:trHeight w:val="369" w:hRule="atLeast"/>
                <w:jc w:val="center"/>
              </w:trPr>
              <w:tc>
                <w:tcPr>
                  <w:tcW w:w="595" w:type="pct"/>
                  <w:vMerge w:val="continue"/>
                  <w:tcBorders>
                    <w:tl2br w:val="nil"/>
                    <w:tr2bl w:val="nil"/>
                  </w:tcBorders>
                  <w:noWrap w:val="0"/>
                  <w:vAlign w:val="center"/>
                </w:tcPr>
                <w:p w14:paraId="4738D4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rPr>
                  </w:pPr>
                </w:p>
              </w:tc>
              <w:tc>
                <w:tcPr>
                  <w:tcW w:w="762" w:type="pct"/>
                  <w:tcBorders>
                    <w:tl2br w:val="nil"/>
                    <w:tr2bl w:val="nil"/>
                  </w:tcBorders>
                  <w:noWrap w:val="0"/>
                  <w:vAlign w:val="center"/>
                </w:tcPr>
                <w:p w14:paraId="21F6DC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rPr>
                    <w:t>总磷</w:t>
                  </w:r>
                  <w:r>
                    <w:rPr>
                      <w:rFonts w:hint="eastAsia" w:ascii="Times New Roman" w:hAnsi="Times New Roman" w:eastAsia="仿宋" w:cs="Times New Roman"/>
                      <w:b w:val="0"/>
                      <w:bCs/>
                      <w:color w:val="auto"/>
                      <w:sz w:val="21"/>
                      <w:szCs w:val="21"/>
                      <w:highlight w:val="none"/>
                      <w:lang w:eastAsia="zh-CN"/>
                    </w:rPr>
                    <w:t>（</w:t>
                  </w:r>
                  <w:r>
                    <w:rPr>
                      <w:rFonts w:hint="eastAsia" w:ascii="Times New Roman" w:hAnsi="Times New Roman" w:eastAsia="仿宋" w:cs="Times New Roman"/>
                      <w:b w:val="0"/>
                      <w:bCs/>
                      <w:color w:val="auto"/>
                      <w:sz w:val="21"/>
                      <w:szCs w:val="21"/>
                      <w:highlight w:val="none"/>
                      <w:lang w:val="en-US" w:eastAsia="zh-CN"/>
                    </w:rPr>
                    <w:t>mg/L</w:t>
                  </w:r>
                  <w:r>
                    <w:rPr>
                      <w:rFonts w:hint="eastAsia" w:ascii="Times New Roman" w:hAnsi="Times New Roman" w:eastAsia="仿宋" w:cs="Times New Roman"/>
                      <w:b w:val="0"/>
                      <w:bCs/>
                      <w:color w:val="auto"/>
                      <w:sz w:val="21"/>
                      <w:szCs w:val="21"/>
                      <w:highlight w:val="none"/>
                      <w:lang w:eastAsia="zh-CN"/>
                    </w:rPr>
                    <w:t>）</w:t>
                  </w:r>
                </w:p>
              </w:tc>
              <w:tc>
                <w:tcPr>
                  <w:tcW w:w="778" w:type="pct"/>
                  <w:tcBorders>
                    <w:tl2br w:val="nil"/>
                    <w:tr2bl w:val="nil"/>
                  </w:tcBorders>
                  <w:noWrap w:val="0"/>
                  <w:vAlign w:val="center"/>
                </w:tcPr>
                <w:p w14:paraId="5FBF3D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0.07</w:t>
                  </w:r>
                </w:p>
              </w:tc>
              <w:tc>
                <w:tcPr>
                  <w:tcW w:w="778" w:type="pct"/>
                  <w:tcBorders>
                    <w:tl2br w:val="nil"/>
                    <w:tr2bl w:val="nil"/>
                  </w:tcBorders>
                  <w:noWrap w:val="0"/>
                  <w:vAlign w:val="center"/>
                </w:tcPr>
                <w:p w14:paraId="007F0C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0.07</w:t>
                  </w:r>
                </w:p>
              </w:tc>
              <w:tc>
                <w:tcPr>
                  <w:tcW w:w="778" w:type="pct"/>
                  <w:gridSpan w:val="2"/>
                  <w:tcBorders>
                    <w:tl2br w:val="nil"/>
                    <w:tr2bl w:val="nil"/>
                  </w:tcBorders>
                  <w:noWrap w:val="0"/>
                  <w:vAlign w:val="center"/>
                </w:tcPr>
                <w:p w14:paraId="1438E8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0.06</w:t>
                  </w:r>
                </w:p>
              </w:tc>
              <w:tc>
                <w:tcPr>
                  <w:tcW w:w="780" w:type="pct"/>
                  <w:tcBorders>
                    <w:tl2br w:val="nil"/>
                    <w:tr2bl w:val="nil"/>
                  </w:tcBorders>
                  <w:noWrap w:val="0"/>
                  <w:vAlign w:val="center"/>
                </w:tcPr>
                <w:p w14:paraId="7E8A83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sz w:val="21"/>
                      <w:szCs w:val="21"/>
                      <w:highlight w:val="none"/>
                      <w:lang w:val="en-US" w:eastAsia="zh-CN"/>
                    </w:rPr>
                  </w:pPr>
                  <w:r>
                    <w:rPr>
                      <w:rFonts w:hint="eastAsia" w:ascii="Times New Roman" w:hAnsi="Times New Roman" w:eastAsia="仿宋" w:cs="Times New Roman"/>
                      <w:b w:val="0"/>
                      <w:bCs/>
                      <w:color w:val="auto"/>
                      <w:sz w:val="21"/>
                      <w:szCs w:val="21"/>
                      <w:highlight w:val="none"/>
                      <w:lang w:val="en-US" w:eastAsia="zh-CN"/>
                    </w:rPr>
                    <w:t>0.06</w:t>
                  </w:r>
                </w:p>
              </w:tc>
              <w:tc>
                <w:tcPr>
                  <w:tcW w:w="958" w:type="dxa"/>
                  <w:tcBorders>
                    <w:tl2br w:val="nil"/>
                    <w:tr2bl w:val="nil"/>
                  </w:tcBorders>
                  <w:noWrap w:val="0"/>
                  <w:vAlign w:val="center"/>
                </w:tcPr>
                <w:p w14:paraId="13B497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color w:val="auto"/>
                      <w:sz w:val="21"/>
                      <w:szCs w:val="21"/>
                      <w:highlight w:val="none"/>
                      <w:lang w:val="en-US" w:eastAsia="zh-CN"/>
                    </w:rPr>
                  </w:pPr>
                  <w:r>
                    <w:rPr>
                      <w:rFonts w:hint="default" w:ascii="Times New Roman" w:hAnsi="Times New Roman" w:eastAsia="仿宋" w:cs="Times New Roman"/>
                      <w:b w:val="0"/>
                      <w:bCs/>
                      <w:color w:val="auto"/>
                      <w:sz w:val="21"/>
                      <w:szCs w:val="21"/>
                      <w:highlight w:val="none"/>
                      <w:lang w:val="en-US" w:eastAsia="zh-CN"/>
                    </w:rPr>
                    <w:t>≤0.</w:t>
                  </w:r>
                  <w:r>
                    <w:rPr>
                      <w:rFonts w:hint="eastAsia" w:eastAsia="仿宋" w:cs="Times New Roman"/>
                      <w:b w:val="0"/>
                      <w:bCs/>
                      <w:color w:val="auto"/>
                      <w:sz w:val="21"/>
                      <w:szCs w:val="21"/>
                      <w:highlight w:val="none"/>
                      <w:lang w:val="en-US" w:eastAsia="zh-CN"/>
                    </w:rPr>
                    <w:t>05</w:t>
                  </w:r>
                </w:p>
              </w:tc>
            </w:tr>
          </w:tbl>
          <w:p w14:paraId="77499847">
            <w:pPr>
              <w:pStyle w:val="9"/>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根据上表可知，长荡湖内W1、W2监测点水质执行《地表水环境质量标准》（GB3838-2002）中Ⅲ类水质标准，其中COD、氨氮、总磷超标，其他监测因子均达标。</w:t>
            </w:r>
          </w:p>
          <w:p w14:paraId="1D6CE678">
            <w:pPr>
              <w:pStyle w:val="9"/>
              <w:rPr>
                <w:rFonts w:hint="eastAsia"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auto"/>
                <w:sz w:val="24"/>
                <w:highlight w:val="none"/>
                <w:lang w:val="en-US" w:eastAsia="zh-CN"/>
              </w:rPr>
              <w:t>超标主要原因为项目区域农业面源、农村生活污水和水产养殖污染长期进入长荡湖，同时湖水水流流速较慢，水体自净能力差。</w:t>
            </w:r>
          </w:p>
          <w:p w14:paraId="4DA2D8B6">
            <w:pPr>
              <w:pStyle w:val="9"/>
              <w:rPr>
                <w:rFonts w:hint="eastAsia" w:ascii="Times New Roman" w:hAnsi="Times New Roman" w:eastAsia="仿宋" w:cs="Times New Roman"/>
                <w:color w:val="auto"/>
                <w:sz w:val="24"/>
                <w:highlight w:val="none"/>
                <w:lang w:val="en-US" w:eastAsia="zh-CN"/>
              </w:rPr>
            </w:pPr>
            <w:r>
              <w:rPr>
                <w:rFonts w:hint="eastAsia" w:ascii="Times New Roman" w:hAnsi="Times New Roman" w:eastAsia="仿宋" w:cs="Times New Roman"/>
                <w:color w:val="auto"/>
                <w:sz w:val="24"/>
                <w:highlight w:val="none"/>
                <w:lang w:val="en-US" w:eastAsia="zh-CN"/>
              </w:rPr>
              <w:t>本项目为长荡湖体育休闲房车营地配套项目，项目建成后将减少长荡湖水域农业区面积，减少农业面源污染；本项目未来建设的生态浮岛也能进一步提高水生植物对湖水中营养物质的吸收作用，提高湖区的水体自净能力，降低湖水COD、氨氮、总磷浓度。同时本项目施工产生的水污染因子主要为悬浮物，由监测结果可知，项目区内悬浮物浓度达标。就长期环境影响而言，本项目的实施对长荡湖水质提高起到积极作用。</w:t>
            </w:r>
          </w:p>
          <w:p w14:paraId="070BE63D">
            <w:pPr>
              <w:pStyle w:val="9"/>
              <w:rPr>
                <w:rFonts w:hint="eastAsia" w:eastAsia="仿宋" w:cs="Times New Roman"/>
                <w:b/>
                <w:bCs/>
                <w:color w:val="auto"/>
                <w:sz w:val="24"/>
                <w:highlight w:val="none"/>
                <w:lang w:val="en-US" w:eastAsia="zh-CN"/>
              </w:rPr>
            </w:pPr>
            <w:r>
              <w:rPr>
                <w:rFonts w:hint="eastAsia" w:eastAsia="仿宋" w:cs="Times New Roman"/>
                <w:b/>
                <w:bCs/>
                <w:color w:val="auto"/>
                <w:sz w:val="24"/>
                <w:highlight w:val="none"/>
                <w:lang w:val="en-US" w:eastAsia="zh-CN"/>
              </w:rPr>
              <w:t>4、大气环境</w:t>
            </w:r>
          </w:p>
          <w:p w14:paraId="128467E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eastAsia="仿宋"/>
                <w:color w:val="auto"/>
                <w:kern w:val="0"/>
                <w:sz w:val="24"/>
                <w:highlight w:val="none"/>
                <w:lang w:val="en-US" w:eastAsia="zh-CN"/>
              </w:rPr>
            </w:pPr>
            <w:r>
              <w:rPr>
                <w:rFonts w:eastAsia="仿宋"/>
                <w:color w:val="auto"/>
                <w:kern w:val="0"/>
                <w:sz w:val="24"/>
                <w:highlight w:val="none"/>
                <w:lang w:val="en-US" w:eastAsia="zh-CN"/>
              </w:rPr>
              <w:t>（1）常规因子环境质量现状</w:t>
            </w:r>
          </w:p>
          <w:p w14:paraId="6BA90B19">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eastAsia="仿宋"/>
                <w:color w:val="auto"/>
                <w:kern w:val="0"/>
                <w:sz w:val="24"/>
                <w:highlight w:val="none"/>
                <w:lang w:val="en-US" w:eastAsia="zh-CN"/>
              </w:rPr>
            </w:pPr>
            <w:r>
              <w:rPr>
                <w:rFonts w:eastAsia="仿宋"/>
                <w:color w:val="auto"/>
                <w:kern w:val="0"/>
                <w:sz w:val="24"/>
                <w:highlight w:val="none"/>
                <w:lang w:val="en-US" w:eastAsia="zh-CN"/>
              </w:rPr>
              <w:t>根据《常州市环境空气质量功能区划分规定（2017）》，项目所在地空气质量功能区为二类区。SO</w:t>
            </w:r>
            <w:r>
              <w:rPr>
                <w:rFonts w:eastAsia="仿宋"/>
                <w:color w:val="auto"/>
                <w:kern w:val="0"/>
                <w:sz w:val="24"/>
                <w:highlight w:val="none"/>
                <w:vertAlign w:val="subscript"/>
                <w:lang w:val="en-US" w:eastAsia="zh-CN"/>
              </w:rPr>
              <w:t>2</w:t>
            </w:r>
            <w:r>
              <w:rPr>
                <w:rFonts w:eastAsia="仿宋"/>
                <w:color w:val="auto"/>
                <w:kern w:val="0"/>
                <w:sz w:val="24"/>
                <w:highlight w:val="none"/>
                <w:lang w:val="en-US" w:eastAsia="zh-CN"/>
              </w:rPr>
              <w:t>、NO</w:t>
            </w:r>
            <w:r>
              <w:rPr>
                <w:rFonts w:eastAsia="仿宋"/>
                <w:color w:val="auto"/>
                <w:kern w:val="0"/>
                <w:sz w:val="24"/>
                <w:highlight w:val="none"/>
                <w:vertAlign w:val="subscript"/>
                <w:lang w:val="en-US" w:eastAsia="zh-CN"/>
              </w:rPr>
              <w:t>2</w:t>
            </w:r>
            <w:r>
              <w:rPr>
                <w:rFonts w:eastAsia="仿宋"/>
                <w:color w:val="auto"/>
                <w:kern w:val="0"/>
                <w:sz w:val="24"/>
                <w:highlight w:val="none"/>
                <w:lang w:val="en-US" w:eastAsia="zh-CN"/>
              </w:rPr>
              <w:t>、PM</w:t>
            </w:r>
            <w:r>
              <w:rPr>
                <w:rFonts w:eastAsia="仿宋"/>
                <w:color w:val="auto"/>
                <w:kern w:val="0"/>
                <w:sz w:val="24"/>
                <w:highlight w:val="none"/>
                <w:vertAlign w:val="subscript"/>
                <w:lang w:val="en-US" w:eastAsia="zh-CN"/>
              </w:rPr>
              <w:t>10</w:t>
            </w:r>
            <w:r>
              <w:rPr>
                <w:rFonts w:eastAsia="仿宋"/>
                <w:color w:val="auto"/>
                <w:kern w:val="0"/>
                <w:sz w:val="24"/>
                <w:highlight w:val="none"/>
                <w:lang w:val="en-US" w:eastAsia="zh-CN"/>
              </w:rPr>
              <w:t>等执行《环境空气质量标准》（GB3095-2012）中二级标准</w:t>
            </w:r>
            <w:r>
              <w:rPr>
                <w:rFonts w:hint="eastAsia" w:eastAsia="仿宋"/>
                <w:color w:val="auto"/>
                <w:kern w:val="0"/>
                <w:sz w:val="24"/>
                <w:highlight w:val="none"/>
                <w:lang w:val="en-US" w:eastAsia="zh-CN"/>
              </w:rPr>
              <w:t>，</w:t>
            </w:r>
            <w:r>
              <w:rPr>
                <w:rFonts w:eastAsia="仿宋"/>
                <w:color w:val="auto"/>
                <w:kern w:val="0"/>
                <w:sz w:val="24"/>
                <w:highlight w:val="none"/>
                <w:lang w:val="en-US" w:eastAsia="zh-CN"/>
              </w:rPr>
              <w:t>标准值见下表。</w:t>
            </w:r>
          </w:p>
          <w:p w14:paraId="4CF2B642">
            <w:pPr>
              <w:pStyle w:val="32"/>
              <w:ind w:firstLine="2891" w:firstLineChars="1200"/>
              <w:jc w:val="both"/>
              <w:rPr>
                <w:rFonts w:hint="default" w:ascii="Times New Roman" w:hAnsi="Times New Roman" w:eastAsia="仿宋" w:cs="Times New Roman"/>
                <w:color w:val="auto"/>
                <w:sz w:val="24"/>
                <w:highlight w:val="none"/>
              </w:rPr>
            </w:pPr>
            <w:r>
              <w:rPr>
                <w:rFonts w:hint="default" w:ascii="Times New Roman" w:hAnsi="Times New Roman" w:eastAsia="仿宋" w:cs="Times New Roman"/>
                <w:b/>
                <w:bCs/>
                <w:color w:val="auto"/>
                <w:kern w:val="0"/>
                <w:sz w:val="24"/>
                <w:szCs w:val="22"/>
                <w:highlight w:val="none"/>
                <w:lang w:val="en-US" w:eastAsia="zh-CN" w:bidi="ar-SA"/>
              </w:rPr>
              <w:t>表3-</w:t>
            </w:r>
            <w:r>
              <w:rPr>
                <w:rFonts w:hint="eastAsia" w:eastAsia="仿宋" w:cs="Times New Roman"/>
                <w:b/>
                <w:bCs/>
                <w:color w:val="auto"/>
                <w:kern w:val="0"/>
                <w:sz w:val="24"/>
                <w:szCs w:val="22"/>
                <w:highlight w:val="none"/>
                <w:lang w:val="en-US" w:eastAsia="zh-CN" w:bidi="ar-SA"/>
              </w:rPr>
              <w:t>5</w:t>
            </w:r>
            <w:r>
              <w:rPr>
                <w:rFonts w:hint="eastAsia" w:ascii="Times New Roman" w:hAnsi="Times New Roman" w:eastAsia="仿宋" w:cs="Times New Roman"/>
                <w:b/>
                <w:bCs/>
                <w:color w:val="auto"/>
                <w:kern w:val="0"/>
                <w:sz w:val="24"/>
                <w:szCs w:val="22"/>
                <w:highlight w:val="none"/>
                <w:lang w:val="en-US" w:eastAsia="zh-CN" w:bidi="ar-SA"/>
              </w:rPr>
              <w:t xml:space="preserve"> </w:t>
            </w:r>
            <w:r>
              <w:rPr>
                <w:rFonts w:hint="default" w:ascii="Times New Roman" w:hAnsi="Times New Roman" w:eastAsia="仿宋" w:cs="Times New Roman"/>
                <w:b/>
                <w:bCs/>
                <w:color w:val="auto"/>
                <w:kern w:val="0"/>
                <w:sz w:val="24"/>
                <w:szCs w:val="22"/>
                <w:highlight w:val="none"/>
                <w:lang w:val="en-US" w:eastAsia="zh-CN" w:bidi="ar-SA"/>
              </w:rPr>
              <w:t>环境空气质量评价标准</w:t>
            </w:r>
            <w:r>
              <w:rPr>
                <w:rFonts w:hint="eastAsia" w:ascii="Times New Roman" w:hAnsi="Times New Roman" w:eastAsia="仿宋" w:cs="Times New Roman"/>
                <w:b/>
                <w:bCs/>
                <w:color w:val="auto"/>
                <w:kern w:val="0"/>
                <w:sz w:val="24"/>
                <w:szCs w:val="22"/>
                <w:highlight w:val="none"/>
                <w:lang w:val="en-US" w:eastAsia="zh-CN" w:bidi="ar-SA"/>
              </w:rPr>
              <w:t xml:space="preserve"> </w:t>
            </w:r>
            <w:r>
              <w:rPr>
                <w:rFonts w:hint="eastAsia" w:eastAsia="仿宋" w:cs="Times New Roman"/>
                <w:color w:val="auto"/>
                <w:sz w:val="24"/>
                <w:highlight w:val="none"/>
                <w:lang w:val="en-US" w:eastAsia="zh-CN"/>
              </w:rPr>
              <w:t xml:space="preserve">  </w:t>
            </w:r>
            <w:r>
              <w:rPr>
                <w:rFonts w:hint="default" w:ascii="Times New Roman" w:hAnsi="Times New Roman" w:eastAsia="仿宋" w:cs="Times New Roman"/>
                <w:color w:val="auto"/>
                <w:sz w:val="24"/>
                <w:highlight w:val="none"/>
              </w:rPr>
              <w:t>单位：μg/m</w:t>
            </w:r>
            <w:r>
              <w:rPr>
                <w:rFonts w:hint="default" w:ascii="Times New Roman" w:hAnsi="Times New Roman" w:eastAsia="仿宋" w:cs="Times New Roman"/>
                <w:color w:val="auto"/>
                <w:sz w:val="24"/>
                <w:highlight w:val="none"/>
                <w:vertAlign w:val="superscript"/>
              </w:rPr>
              <w:t>3</w:t>
            </w:r>
          </w:p>
          <w:tbl>
            <w:tblPr>
              <w:tblStyle w:val="2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142"/>
              <w:gridCol w:w="1514"/>
              <w:gridCol w:w="1290"/>
              <w:gridCol w:w="1461"/>
              <w:gridCol w:w="1548"/>
              <w:gridCol w:w="1149"/>
            </w:tblGrid>
            <w:tr w14:paraId="25019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jc w:val="center"/>
              </w:trPr>
              <w:tc>
                <w:tcPr>
                  <w:tcW w:w="1176" w:type="pct"/>
                  <w:vMerge w:val="restart"/>
                  <w:tcBorders>
                    <w:tl2br w:val="nil"/>
                    <w:tr2bl w:val="nil"/>
                  </w:tcBorders>
                  <w:vAlign w:val="center"/>
                </w:tcPr>
                <w:p w14:paraId="716ADB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r>
                    <w:rPr>
                      <w:rFonts w:hint="default" w:ascii="Times New Roman" w:hAnsi="Times New Roman" w:eastAsia="仿宋" w:cs="Times New Roman"/>
                      <w:b/>
                      <w:color w:val="auto"/>
                      <w:sz w:val="21"/>
                      <w:szCs w:val="21"/>
                      <w:highlight w:val="none"/>
                    </w:rPr>
                    <w:t>执行标准</w:t>
                  </w:r>
                </w:p>
              </w:tc>
              <w:tc>
                <w:tcPr>
                  <w:tcW w:w="831" w:type="pct"/>
                  <w:vMerge w:val="restart"/>
                  <w:tcBorders>
                    <w:tl2br w:val="nil"/>
                    <w:tr2bl w:val="nil"/>
                  </w:tcBorders>
                  <w:vAlign w:val="center"/>
                </w:tcPr>
                <w:p w14:paraId="1B0A6D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r>
                    <w:rPr>
                      <w:rFonts w:hint="default" w:ascii="Times New Roman" w:hAnsi="Times New Roman" w:eastAsia="仿宋" w:cs="Times New Roman"/>
                      <w:b/>
                      <w:color w:val="auto"/>
                      <w:sz w:val="21"/>
                      <w:szCs w:val="21"/>
                      <w:highlight w:val="none"/>
                    </w:rPr>
                    <w:t>取值表号及标准级别</w:t>
                  </w:r>
                </w:p>
              </w:tc>
              <w:tc>
                <w:tcPr>
                  <w:tcW w:w="708" w:type="pct"/>
                  <w:vMerge w:val="restart"/>
                  <w:tcBorders>
                    <w:tl2br w:val="nil"/>
                    <w:tr2bl w:val="nil"/>
                  </w:tcBorders>
                  <w:vAlign w:val="center"/>
                </w:tcPr>
                <w:p w14:paraId="79DBC1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r>
                    <w:rPr>
                      <w:rFonts w:hint="default" w:ascii="Times New Roman" w:hAnsi="Times New Roman" w:eastAsia="仿宋" w:cs="Times New Roman"/>
                      <w:b/>
                      <w:color w:val="auto"/>
                      <w:sz w:val="21"/>
                      <w:szCs w:val="21"/>
                      <w:highlight w:val="none"/>
                    </w:rPr>
                    <w:t>指标</w:t>
                  </w:r>
                </w:p>
              </w:tc>
              <w:tc>
                <w:tcPr>
                  <w:tcW w:w="2283" w:type="pct"/>
                  <w:gridSpan w:val="3"/>
                  <w:tcBorders>
                    <w:tl2br w:val="nil"/>
                    <w:tr2bl w:val="nil"/>
                  </w:tcBorders>
                  <w:vAlign w:val="center"/>
                </w:tcPr>
                <w:p w14:paraId="5380D0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r>
                    <w:rPr>
                      <w:rFonts w:hint="default" w:ascii="Times New Roman" w:hAnsi="Times New Roman" w:eastAsia="仿宋" w:cs="Times New Roman"/>
                      <w:b/>
                      <w:color w:val="auto"/>
                      <w:sz w:val="21"/>
                      <w:szCs w:val="21"/>
                      <w:highlight w:val="none"/>
                    </w:rPr>
                    <w:t>浓度(μg/m</w:t>
                  </w:r>
                  <w:r>
                    <w:rPr>
                      <w:rFonts w:hint="default" w:ascii="Times New Roman" w:hAnsi="Times New Roman" w:eastAsia="仿宋" w:cs="Times New Roman"/>
                      <w:b/>
                      <w:color w:val="auto"/>
                      <w:sz w:val="21"/>
                      <w:szCs w:val="21"/>
                      <w:highlight w:val="none"/>
                      <w:vertAlign w:val="superscript"/>
                    </w:rPr>
                    <w:t>3</w:t>
                  </w:r>
                  <w:r>
                    <w:rPr>
                      <w:rFonts w:hint="default" w:ascii="Times New Roman" w:hAnsi="Times New Roman" w:eastAsia="仿宋" w:cs="Times New Roman"/>
                      <w:b/>
                      <w:color w:val="auto"/>
                      <w:sz w:val="21"/>
                      <w:szCs w:val="21"/>
                      <w:highlight w:val="none"/>
                    </w:rPr>
                    <w:t>)</w:t>
                  </w:r>
                </w:p>
              </w:tc>
            </w:tr>
            <w:tr w14:paraId="6D443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jc w:val="center"/>
              </w:trPr>
              <w:tc>
                <w:tcPr>
                  <w:tcW w:w="1176" w:type="pct"/>
                  <w:vMerge w:val="continue"/>
                  <w:tcBorders>
                    <w:tl2br w:val="nil"/>
                    <w:tr2bl w:val="nil"/>
                  </w:tcBorders>
                  <w:vAlign w:val="center"/>
                </w:tcPr>
                <w:p w14:paraId="40CB8C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p>
              </w:tc>
              <w:tc>
                <w:tcPr>
                  <w:tcW w:w="831" w:type="pct"/>
                  <w:vMerge w:val="continue"/>
                  <w:tcBorders>
                    <w:tl2br w:val="nil"/>
                    <w:tr2bl w:val="nil"/>
                  </w:tcBorders>
                  <w:vAlign w:val="center"/>
                </w:tcPr>
                <w:p w14:paraId="7F4E4C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p>
              </w:tc>
              <w:tc>
                <w:tcPr>
                  <w:tcW w:w="708" w:type="pct"/>
                  <w:vMerge w:val="continue"/>
                  <w:tcBorders>
                    <w:tl2br w:val="nil"/>
                    <w:tr2bl w:val="nil"/>
                  </w:tcBorders>
                  <w:vAlign w:val="center"/>
                </w:tcPr>
                <w:p w14:paraId="17A0B3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p>
              </w:tc>
              <w:tc>
                <w:tcPr>
                  <w:tcW w:w="802" w:type="pct"/>
                  <w:tcBorders>
                    <w:tl2br w:val="nil"/>
                    <w:tr2bl w:val="nil"/>
                  </w:tcBorders>
                  <w:vAlign w:val="center"/>
                </w:tcPr>
                <w:p w14:paraId="4C87AB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r>
                    <w:rPr>
                      <w:rFonts w:hint="default" w:ascii="Times New Roman" w:hAnsi="Times New Roman" w:eastAsia="仿宋" w:cs="Times New Roman"/>
                      <w:b/>
                      <w:color w:val="auto"/>
                      <w:sz w:val="21"/>
                      <w:szCs w:val="21"/>
                      <w:highlight w:val="none"/>
                    </w:rPr>
                    <w:t>小时均值</w:t>
                  </w:r>
                </w:p>
              </w:tc>
              <w:tc>
                <w:tcPr>
                  <w:tcW w:w="850" w:type="pct"/>
                  <w:tcBorders>
                    <w:tl2br w:val="nil"/>
                    <w:tr2bl w:val="nil"/>
                  </w:tcBorders>
                  <w:vAlign w:val="center"/>
                </w:tcPr>
                <w:p w14:paraId="040D16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r>
                    <w:rPr>
                      <w:rFonts w:hint="default" w:ascii="Times New Roman" w:hAnsi="Times New Roman" w:eastAsia="仿宋" w:cs="Times New Roman"/>
                      <w:b/>
                      <w:color w:val="auto"/>
                      <w:sz w:val="21"/>
                      <w:szCs w:val="21"/>
                      <w:highlight w:val="none"/>
                    </w:rPr>
                    <w:t>日均值</w:t>
                  </w:r>
                </w:p>
              </w:tc>
              <w:tc>
                <w:tcPr>
                  <w:tcW w:w="629" w:type="pct"/>
                  <w:tcBorders>
                    <w:tl2br w:val="nil"/>
                    <w:tr2bl w:val="nil"/>
                  </w:tcBorders>
                  <w:vAlign w:val="center"/>
                </w:tcPr>
                <w:p w14:paraId="1644C3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1"/>
                      <w:szCs w:val="21"/>
                      <w:highlight w:val="none"/>
                    </w:rPr>
                  </w:pPr>
                  <w:r>
                    <w:rPr>
                      <w:rFonts w:hint="default" w:ascii="Times New Roman" w:hAnsi="Times New Roman" w:eastAsia="仿宋" w:cs="Times New Roman"/>
                      <w:b/>
                      <w:color w:val="auto"/>
                      <w:sz w:val="21"/>
                      <w:szCs w:val="21"/>
                      <w:highlight w:val="none"/>
                    </w:rPr>
                    <w:t>年均值</w:t>
                  </w:r>
                </w:p>
              </w:tc>
            </w:tr>
            <w:tr w14:paraId="0DF4E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jc w:val="center"/>
              </w:trPr>
              <w:tc>
                <w:tcPr>
                  <w:tcW w:w="1176" w:type="pct"/>
                  <w:vMerge w:val="restart"/>
                  <w:tcBorders>
                    <w:tl2br w:val="nil"/>
                    <w:tr2bl w:val="nil"/>
                  </w:tcBorders>
                  <w:vAlign w:val="center"/>
                </w:tcPr>
                <w:p w14:paraId="4AC513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环境空气质量标准</w:t>
                  </w:r>
                </w:p>
                <w:p w14:paraId="75C418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eastAsia" w:eastAsia="仿宋" w:cs="Times New Roman"/>
                      <w:color w:val="auto"/>
                      <w:sz w:val="21"/>
                      <w:szCs w:val="21"/>
                      <w:highlight w:val="none"/>
                      <w:lang w:eastAsia="zh-CN"/>
                    </w:rPr>
                    <w:t>（</w:t>
                  </w:r>
                  <w:r>
                    <w:rPr>
                      <w:rFonts w:hint="default" w:ascii="Times New Roman" w:hAnsi="Times New Roman" w:eastAsia="仿宋" w:cs="Times New Roman"/>
                      <w:color w:val="auto"/>
                      <w:sz w:val="21"/>
                      <w:szCs w:val="21"/>
                      <w:highlight w:val="none"/>
                    </w:rPr>
                    <w:t>GB3095-2012</w:t>
                  </w:r>
                  <w:r>
                    <w:rPr>
                      <w:rFonts w:hint="eastAsia" w:eastAsia="仿宋" w:cs="Times New Roman"/>
                      <w:color w:val="auto"/>
                      <w:sz w:val="21"/>
                      <w:szCs w:val="21"/>
                      <w:highlight w:val="none"/>
                      <w:lang w:eastAsia="zh-CN"/>
                    </w:rPr>
                    <w:t>）</w:t>
                  </w:r>
                </w:p>
              </w:tc>
              <w:tc>
                <w:tcPr>
                  <w:tcW w:w="831" w:type="pct"/>
                  <w:vMerge w:val="restart"/>
                  <w:tcBorders>
                    <w:tl2br w:val="nil"/>
                    <w:tr2bl w:val="nil"/>
                  </w:tcBorders>
                  <w:vAlign w:val="center"/>
                </w:tcPr>
                <w:p w14:paraId="764E95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表1</w:t>
                  </w:r>
                </w:p>
                <w:p w14:paraId="344468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二级</w:t>
                  </w:r>
                </w:p>
              </w:tc>
              <w:tc>
                <w:tcPr>
                  <w:tcW w:w="708" w:type="pct"/>
                  <w:tcBorders>
                    <w:tl2br w:val="nil"/>
                    <w:tr2bl w:val="nil"/>
                  </w:tcBorders>
                  <w:vAlign w:val="center"/>
                </w:tcPr>
                <w:p w14:paraId="5EF0AA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SO</w:t>
                  </w:r>
                  <w:r>
                    <w:rPr>
                      <w:rFonts w:hint="default" w:ascii="Times New Roman" w:hAnsi="Times New Roman" w:eastAsia="仿宋" w:cs="Times New Roman"/>
                      <w:color w:val="auto"/>
                      <w:sz w:val="21"/>
                      <w:szCs w:val="21"/>
                      <w:highlight w:val="none"/>
                      <w:vertAlign w:val="subscript"/>
                    </w:rPr>
                    <w:t>2</w:t>
                  </w:r>
                </w:p>
              </w:tc>
              <w:tc>
                <w:tcPr>
                  <w:tcW w:w="802" w:type="pct"/>
                  <w:tcBorders>
                    <w:tl2br w:val="nil"/>
                    <w:tr2bl w:val="nil"/>
                  </w:tcBorders>
                  <w:vAlign w:val="center"/>
                </w:tcPr>
                <w:p w14:paraId="38D400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500</w:t>
                  </w:r>
                </w:p>
              </w:tc>
              <w:tc>
                <w:tcPr>
                  <w:tcW w:w="850" w:type="pct"/>
                  <w:tcBorders>
                    <w:tl2br w:val="nil"/>
                    <w:tr2bl w:val="nil"/>
                  </w:tcBorders>
                  <w:vAlign w:val="center"/>
                </w:tcPr>
                <w:p w14:paraId="7EF562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150</w:t>
                  </w:r>
                </w:p>
              </w:tc>
              <w:tc>
                <w:tcPr>
                  <w:tcW w:w="629" w:type="pct"/>
                  <w:tcBorders>
                    <w:tl2br w:val="nil"/>
                    <w:tr2bl w:val="nil"/>
                  </w:tcBorders>
                  <w:vAlign w:val="center"/>
                </w:tcPr>
                <w:p w14:paraId="19CE4E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60</w:t>
                  </w:r>
                </w:p>
              </w:tc>
            </w:tr>
            <w:tr w14:paraId="1B0FB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jc w:val="center"/>
              </w:trPr>
              <w:tc>
                <w:tcPr>
                  <w:tcW w:w="1176" w:type="pct"/>
                  <w:vMerge w:val="continue"/>
                  <w:tcBorders>
                    <w:tl2br w:val="nil"/>
                    <w:tr2bl w:val="nil"/>
                  </w:tcBorders>
                  <w:vAlign w:val="center"/>
                </w:tcPr>
                <w:p w14:paraId="4C3881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831" w:type="pct"/>
                  <w:vMerge w:val="continue"/>
                  <w:tcBorders>
                    <w:tl2br w:val="nil"/>
                    <w:tr2bl w:val="nil"/>
                  </w:tcBorders>
                  <w:vAlign w:val="center"/>
                </w:tcPr>
                <w:p w14:paraId="4A11C4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708" w:type="pct"/>
                  <w:tcBorders>
                    <w:tl2br w:val="nil"/>
                    <w:tr2bl w:val="nil"/>
                  </w:tcBorders>
                  <w:vAlign w:val="center"/>
                </w:tcPr>
                <w:p w14:paraId="030771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NO</w:t>
                  </w:r>
                  <w:r>
                    <w:rPr>
                      <w:rFonts w:hint="default" w:ascii="Times New Roman" w:hAnsi="Times New Roman" w:eastAsia="仿宋" w:cs="Times New Roman"/>
                      <w:color w:val="auto"/>
                      <w:sz w:val="21"/>
                      <w:szCs w:val="21"/>
                      <w:highlight w:val="none"/>
                      <w:vertAlign w:val="subscript"/>
                    </w:rPr>
                    <w:t>2</w:t>
                  </w:r>
                </w:p>
              </w:tc>
              <w:tc>
                <w:tcPr>
                  <w:tcW w:w="802" w:type="pct"/>
                  <w:tcBorders>
                    <w:tl2br w:val="nil"/>
                    <w:tr2bl w:val="nil"/>
                  </w:tcBorders>
                  <w:vAlign w:val="center"/>
                </w:tcPr>
                <w:p w14:paraId="3AB366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200</w:t>
                  </w:r>
                </w:p>
              </w:tc>
              <w:tc>
                <w:tcPr>
                  <w:tcW w:w="850" w:type="pct"/>
                  <w:tcBorders>
                    <w:tl2br w:val="nil"/>
                    <w:tr2bl w:val="nil"/>
                  </w:tcBorders>
                  <w:vAlign w:val="center"/>
                </w:tcPr>
                <w:p w14:paraId="462A2A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80</w:t>
                  </w:r>
                </w:p>
              </w:tc>
              <w:tc>
                <w:tcPr>
                  <w:tcW w:w="629" w:type="pct"/>
                  <w:tcBorders>
                    <w:tl2br w:val="nil"/>
                    <w:tr2bl w:val="nil"/>
                  </w:tcBorders>
                  <w:vAlign w:val="center"/>
                </w:tcPr>
                <w:p w14:paraId="10C08A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40</w:t>
                  </w:r>
                </w:p>
              </w:tc>
            </w:tr>
            <w:tr w14:paraId="52716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jc w:val="center"/>
              </w:trPr>
              <w:tc>
                <w:tcPr>
                  <w:tcW w:w="1176" w:type="pct"/>
                  <w:vMerge w:val="continue"/>
                  <w:tcBorders>
                    <w:tl2br w:val="nil"/>
                    <w:tr2bl w:val="nil"/>
                  </w:tcBorders>
                  <w:vAlign w:val="center"/>
                </w:tcPr>
                <w:p w14:paraId="19D275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831" w:type="pct"/>
                  <w:vMerge w:val="continue"/>
                  <w:tcBorders>
                    <w:tl2br w:val="nil"/>
                    <w:tr2bl w:val="nil"/>
                  </w:tcBorders>
                  <w:vAlign w:val="center"/>
                </w:tcPr>
                <w:p w14:paraId="39F5D1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708" w:type="pct"/>
                  <w:tcBorders>
                    <w:tl2br w:val="nil"/>
                    <w:tr2bl w:val="nil"/>
                  </w:tcBorders>
                  <w:vAlign w:val="center"/>
                </w:tcPr>
                <w:p w14:paraId="5351DD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PM</w:t>
                  </w:r>
                  <w:r>
                    <w:rPr>
                      <w:rFonts w:hint="default" w:ascii="Times New Roman" w:hAnsi="Times New Roman" w:eastAsia="仿宋" w:cs="Times New Roman"/>
                      <w:color w:val="auto"/>
                      <w:sz w:val="21"/>
                      <w:szCs w:val="21"/>
                      <w:highlight w:val="none"/>
                      <w:vertAlign w:val="subscript"/>
                    </w:rPr>
                    <w:t>10</w:t>
                  </w:r>
                </w:p>
              </w:tc>
              <w:tc>
                <w:tcPr>
                  <w:tcW w:w="802" w:type="pct"/>
                  <w:tcBorders>
                    <w:tl2br w:val="nil"/>
                    <w:tr2bl w:val="nil"/>
                  </w:tcBorders>
                  <w:vAlign w:val="center"/>
                </w:tcPr>
                <w:p w14:paraId="22CD7C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w:t>
                  </w:r>
                </w:p>
              </w:tc>
              <w:tc>
                <w:tcPr>
                  <w:tcW w:w="850" w:type="pct"/>
                  <w:tcBorders>
                    <w:tl2br w:val="nil"/>
                    <w:tr2bl w:val="nil"/>
                  </w:tcBorders>
                  <w:vAlign w:val="center"/>
                </w:tcPr>
                <w:p w14:paraId="4F5CDE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150</w:t>
                  </w:r>
                </w:p>
              </w:tc>
              <w:tc>
                <w:tcPr>
                  <w:tcW w:w="629" w:type="pct"/>
                  <w:tcBorders>
                    <w:tl2br w:val="nil"/>
                    <w:tr2bl w:val="nil"/>
                  </w:tcBorders>
                  <w:vAlign w:val="center"/>
                </w:tcPr>
                <w:p w14:paraId="1CD6CF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70</w:t>
                  </w:r>
                </w:p>
              </w:tc>
            </w:tr>
            <w:tr w14:paraId="22EC5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jc w:val="center"/>
              </w:trPr>
              <w:tc>
                <w:tcPr>
                  <w:tcW w:w="1176" w:type="pct"/>
                  <w:vMerge w:val="continue"/>
                  <w:tcBorders>
                    <w:tl2br w:val="nil"/>
                    <w:tr2bl w:val="nil"/>
                  </w:tcBorders>
                  <w:vAlign w:val="center"/>
                </w:tcPr>
                <w:p w14:paraId="046DE7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831" w:type="pct"/>
                  <w:vMerge w:val="continue"/>
                  <w:tcBorders>
                    <w:tl2br w:val="nil"/>
                    <w:tr2bl w:val="nil"/>
                  </w:tcBorders>
                  <w:vAlign w:val="center"/>
                </w:tcPr>
                <w:p w14:paraId="4804AB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708" w:type="pct"/>
                  <w:tcBorders>
                    <w:tl2br w:val="nil"/>
                    <w:tr2bl w:val="nil"/>
                  </w:tcBorders>
                  <w:vAlign w:val="center"/>
                </w:tcPr>
                <w:p w14:paraId="7CA1F0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PM</w:t>
                  </w:r>
                  <w:r>
                    <w:rPr>
                      <w:rFonts w:hint="default" w:ascii="Times New Roman" w:hAnsi="Times New Roman" w:eastAsia="仿宋" w:cs="Times New Roman"/>
                      <w:color w:val="auto"/>
                      <w:sz w:val="21"/>
                      <w:szCs w:val="21"/>
                      <w:highlight w:val="none"/>
                      <w:vertAlign w:val="subscript"/>
                    </w:rPr>
                    <w:t>2.5</w:t>
                  </w:r>
                </w:p>
              </w:tc>
              <w:tc>
                <w:tcPr>
                  <w:tcW w:w="802" w:type="pct"/>
                  <w:tcBorders>
                    <w:tl2br w:val="nil"/>
                    <w:tr2bl w:val="nil"/>
                  </w:tcBorders>
                  <w:vAlign w:val="center"/>
                </w:tcPr>
                <w:p w14:paraId="5FB7F0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w:t>
                  </w:r>
                </w:p>
              </w:tc>
              <w:tc>
                <w:tcPr>
                  <w:tcW w:w="850" w:type="pct"/>
                  <w:tcBorders>
                    <w:tl2br w:val="nil"/>
                    <w:tr2bl w:val="nil"/>
                  </w:tcBorders>
                  <w:vAlign w:val="center"/>
                </w:tcPr>
                <w:p w14:paraId="5C648A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75</w:t>
                  </w:r>
                </w:p>
              </w:tc>
              <w:tc>
                <w:tcPr>
                  <w:tcW w:w="629" w:type="pct"/>
                  <w:tcBorders>
                    <w:tl2br w:val="nil"/>
                    <w:tr2bl w:val="nil"/>
                  </w:tcBorders>
                  <w:vAlign w:val="center"/>
                </w:tcPr>
                <w:p w14:paraId="635972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35</w:t>
                  </w:r>
                </w:p>
              </w:tc>
            </w:tr>
            <w:tr w14:paraId="15056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jc w:val="center"/>
              </w:trPr>
              <w:tc>
                <w:tcPr>
                  <w:tcW w:w="1176" w:type="pct"/>
                  <w:vMerge w:val="continue"/>
                  <w:tcBorders>
                    <w:tl2br w:val="nil"/>
                    <w:tr2bl w:val="nil"/>
                  </w:tcBorders>
                  <w:vAlign w:val="center"/>
                </w:tcPr>
                <w:p w14:paraId="030024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831" w:type="pct"/>
                  <w:vMerge w:val="continue"/>
                  <w:tcBorders>
                    <w:tl2br w:val="nil"/>
                    <w:tr2bl w:val="nil"/>
                  </w:tcBorders>
                  <w:vAlign w:val="center"/>
                </w:tcPr>
                <w:p w14:paraId="7414A5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708" w:type="pct"/>
                  <w:tcBorders>
                    <w:tl2br w:val="nil"/>
                    <w:tr2bl w:val="nil"/>
                  </w:tcBorders>
                  <w:vAlign w:val="center"/>
                </w:tcPr>
                <w:p w14:paraId="2B5555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CO</w:t>
                  </w:r>
                </w:p>
              </w:tc>
              <w:tc>
                <w:tcPr>
                  <w:tcW w:w="802" w:type="pct"/>
                  <w:tcBorders>
                    <w:tl2br w:val="nil"/>
                    <w:tr2bl w:val="nil"/>
                  </w:tcBorders>
                  <w:vAlign w:val="center"/>
                </w:tcPr>
                <w:p w14:paraId="664614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10000</w:t>
                  </w:r>
                </w:p>
              </w:tc>
              <w:tc>
                <w:tcPr>
                  <w:tcW w:w="850" w:type="pct"/>
                  <w:tcBorders>
                    <w:tl2br w:val="nil"/>
                    <w:tr2bl w:val="nil"/>
                  </w:tcBorders>
                  <w:vAlign w:val="center"/>
                </w:tcPr>
                <w:p w14:paraId="3B8EE3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4000</w:t>
                  </w:r>
                </w:p>
              </w:tc>
              <w:tc>
                <w:tcPr>
                  <w:tcW w:w="629" w:type="pct"/>
                  <w:tcBorders>
                    <w:tl2br w:val="nil"/>
                    <w:tr2bl w:val="nil"/>
                  </w:tcBorders>
                  <w:vAlign w:val="center"/>
                </w:tcPr>
                <w:p w14:paraId="3A378A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w:t>
                  </w:r>
                </w:p>
              </w:tc>
            </w:tr>
            <w:tr w14:paraId="3EFC5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jc w:val="center"/>
              </w:trPr>
              <w:tc>
                <w:tcPr>
                  <w:tcW w:w="1176" w:type="pct"/>
                  <w:vMerge w:val="continue"/>
                  <w:tcBorders>
                    <w:tl2br w:val="nil"/>
                    <w:tr2bl w:val="nil"/>
                  </w:tcBorders>
                  <w:vAlign w:val="center"/>
                </w:tcPr>
                <w:p w14:paraId="2D129B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831" w:type="pct"/>
                  <w:vMerge w:val="continue"/>
                  <w:tcBorders>
                    <w:tl2br w:val="nil"/>
                    <w:tr2bl w:val="nil"/>
                  </w:tcBorders>
                  <w:vAlign w:val="center"/>
                </w:tcPr>
                <w:p w14:paraId="64725D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p>
              </w:tc>
              <w:tc>
                <w:tcPr>
                  <w:tcW w:w="708" w:type="pct"/>
                  <w:tcBorders>
                    <w:tl2br w:val="nil"/>
                    <w:tr2bl w:val="nil"/>
                  </w:tcBorders>
                  <w:vAlign w:val="center"/>
                </w:tcPr>
                <w:p w14:paraId="5B4BA8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O</w:t>
                  </w:r>
                  <w:r>
                    <w:rPr>
                      <w:rFonts w:hint="default" w:ascii="Times New Roman" w:hAnsi="Times New Roman" w:eastAsia="仿宋" w:cs="Times New Roman"/>
                      <w:color w:val="auto"/>
                      <w:sz w:val="21"/>
                      <w:szCs w:val="21"/>
                      <w:highlight w:val="none"/>
                      <w:vertAlign w:val="subscript"/>
                    </w:rPr>
                    <w:t>3</w:t>
                  </w:r>
                </w:p>
              </w:tc>
              <w:tc>
                <w:tcPr>
                  <w:tcW w:w="802" w:type="pct"/>
                  <w:tcBorders>
                    <w:tl2br w:val="nil"/>
                    <w:tr2bl w:val="nil"/>
                  </w:tcBorders>
                  <w:vAlign w:val="center"/>
                </w:tcPr>
                <w:p w14:paraId="2A128A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200</w:t>
                  </w:r>
                </w:p>
              </w:tc>
              <w:tc>
                <w:tcPr>
                  <w:tcW w:w="850" w:type="pct"/>
                  <w:tcBorders>
                    <w:tl2br w:val="nil"/>
                    <w:tr2bl w:val="nil"/>
                  </w:tcBorders>
                  <w:vAlign w:val="center"/>
                </w:tcPr>
                <w:p w14:paraId="0787E2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160（日最大8h平均）</w:t>
                  </w:r>
                </w:p>
              </w:tc>
              <w:tc>
                <w:tcPr>
                  <w:tcW w:w="629" w:type="pct"/>
                  <w:tcBorders>
                    <w:tl2br w:val="nil"/>
                    <w:tr2bl w:val="nil"/>
                  </w:tcBorders>
                  <w:vAlign w:val="center"/>
                </w:tcPr>
                <w:p w14:paraId="2F5BA1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w:t>
                  </w:r>
                </w:p>
              </w:tc>
            </w:tr>
          </w:tbl>
          <w:p w14:paraId="27C1FBB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仿宋" w:cs="Times New Roman"/>
                <w:color w:val="auto"/>
                <w:sz w:val="24"/>
                <w:highlight w:val="none"/>
                <w:lang w:val="en-US" w:eastAsia="zh-CN"/>
              </w:rPr>
            </w:pPr>
            <w:r>
              <w:rPr>
                <w:rFonts w:eastAsia="仿宋"/>
                <w:color w:val="auto"/>
                <w:kern w:val="0"/>
                <w:sz w:val="24"/>
                <w:highlight w:val="none"/>
                <w:lang w:val="en-US" w:eastAsia="zh-CN"/>
              </w:rPr>
              <w:t>根据《环境影响评价技术导则大气环境》（HJ2.2-2018），项目所在区域达标情况判定优先采用国家或地方生态环境主管部门公开发布的环境质量报告或环境质量报告书中的数据或结论。</w:t>
            </w:r>
          </w:p>
          <w:p w14:paraId="622D9097">
            <w:pPr>
              <w:pStyle w:val="9"/>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本次评价选取2023年作为评价基准年，根据《2023年常州市环境状况公报》，项目所在区域常州市各评价因子数据见表3-6。</w:t>
            </w:r>
          </w:p>
          <w:p w14:paraId="5838452A">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imes New Roman"/>
                <w:b/>
                <w:bCs/>
                <w:color w:val="auto"/>
                <w:kern w:val="0"/>
                <w:sz w:val="24"/>
                <w:szCs w:val="22"/>
                <w:highlight w:val="none"/>
                <w:lang w:val="en-US" w:eastAsia="zh-CN" w:bidi="ar-SA"/>
              </w:rPr>
            </w:pPr>
            <w:r>
              <w:rPr>
                <w:rFonts w:hint="default" w:ascii="Times New Roman" w:hAnsi="Times New Roman" w:eastAsia="仿宋" w:cs="Times New Roman"/>
                <w:b/>
                <w:bCs/>
                <w:color w:val="auto"/>
                <w:kern w:val="0"/>
                <w:sz w:val="24"/>
                <w:szCs w:val="22"/>
                <w:highlight w:val="none"/>
                <w:lang w:val="en-US" w:eastAsia="zh-CN" w:bidi="ar-SA"/>
              </w:rPr>
              <w:t>表3</w:t>
            </w:r>
            <w:r>
              <w:rPr>
                <w:rFonts w:hint="eastAsia" w:ascii="Times New Roman" w:hAnsi="Times New Roman" w:eastAsia="仿宋" w:cs="Times New Roman"/>
                <w:b/>
                <w:bCs/>
                <w:color w:val="auto"/>
                <w:kern w:val="0"/>
                <w:sz w:val="24"/>
                <w:szCs w:val="22"/>
                <w:highlight w:val="none"/>
                <w:lang w:val="en-US" w:eastAsia="zh-CN" w:bidi="ar-SA"/>
              </w:rPr>
              <w:t xml:space="preserve">-6 </w:t>
            </w:r>
            <w:r>
              <w:rPr>
                <w:rFonts w:hint="default" w:ascii="Times New Roman" w:hAnsi="Times New Roman" w:eastAsia="仿宋" w:cs="Times New Roman"/>
                <w:b/>
                <w:bCs/>
                <w:color w:val="auto"/>
                <w:kern w:val="0"/>
                <w:sz w:val="24"/>
                <w:szCs w:val="22"/>
                <w:highlight w:val="none"/>
                <w:lang w:val="en-US" w:eastAsia="zh-CN" w:bidi="ar-SA"/>
              </w:rPr>
              <w:t>大气基本污染物环境质量现状</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90"/>
              <w:gridCol w:w="1403"/>
              <w:gridCol w:w="1163"/>
              <w:gridCol w:w="1163"/>
              <w:gridCol w:w="1163"/>
              <w:gridCol w:w="839"/>
              <w:gridCol w:w="840"/>
              <w:gridCol w:w="1840"/>
            </w:tblGrid>
            <w:tr w14:paraId="16D1A16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79" w:type="pct"/>
                  <w:vAlign w:val="center"/>
                </w:tcPr>
                <w:p w14:paraId="36412E4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rPr>
                  </w:pPr>
                  <w:r>
                    <w:rPr>
                      <w:rFonts w:hint="default" w:ascii="Times New Roman" w:hAnsi="Times New Roman" w:eastAsia="仿宋" w:cs="Times New Roman"/>
                      <w:b/>
                      <w:bCs/>
                      <w:color w:val="auto"/>
                      <w:kern w:val="0"/>
                      <w:sz w:val="21"/>
                      <w:szCs w:val="21"/>
                      <w:highlight w:val="none"/>
                    </w:rPr>
                    <w:t>评价因子</w:t>
                  </w:r>
                </w:p>
              </w:tc>
              <w:tc>
                <w:tcPr>
                  <w:tcW w:w="771" w:type="pct"/>
                  <w:vAlign w:val="center"/>
                </w:tcPr>
                <w:p w14:paraId="2B70CC9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rPr>
                  </w:pPr>
                  <w:r>
                    <w:rPr>
                      <w:rFonts w:hint="default" w:ascii="Times New Roman" w:hAnsi="Times New Roman" w:eastAsia="仿宋" w:cs="Times New Roman"/>
                      <w:b/>
                      <w:bCs/>
                      <w:color w:val="auto"/>
                      <w:kern w:val="0"/>
                      <w:sz w:val="21"/>
                      <w:szCs w:val="21"/>
                      <w:highlight w:val="none"/>
                    </w:rPr>
                    <w:t>平均时段</w:t>
                  </w:r>
                </w:p>
              </w:tc>
              <w:tc>
                <w:tcPr>
                  <w:tcW w:w="638" w:type="pct"/>
                  <w:vAlign w:val="center"/>
                </w:tcPr>
                <w:p w14:paraId="41E5595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仿宋" w:cs="Times New Roman"/>
                      <w:b/>
                      <w:bCs/>
                      <w:color w:val="auto"/>
                      <w:kern w:val="0"/>
                      <w:sz w:val="21"/>
                      <w:szCs w:val="21"/>
                      <w:highlight w:val="none"/>
                      <w:lang w:val="en-US" w:eastAsia="zh-CN"/>
                    </w:rPr>
                  </w:pPr>
                  <w:r>
                    <w:rPr>
                      <w:rFonts w:hint="eastAsia" w:eastAsia="仿宋" w:cs="Times New Roman"/>
                      <w:b/>
                      <w:bCs/>
                      <w:color w:val="auto"/>
                      <w:kern w:val="0"/>
                      <w:sz w:val="21"/>
                      <w:szCs w:val="21"/>
                      <w:highlight w:val="none"/>
                      <w:lang w:val="en-US" w:eastAsia="zh-CN"/>
                    </w:rPr>
                    <w:t>全市</w:t>
                  </w:r>
                </w:p>
                <w:p w14:paraId="5C4BAD6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rPr>
                  </w:pPr>
                  <w:r>
                    <w:rPr>
                      <w:rFonts w:hint="default" w:ascii="Times New Roman" w:hAnsi="Times New Roman" w:eastAsia="仿宋" w:cs="Times New Roman"/>
                      <w:b/>
                      <w:bCs/>
                      <w:color w:val="auto"/>
                      <w:kern w:val="0"/>
                      <w:sz w:val="21"/>
                      <w:szCs w:val="21"/>
                      <w:highlight w:val="none"/>
                    </w:rPr>
                    <w:t>现状浓度</w:t>
                  </w:r>
                </w:p>
                <w:p w14:paraId="6552A74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rPr>
                  </w:pPr>
                  <w:r>
                    <w:rPr>
                      <w:rFonts w:hint="default" w:ascii="Times New Roman" w:hAnsi="Times New Roman" w:eastAsia="仿宋" w:cs="Times New Roman"/>
                      <w:b/>
                      <w:bCs/>
                      <w:color w:val="auto"/>
                      <w:kern w:val="0"/>
                      <w:sz w:val="21"/>
                      <w:szCs w:val="21"/>
                      <w:highlight w:val="none"/>
                    </w:rPr>
                    <w:t>（μg/m</w:t>
                  </w:r>
                  <w:r>
                    <w:rPr>
                      <w:rFonts w:hint="default" w:ascii="Times New Roman" w:hAnsi="Times New Roman" w:eastAsia="仿宋" w:cs="Times New Roman"/>
                      <w:b/>
                      <w:bCs/>
                      <w:color w:val="auto"/>
                      <w:kern w:val="0"/>
                      <w:sz w:val="21"/>
                      <w:szCs w:val="21"/>
                      <w:highlight w:val="none"/>
                      <w:vertAlign w:val="superscript"/>
                    </w:rPr>
                    <w:t>3</w:t>
                  </w:r>
                  <w:r>
                    <w:rPr>
                      <w:rFonts w:hint="default" w:ascii="Times New Roman" w:hAnsi="Times New Roman" w:eastAsia="仿宋" w:cs="Times New Roman"/>
                      <w:b/>
                      <w:bCs/>
                      <w:color w:val="auto"/>
                      <w:kern w:val="0"/>
                      <w:sz w:val="21"/>
                      <w:szCs w:val="21"/>
                      <w:highlight w:val="none"/>
                    </w:rPr>
                    <w:t>）</w:t>
                  </w:r>
                </w:p>
              </w:tc>
              <w:tc>
                <w:tcPr>
                  <w:tcW w:w="638" w:type="pct"/>
                  <w:vAlign w:val="center"/>
                </w:tcPr>
                <w:p w14:paraId="17B9C9D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仿宋" w:cs="Times New Roman"/>
                      <w:b/>
                      <w:bCs/>
                      <w:color w:val="auto"/>
                      <w:kern w:val="0"/>
                      <w:sz w:val="21"/>
                      <w:szCs w:val="21"/>
                      <w:highlight w:val="none"/>
                      <w:lang w:val="en-US" w:eastAsia="zh-CN"/>
                    </w:rPr>
                  </w:pPr>
                  <w:r>
                    <w:rPr>
                      <w:rFonts w:hint="eastAsia" w:eastAsia="仿宋" w:cs="Times New Roman"/>
                      <w:b/>
                      <w:bCs/>
                      <w:color w:val="auto"/>
                      <w:kern w:val="0"/>
                      <w:sz w:val="21"/>
                      <w:szCs w:val="21"/>
                      <w:highlight w:val="none"/>
                      <w:lang w:val="en-US" w:eastAsia="zh-CN"/>
                    </w:rPr>
                    <w:t>金坛区</w:t>
                  </w:r>
                </w:p>
                <w:p w14:paraId="74D01A2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lang w:val="en-US" w:eastAsia="zh-CN"/>
                    </w:rPr>
                  </w:pPr>
                  <w:r>
                    <w:rPr>
                      <w:rFonts w:hint="eastAsia" w:eastAsia="仿宋" w:cs="Times New Roman"/>
                      <w:b/>
                      <w:bCs/>
                      <w:color w:val="auto"/>
                      <w:kern w:val="0"/>
                      <w:sz w:val="21"/>
                      <w:szCs w:val="21"/>
                      <w:highlight w:val="none"/>
                      <w:lang w:val="en-US" w:eastAsia="zh-CN"/>
                    </w:rPr>
                    <w:t>现状浓度</w:t>
                  </w:r>
                  <w:r>
                    <w:rPr>
                      <w:rFonts w:hint="default" w:ascii="Times New Roman" w:hAnsi="Times New Roman" w:eastAsia="仿宋" w:cs="Times New Roman"/>
                      <w:b/>
                      <w:bCs/>
                      <w:color w:val="auto"/>
                      <w:kern w:val="0"/>
                      <w:sz w:val="21"/>
                      <w:szCs w:val="21"/>
                      <w:highlight w:val="none"/>
                    </w:rPr>
                    <w:t>（μg/m</w:t>
                  </w:r>
                  <w:r>
                    <w:rPr>
                      <w:rFonts w:hint="default" w:ascii="Times New Roman" w:hAnsi="Times New Roman" w:eastAsia="仿宋" w:cs="Times New Roman"/>
                      <w:b/>
                      <w:bCs/>
                      <w:color w:val="auto"/>
                      <w:kern w:val="0"/>
                      <w:sz w:val="21"/>
                      <w:szCs w:val="21"/>
                      <w:highlight w:val="none"/>
                      <w:vertAlign w:val="superscript"/>
                    </w:rPr>
                    <w:t>3</w:t>
                  </w:r>
                  <w:r>
                    <w:rPr>
                      <w:rFonts w:hint="default" w:ascii="Times New Roman" w:hAnsi="Times New Roman" w:eastAsia="仿宋" w:cs="Times New Roman"/>
                      <w:b/>
                      <w:bCs/>
                      <w:color w:val="auto"/>
                      <w:kern w:val="0"/>
                      <w:sz w:val="21"/>
                      <w:szCs w:val="21"/>
                      <w:highlight w:val="none"/>
                    </w:rPr>
                    <w:t>）</w:t>
                  </w:r>
                </w:p>
              </w:tc>
              <w:tc>
                <w:tcPr>
                  <w:tcW w:w="638" w:type="pct"/>
                  <w:vAlign w:val="center"/>
                </w:tcPr>
                <w:p w14:paraId="104BAEE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rPr>
                  </w:pPr>
                  <w:r>
                    <w:rPr>
                      <w:rFonts w:hint="default" w:ascii="Times New Roman" w:hAnsi="Times New Roman" w:eastAsia="仿宋" w:cs="Times New Roman"/>
                      <w:b/>
                      <w:bCs/>
                      <w:color w:val="auto"/>
                      <w:kern w:val="0"/>
                      <w:sz w:val="21"/>
                      <w:szCs w:val="21"/>
                      <w:highlight w:val="none"/>
                    </w:rPr>
                    <w:t>标准值</w:t>
                  </w:r>
                </w:p>
                <w:p w14:paraId="01CB3E8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rPr>
                  </w:pPr>
                  <w:r>
                    <w:rPr>
                      <w:rFonts w:hint="default" w:ascii="Times New Roman" w:hAnsi="Times New Roman" w:eastAsia="仿宋" w:cs="Times New Roman"/>
                      <w:b/>
                      <w:bCs/>
                      <w:color w:val="auto"/>
                      <w:kern w:val="0"/>
                      <w:sz w:val="21"/>
                      <w:szCs w:val="21"/>
                      <w:highlight w:val="none"/>
                    </w:rPr>
                    <w:t>（μg/m</w:t>
                  </w:r>
                  <w:r>
                    <w:rPr>
                      <w:rFonts w:hint="default" w:ascii="Times New Roman" w:hAnsi="Times New Roman" w:eastAsia="仿宋" w:cs="Times New Roman"/>
                      <w:b/>
                      <w:bCs/>
                      <w:color w:val="auto"/>
                      <w:kern w:val="0"/>
                      <w:sz w:val="21"/>
                      <w:szCs w:val="21"/>
                      <w:highlight w:val="none"/>
                      <w:vertAlign w:val="superscript"/>
                    </w:rPr>
                    <w:t>3</w:t>
                  </w:r>
                  <w:r>
                    <w:rPr>
                      <w:rFonts w:hint="default" w:ascii="Times New Roman" w:hAnsi="Times New Roman" w:eastAsia="仿宋" w:cs="Times New Roman"/>
                      <w:b/>
                      <w:bCs/>
                      <w:color w:val="auto"/>
                      <w:kern w:val="0"/>
                      <w:sz w:val="21"/>
                      <w:szCs w:val="21"/>
                      <w:highlight w:val="none"/>
                    </w:rPr>
                    <w:t>）</w:t>
                  </w:r>
                </w:p>
              </w:tc>
              <w:tc>
                <w:tcPr>
                  <w:tcW w:w="461" w:type="pct"/>
                  <w:vAlign w:val="center"/>
                </w:tcPr>
                <w:p w14:paraId="5C948DA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lang w:val="en-US" w:eastAsia="zh-CN"/>
                    </w:rPr>
                  </w:pPr>
                  <w:r>
                    <w:rPr>
                      <w:rFonts w:hint="eastAsia" w:eastAsia="仿宋" w:cs="Times New Roman"/>
                      <w:b/>
                      <w:bCs/>
                      <w:color w:val="auto"/>
                      <w:kern w:val="0"/>
                      <w:sz w:val="21"/>
                      <w:szCs w:val="21"/>
                      <w:highlight w:val="none"/>
                      <w:lang w:val="en-US" w:eastAsia="zh-CN"/>
                    </w:rPr>
                    <w:t>超标倍数</w:t>
                  </w:r>
                </w:p>
              </w:tc>
              <w:tc>
                <w:tcPr>
                  <w:tcW w:w="461" w:type="pct"/>
                  <w:vAlign w:val="center"/>
                </w:tcPr>
                <w:p w14:paraId="5593CD8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rPr>
                  </w:pPr>
                  <w:r>
                    <w:rPr>
                      <w:rFonts w:hint="default" w:ascii="Times New Roman" w:hAnsi="Times New Roman" w:eastAsia="仿宋" w:cs="Times New Roman"/>
                      <w:b/>
                      <w:bCs/>
                      <w:color w:val="auto"/>
                      <w:kern w:val="0"/>
                      <w:sz w:val="21"/>
                      <w:szCs w:val="21"/>
                      <w:highlight w:val="none"/>
                    </w:rPr>
                    <w:t>达标情况</w:t>
                  </w:r>
                </w:p>
              </w:tc>
              <w:tc>
                <w:tcPr>
                  <w:tcW w:w="1010" w:type="pct"/>
                  <w:vAlign w:val="center"/>
                </w:tcPr>
                <w:p w14:paraId="583E43E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rPr>
                  </w:pPr>
                  <w:r>
                    <w:rPr>
                      <w:rFonts w:hint="default" w:ascii="Times New Roman" w:hAnsi="Times New Roman" w:eastAsia="仿宋" w:cs="Times New Roman"/>
                      <w:b/>
                      <w:bCs/>
                      <w:color w:val="auto"/>
                      <w:kern w:val="0"/>
                      <w:sz w:val="21"/>
                      <w:szCs w:val="21"/>
                      <w:highlight w:val="none"/>
                    </w:rPr>
                    <w:t>标准来源</w:t>
                  </w:r>
                </w:p>
              </w:tc>
            </w:tr>
            <w:tr w14:paraId="6196091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79" w:type="pct"/>
                  <w:vAlign w:val="center"/>
                </w:tcPr>
                <w:p w14:paraId="33D378D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SO</w:t>
                  </w:r>
                  <w:r>
                    <w:rPr>
                      <w:rFonts w:hint="default" w:ascii="Times New Roman" w:hAnsi="Times New Roman" w:eastAsia="仿宋" w:cs="Times New Roman"/>
                      <w:color w:val="auto"/>
                      <w:kern w:val="0"/>
                      <w:sz w:val="21"/>
                      <w:szCs w:val="21"/>
                      <w:highlight w:val="none"/>
                      <w:vertAlign w:val="subscript"/>
                    </w:rPr>
                    <w:t>2</w:t>
                  </w:r>
                </w:p>
              </w:tc>
              <w:tc>
                <w:tcPr>
                  <w:tcW w:w="771" w:type="pct"/>
                  <w:vAlign w:val="center"/>
                </w:tcPr>
                <w:p w14:paraId="6A40F62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年平均浓度</w:t>
                  </w:r>
                </w:p>
              </w:tc>
              <w:tc>
                <w:tcPr>
                  <w:tcW w:w="638" w:type="pct"/>
                  <w:vAlign w:val="center"/>
                </w:tcPr>
                <w:p w14:paraId="4DCEB19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8</w:t>
                  </w:r>
                </w:p>
              </w:tc>
              <w:tc>
                <w:tcPr>
                  <w:tcW w:w="638" w:type="pct"/>
                  <w:vAlign w:val="center"/>
                </w:tcPr>
                <w:p w14:paraId="098A117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8</w:t>
                  </w:r>
                </w:p>
              </w:tc>
              <w:tc>
                <w:tcPr>
                  <w:tcW w:w="638" w:type="pct"/>
                  <w:vAlign w:val="center"/>
                </w:tcPr>
                <w:p w14:paraId="43505DE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60</w:t>
                  </w:r>
                </w:p>
              </w:tc>
              <w:tc>
                <w:tcPr>
                  <w:tcW w:w="461" w:type="pct"/>
                  <w:vAlign w:val="center"/>
                </w:tcPr>
                <w:p w14:paraId="06C2BEA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w:t>
                  </w:r>
                </w:p>
              </w:tc>
              <w:tc>
                <w:tcPr>
                  <w:tcW w:w="461" w:type="pct"/>
                  <w:vAlign w:val="center"/>
                </w:tcPr>
                <w:p w14:paraId="6BE1658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达标</w:t>
                  </w:r>
                </w:p>
              </w:tc>
              <w:tc>
                <w:tcPr>
                  <w:tcW w:w="1010" w:type="pct"/>
                  <w:vMerge w:val="restart"/>
                  <w:vAlign w:val="center"/>
                </w:tcPr>
                <w:p w14:paraId="0F7D68B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《环境空气质量标准》（GB3095-2012）中二级标准</w:t>
                  </w:r>
                </w:p>
              </w:tc>
            </w:tr>
            <w:tr w14:paraId="2ED263F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79" w:type="pct"/>
                  <w:vAlign w:val="center"/>
                </w:tcPr>
                <w:p w14:paraId="6438789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NO</w:t>
                  </w:r>
                  <w:r>
                    <w:rPr>
                      <w:rFonts w:hint="default" w:ascii="Times New Roman" w:hAnsi="Times New Roman" w:eastAsia="仿宋" w:cs="Times New Roman"/>
                      <w:color w:val="auto"/>
                      <w:kern w:val="0"/>
                      <w:sz w:val="21"/>
                      <w:szCs w:val="21"/>
                      <w:highlight w:val="none"/>
                      <w:vertAlign w:val="subscript"/>
                    </w:rPr>
                    <w:t>2</w:t>
                  </w:r>
                </w:p>
              </w:tc>
              <w:tc>
                <w:tcPr>
                  <w:tcW w:w="771" w:type="pct"/>
                  <w:vAlign w:val="center"/>
                </w:tcPr>
                <w:p w14:paraId="7FA9F95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年平均浓度</w:t>
                  </w:r>
                </w:p>
              </w:tc>
              <w:tc>
                <w:tcPr>
                  <w:tcW w:w="638" w:type="pct"/>
                  <w:vAlign w:val="center"/>
                </w:tcPr>
                <w:p w14:paraId="52AB42C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30</w:t>
                  </w:r>
                </w:p>
              </w:tc>
              <w:tc>
                <w:tcPr>
                  <w:tcW w:w="638" w:type="pct"/>
                  <w:vAlign w:val="center"/>
                </w:tcPr>
                <w:p w14:paraId="201C3B2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28</w:t>
                  </w:r>
                </w:p>
              </w:tc>
              <w:tc>
                <w:tcPr>
                  <w:tcW w:w="638" w:type="pct"/>
                  <w:vAlign w:val="center"/>
                </w:tcPr>
                <w:p w14:paraId="6E2DD1A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40</w:t>
                  </w:r>
                </w:p>
              </w:tc>
              <w:tc>
                <w:tcPr>
                  <w:tcW w:w="839" w:type="dxa"/>
                  <w:vAlign w:val="center"/>
                </w:tcPr>
                <w:p w14:paraId="0FC84F4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eastAsia" w:eastAsia="仿宋" w:cs="Times New Roman"/>
                      <w:color w:val="auto"/>
                      <w:kern w:val="0"/>
                      <w:sz w:val="21"/>
                      <w:szCs w:val="21"/>
                      <w:highlight w:val="none"/>
                      <w:lang w:val="en-US" w:eastAsia="zh-CN"/>
                    </w:rPr>
                    <w:t>/</w:t>
                  </w:r>
                </w:p>
              </w:tc>
              <w:tc>
                <w:tcPr>
                  <w:tcW w:w="461" w:type="pct"/>
                  <w:vAlign w:val="center"/>
                </w:tcPr>
                <w:p w14:paraId="5AA9C6C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达标</w:t>
                  </w:r>
                </w:p>
              </w:tc>
              <w:tc>
                <w:tcPr>
                  <w:tcW w:w="1010" w:type="pct"/>
                  <w:vMerge w:val="continue"/>
                  <w:vAlign w:val="center"/>
                </w:tcPr>
                <w:p w14:paraId="7A7CF3C4">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p>
              </w:tc>
            </w:tr>
            <w:tr w14:paraId="79F536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79" w:type="pct"/>
                  <w:vAlign w:val="center"/>
                </w:tcPr>
                <w:p w14:paraId="0EE57AD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PM</w:t>
                  </w:r>
                  <w:r>
                    <w:rPr>
                      <w:rFonts w:hint="default" w:ascii="Times New Roman" w:hAnsi="Times New Roman" w:eastAsia="仿宋" w:cs="Times New Roman"/>
                      <w:color w:val="auto"/>
                      <w:kern w:val="0"/>
                      <w:sz w:val="21"/>
                      <w:szCs w:val="21"/>
                      <w:highlight w:val="none"/>
                      <w:vertAlign w:val="subscript"/>
                    </w:rPr>
                    <w:t>10</w:t>
                  </w:r>
                </w:p>
              </w:tc>
              <w:tc>
                <w:tcPr>
                  <w:tcW w:w="771" w:type="pct"/>
                  <w:vAlign w:val="center"/>
                </w:tcPr>
                <w:p w14:paraId="6AF1B2D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年平均浓度</w:t>
                  </w:r>
                </w:p>
              </w:tc>
              <w:tc>
                <w:tcPr>
                  <w:tcW w:w="638" w:type="pct"/>
                  <w:vAlign w:val="center"/>
                </w:tcPr>
                <w:p w14:paraId="1004315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57</w:t>
                  </w:r>
                </w:p>
              </w:tc>
              <w:tc>
                <w:tcPr>
                  <w:tcW w:w="638" w:type="pct"/>
                  <w:vAlign w:val="center"/>
                </w:tcPr>
                <w:p w14:paraId="78EDBA5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53</w:t>
                  </w:r>
                </w:p>
              </w:tc>
              <w:tc>
                <w:tcPr>
                  <w:tcW w:w="638" w:type="pct"/>
                  <w:vAlign w:val="center"/>
                </w:tcPr>
                <w:p w14:paraId="3FC8BA5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70</w:t>
                  </w:r>
                </w:p>
              </w:tc>
              <w:tc>
                <w:tcPr>
                  <w:tcW w:w="839" w:type="dxa"/>
                  <w:vAlign w:val="center"/>
                </w:tcPr>
                <w:p w14:paraId="67F1234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eastAsia" w:eastAsia="仿宋" w:cs="Times New Roman"/>
                      <w:color w:val="auto"/>
                      <w:kern w:val="0"/>
                      <w:sz w:val="21"/>
                      <w:szCs w:val="21"/>
                      <w:highlight w:val="none"/>
                      <w:lang w:val="en-US" w:eastAsia="zh-CN"/>
                    </w:rPr>
                    <w:t>/</w:t>
                  </w:r>
                </w:p>
              </w:tc>
              <w:tc>
                <w:tcPr>
                  <w:tcW w:w="461" w:type="pct"/>
                  <w:vAlign w:val="center"/>
                </w:tcPr>
                <w:p w14:paraId="61D1EB1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达标</w:t>
                  </w:r>
                </w:p>
              </w:tc>
              <w:tc>
                <w:tcPr>
                  <w:tcW w:w="1010" w:type="pct"/>
                  <w:vMerge w:val="continue"/>
                  <w:vAlign w:val="center"/>
                </w:tcPr>
                <w:p w14:paraId="21088DE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p>
              </w:tc>
            </w:tr>
            <w:tr w14:paraId="430E7FF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79" w:type="pct"/>
                  <w:vAlign w:val="center"/>
                </w:tcPr>
                <w:p w14:paraId="74BC682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PM</w:t>
                  </w:r>
                  <w:r>
                    <w:rPr>
                      <w:rFonts w:hint="default" w:ascii="Times New Roman" w:hAnsi="Times New Roman" w:eastAsia="仿宋" w:cs="Times New Roman"/>
                      <w:color w:val="auto"/>
                      <w:kern w:val="0"/>
                      <w:sz w:val="21"/>
                      <w:szCs w:val="21"/>
                      <w:highlight w:val="none"/>
                      <w:vertAlign w:val="subscript"/>
                    </w:rPr>
                    <w:t>2.5</w:t>
                  </w:r>
                </w:p>
              </w:tc>
              <w:tc>
                <w:tcPr>
                  <w:tcW w:w="771" w:type="pct"/>
                  <w:vAlign w:val="center"/>
                </w:tcPr>
                <w:p w14:paraId="55454AE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年平均浓度</w:t>
                  </w:r>
                </w:p>
              </w:tc>
              <w:tc>
                <w:tcPr>
                  <w:tcW w:w="638" w:type="pct"/>
                  <w:vAlign w:val="center"/>
                </w:tcPr>
                <w:p w14:paraId="7CD608A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34</w:t>
                  </w:r>
                </w:p>
              </w:tc>
              <w:tc>
                <w:tcPr>
                  <w:tcW w:w="638" w:type="pct"/>
                  <w:vAlign w:val="center"/>
                </w:tcPr>
                <w:p w14:paraId="723EC2B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33</w:t>
                  </w:r>
                </w:p>
              </w:tc>
              <w:tc>
                <w:tcPr>
                  <w:tcW w:w="638" w:type="pct"/>
                  <w:vAlign w:val="center"/>
                </w:tcPr>
                <w:p w14:paraId="458E2D4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35</w:t>
                  </w:r>
                </w:p>
              </w:tc>
              <w:tc>
                <w:tcPr>
                  <w:tcW w:w="839" w:type="dxa"/>
                  <w:vAlign w:val="center"/>
                </w:tcPr>
                <w:p w14:paraId="656720C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eastAsia" w:eastAsia="仿宋" w:cs="Times New Roman"/>
                      <w:color w:val="auto"/>
                      <w:kern w:val="0"/>
                      <w:sz w:val="21"/>
                      <w:szCs w:val="21"/>
                      <w:highlight w:val="none"/>
                      <w:lang w:val="en-US" w:eastAsia="zh-CN"/>
                    </w:rPr>
                    <w:t>/</w:t>
                  </w:r>
                </w:p>
              </w:tc>
              <w:tc>
                <w:tcPr>
                  <w:tcW w:w="461" w:type="pct"/>
                  <w:vAlign w:val="center"/>
                </w:tcPr>
                <w:p w14:paraId="637805C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达标</w:t>
                  </w:r>
                </w:p>
              </w:tc>
              <w:tc>
                <w:tcPr>
                  <w:tcW w:w="1010" w:type="pct"/>
                  <w:vMerge w:val="continue"/>
                  <w:vAlign w:val="center"/>
                </w:tcPr>
                <w:p w14:paraId="3B293F4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p>
              </w:tc>
            </w:tr>
            <w:tr w14:paraId="6ACC834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79" w:type="pct"/>
                  <w:vAlign w:val="center"/>
                </w:tcPr>
                <w:p w14:paraId="49BDF21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CO</w:t>
                  </w:r>
                </w:p>
              </w:tc>
              <w:tc>
                <w:tcPr>
                  <w:tcW w:w="771" w:type="pct"/>
                  <w:vAlign w:val="center"/>
                </w:tcPr>
                <w:p w14:paraId="50C5321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24小时平均第95百分位</w:t>
                  </w:r>
                </w:p>
              </w:tc>
              <w:tc>
                <w:tcPr>
                  <w:tcW w:w="638" w:type="pct"/>
                  <w:vAlign w:val="center"/>
                </w:tcPr>
                <w:p w14:paraId="58BB004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1100</w:t>
                  </w:r>
                </w:p>
              </w:tc>
              <w:tc>
                <w:tcPr>
                  <w:tcW w:w="638" w:type="pct"/>
                  <w:vAlign w:val="center"/>
                </w:tcPr>
                <w:p w14:paraId="74857F3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1000</w:t>
                  </w:r>
                </w:p>
              </w:tc>
              <w:tc>
                <w:tcPr>
                  <w:tcW w:w="638" w:type="pct"/>
                  <w:vAlign w:val="center"/>
                </w:tcPr>
                <w:p w14:paraId="06FA0E7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4000</w:t>
                  </w:r>
                </w:p>
              </w:tc>
              <w:tc>
                <w:tcPr>
                  <w:tcW w:w="839" w:type="dxa"/>
                  <w:vAlign w:val="center"/>
                </w:tcPr>
                <w:p w14:paraId="39B4338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eastAsia" w:eastAsia="仿宋" w:cs="Times New Roman"/>
                      <w:color w:val="auto"/>
                      <w:kern w:val="0"/>
                      <w:sz w:val="21"/>
                      <w:szCs w:val="21"/>
                      <w:highlight w:val="none"/>
                      <w:lang w:val="en-US" w:eastAsia="zh-CN"/>
                    </w:rPr>
                    <w:t>/</w:t>
                  </w:r>
                </w:p>
              </w:tc>
              <w:tc>
                <w:tcPr>
                  <w:tcW w:w="461" w:type="pct"/>
                  <w:vAlign w:val="center"/>
                </w:tcPr>
                <w:p w14:paraId="76F6F58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达标</w:t>
                  </w:r>
                </w:p>
              </w:tc>
              <w:tc>
                <w:tcPr>
                  <w:tcW w:w="1010" w:type="pct"/>
                  <w:vMerge w:val="continue"/>
                  <w:vAlign w:val="center"/>
                </w:tcPr>
                <w:p w14:paraId="740EF46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p>
              </w:tc>
            </w:tr>
            <w:tr w14:paraId="6A4DE63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4" w:hRule="atLeast"/>
              </w:trPr>
              <w:tc>
                <w:tcPr>
                  <w:tcW w:w="379" w:type="pct"/>
                  <w:vAlign w:val="center"/>
                </w:tcPr>
                <w:p w14:paraId="3801EA2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O</w:t>
                  </w:r>
                  <w:r>
                    <w:rPr>
                      <w:rFonts w:hint="default" w:ascii="Times New Roman" w:hAnsi="Times New Roman" w:eastAsia="仿宋" w:cs="Times New Roman"/>
                      <w:color w:val="auto"/>
                      <w:kern w:val="0"/>
                      <w:sz w:val="21"/>
                      <w:szCs w:val="21"/>
                      <w:highlight w:val="none"/>
                      <w:vertAlign w:val="subscript"/>
                    </w:rPr>
                    <w:t>3</w:t>
                  </w:r>
                </w:p>
              </w:tc>
              <w:tc>
                <w:tcPr>
                  <w:tcW w:w="771" w:type="pct"/>
                  <w:vAlign w:val="center"/>
                </w:tcPr>
                <w:p w14:paraId="0E33ED4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日最大8h滑动平均值第90百分位数</w:t>
                  </w:r>
                </w:p>
              </w:tc>
              <w:tc>
                <w:tcPr>
                  <w:tcW w:w="638" w:type="pct"/>
                  <w:vAlign w:val="center"/>
                </w:tcPr>
                <w:p w14:paraId="225F2A4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174</w:t>
                  </w:r>
                </w:p>
              </w:tc>
              <w:tc>
                <w:tcPr>
                  <w:tcW w:w="638" w:type="pct"/>
                  <w:vAlign w:val="center"/>
                </w:tcPr>
                <w:p w14:paraId="482C484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180</w:t>
                  </w:r>
                </w:p>
              </w:tc>
              <w:tc>
                <w:tcPr>
                  <w:tcW w:w="638" w:type="pct"/>
                  <w:vAlign w:val="center"/>
                </w:tcPr>
                <w:p w14:paraId="3F897E2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160</w:t>
                  </w:r>
                </w:p>
              </w:tc>
              <w:tc>
                <w:tcPr>
                  <w:tcW w:w="461" w:type="pct"/>
                  <w:vAlign w:val="center"/>
                </w:tcPr>
                <w:p w14:paraId="3E5CB68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0.0875</w:t>
                  </w:r>
                </w:p>
                <w:p w14:paraId="016CBAA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/0.125</w:t>
                  </w:r>
                </w:p>
              </w:tc>
              <w:tc>
                <w:tcPr>
                  <w:tcW w:w="461" w:type="pct"/>
                  <w:vAlign w:val="center"/>
                </w:tcPr>
                <w:p w14:paraId="5F66853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r>
                    <w:rPr>
                      <w:rFonts w:hint="default" w:ascii="Times New Roman" w:hAnsi="Times New Roman" w:eastAsia="仿宋" w:cs="Times New Roman"/>
                      <w:color w:val="auto"/>
                      <w:kern w:val="0"/>
                      <w:sz w:val="21"/>
                      <w:szCs w:val="21"/>
                      <w:highlight w:val="none"/>
                    </w:rPr>
                    <w:t>超标</w:t>
                  </w:r>
                </w:p>
              </w:tc>
              <w:tc>
                <w:tcPr>
                  <w:tcW w:w="1010" w:type="pct"/>
                  <w:vMerge w:val="continue"/>
                  <w:vAlign w:val="center"/>
                </w:tcPr>
                <w:p w14:paraId="15E6CA5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rPr>
                  </w:pPr>
                </w:p>
              </w:tc>
            </w:tr>
          </w:tbl>
          <w:p w14:paraId="12A5E83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2023年常州全市（含金坛区）环境空气中二氧化硫、二氧化氮、细颗粒物、颗粒物年均值和一氧化碳24小时平均值均达到环境空气质量二级标准:臭氧日最大8小时滑动均值超过环境空气质量二级标准，全市超标倍数为0.0875倍，金坛区超标倍数为0.125倍。项目所在区O</w:t>
            </w:r>
            <w:r>
              <w:rPr>
                <w:rFonts w:hint="eastAsia" w:eastAsia="仿宋" w:cs="Times New Roman"/>
                <w:color w:val="auto"/>
                <w:sz w:val="24"/>
                <w:highlight w:val="none"/>
                <w:vertAlign w:val="subscript"/>
                <w:lang w:val="en-US" w:eastAsia="zh-CN"/>
              </w:rPr>
              <w:t>3</w:t>
            </w:r>
            <w:r>
              <w:rPr>
                <w:rFonts w:hint="eastAsia" w:eastAsia="仿宋" w:cs="Times New Roman"/>
                <w:color w:val="auto"/>
                <w:sz w:val="24"/>
                <w:highlight w:val="none"/>
                <w:lang w:val="en-US" w:eastAsia="zh-CN"/>
              </w:rPr>
              <w:t>超标，因此判定为非达标区。</w:t>
            </w:r>
          </w:p>
          <w:p w14:paraId="5ACC97D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eastAsia="仿宋"/>
                <w:color w:val="auto"/>
                <w:kern w:val="0"/>
                <w:sz w:val="24"/>
                <w:highlight w:val="none"/>
                <w:lang w:val="en-US" w:eastAsia="zh-CN"/>
              </w:rPr>
            </w:pPr>
            <w:r>
              <w:rPr>
                <w:rFonts w:eastAsia="仿宋"/>
                <w:color w:val="auto"/>
                <w:kern w:val="0"/>
                <w:sz w:val="24"/>
                <w:highlight w:val="none"/>
                <w:lang w:val="en-US" w:eastAsia="zh-CN"/>
              </w:rPr>
              <w:t>（</w:t>
            </w:r>
            <w:r>
              <w:rPr>
                <w:rFonts w:hint="eastAsia" w:eastAsia="仿宋"/>
                <w:color w:val="auto"/>
                <w:kern w:val="0"/>
                <w:sz w:val="24"/>
                <w:highlight w:val="none"/>
                <w:lang w:val="en-US" w:eastAsia="zh-CN"/>
              </w:rPr>
              <w:t>2</w:t>
            </w:r>
            <w:r>
              <w:rPr>
                <w:rFonts w:eastAsia="仿宋"/>
                <w:color w:val="auto"/>
                <w:kern w:val="0"/>
                <w:sz w:val="24"/>
                <w:highlight w:val="none"/>
                <w:lang w:val="en-US" w:eastAsia="zh-CN"/>
              </w:rPr>
              <w:t>）区域削减</w:t>
            </w:r>
          </w:p>
          <w:p w14:paraId="056E86BD">
            <w:pPr>
              <w:pStyle w:val="9"/>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根据常州市生态文明建设委员会关于印发《2024年度全面推进美丽常州建设工作方案》的通知，主要举措如下：</w:t>
            </w:r>
          </w:p>
          <w:p w14:paraId="30AD6B42">
            <w:pPr>
              <w:pStyle w:val="9"/>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开展火电煤堆场专项整治行动。年内完成国能常州发电有限公司、常州经开区亚太热电2家火电“一企一策”综合整治，年底前完成广达热电关闭退出工作。抓好钢铁、水泥、铸造、垃圾焚烧、汽修“五大行业”整治。完成宝润钢铁全流程超低排放改造；完成江苏常宝钢管股份有限公司2台工业炉窑烟气脱硝或低氮改造；完成光大常高新垃圾焚烧提标改造。推进燃烧法工艺（RTO、RCO、TO）治污设施建设，力争4月底前完成50%以上的年度VOCs治理重点工程项目。9月底前完成154家汽修行业企业全面排查和系统治理。强化挥发性有机物全过程全环节综合治理，实施源头替代工程，年内木质家具制造、工程机械替代比例力争达到80%，汽车零部件及配件制造、钢结构（防腐级别C4及以上的除外）替代比例力争达到60%。开展虚假“油改水”专项清理。常州滨江经济开发区新材料产业园、金坛新材料科技产业园制定化工园区综合整治方案，建立统一的泄露检测与修复信息管理平台。对挥发性有机液体储罐开展排查，4月底前符合要求的力争实现全更换。中石油、中石化两个油库完成储罐浮盘高效密封改造。持续加强原油成品油码头和油船挥发性有机物治理。开展55家水泥行业企业和43家玻璃行企业排查整治，对733家铸造企业“回头看”，培育环保绩效AB级水平标杆企业37家以上。鼓励开展清洁生产审核的铸造企业，主动提升清洁生产先进水平。强化施工工地、道路、园林绿化、裸地以及港口码头等扬尘治理，严格执行《常州市扬尘污染防治管理办法》要求，施工工地严格执行“六个百分百”要求，“两区三厂”范围内无大面积未覆盖裸土。推进规模以上工地安装扬尘在线监测和视频监控设备，鼓励实施监测超标预警和喷淋、雾炮等设施的远程控制与自动降尘有效联动。持续对全市63个镇（街道）、园区实施降尘考核，全市降尘不得高于2.2吨/平方千米·月。开展餐饮油烟专项治理，推动产生油烟或异味的餐饮服务单位安装油烟净化装置并定期维护，每季度清洗一次烟道。推进建设钟楼吾悦国际综合体为主要集中治理区域的餐饮油烟治理示范街区。严格落实《江苏省重污染天气应急预案》有关要求，9月底前完成绩效分级、应急减排清单和豁免企业清单修订工作。加强秸秆禁烧，全面提升秸秆收、运、贮、用等方面能力。加强春节、中秋、国庆等重点时段的烟花爆竹燃放管控工作，严防禁放区内发生聚集性违规燃放。溧阳高新区开展减污降碳协同创新试点，制定形成试点任务清单。</w:t>
            </w:r>
          </w:p>
          <w:p w14:paraId="66116661">
            <w:pPr>
              <w:pStyle w:val="9"/>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采取上述措施，常州市的大气空气质量将得到进一步改善。</w:t>
            </w:r>
          </w:p>
          <w:p w14:paraId="53C402FF">
            <w:pPr>
              <w:pStyle w:val="9"/>
              <w:rPr>
                <w:rFonts w:hint="default"/>
                <w:color w:val="auto"/>
                <w:lang w:val="en-US" w:eastAsia="zh-CN"/>
              </w:rPr>
            </w:pPr>
            <w:r>
              <w:rPr>
                <w:rFonts w:hint="eastAsia" w:eastAsia="仿宋" w:cs="Times New Roman"/>
                <w:b/>
                <w:bCs/>
                <w:color w:val="auto"/>
                <w:sz w:val="24"/>
                <w:highlight w:val="none"/>
                <w:lang w:val="en-US" w:eastAsia="zh-CN"/>
              </w:rPr>
              <w:t>5、声环境</w:t>
            </w:r>
          </w:p>
          <w:p w14:paraId="623FBBD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eastAsia="仿宋"/>
                <w:color w:val="auto"/>
                <w:kern w:val="0"/>
                <w:sz w:val="24"/>
                <w:highlight w:val="none"/>
                <w:lang w:val="en-US" w:eastAsia="zh-CN"/>
              </w:rPr>
            </w:pPr>
            <w:r>
              <w:rPr>
                <w:rFonts w:eastAsia="仿宋"/>
                <w:color w:val="auto"/>
                <w:kern w:val="0"/>
                <w:sz w:val="24"/>
                <w:highlight w:val="none"/>
                <w:lang w:val="en-US" w:eastAsia="zh-CN"/>
              </w:rPr>
              <w:t>（1）噪声环境质量标准</w:t>
            </w:r>
          </w:p>
          <w:p w14:paraId="3D93EE2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根据《常州市市区声环境功能区划（2017）》（常政发〔2017〕160号），本项目所在区域尚未划定声环境功能区划，未明确区划的根据《关于公路、铁路（含轻轨）等建设项目环境影响评价中环境噪声有关问题的通知》（环发〔2003〕94号）要求，“由县级以上地方人民政府确认其功能区和应执行的标准”，经核实，该段政府未明确其功能区及执行标准，因此本项目参考《声环境质量标准》（GB3096-2008）、《声环境功能区划分技术规范》（GB/T 15190-2014）中规定的功能区定义确定对应的声环境质量标准。</w:t>
            </w:r>
          </w:p>
          <w:p w14:paraId="01F6A14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根据现场调查，项目沿线主要为农田、空地及无人水域，项目区北部为河海大学长荡湖校区，依据《声环境质量标准》（GB3096-2008）的相关规定，</w:t>
            </w:r>
            <w:r>
              <w:rPr>
                <w:rFonts w:hint="eastAsia" w:ascii="Times New Roman" w:hAnsi="Times New Roman" w:eastAsia="仿宋"/>
                <w:color w:val="auto"/>
                <w:kern w:val="0"/>
                <w:sz w:val="24"/>
                <w:highlight w:val="none"/>
                <w:lang w:val="en-US" w:eastAsia="zh-CN"/>
              </w:rPr>
              <w:t>参照</w:t>
            </w:r>
            <w:r>
              <w:rPr>
                <w:rFonts w:hint="eastAsia" w:eastAsia="仿宋"/>
                <w:color w:val="auto"/>
                <w:kern w:val="0"/>
                <w:sz w:val="24"/>
                <w:highlight w:val="none"/>
                <w:lang w:val="en-US" w:eastAsia="zh-CN"/>
              </w:rPr>
              <w:t>执行1类标准。</w:t>
            </w:r>
          </w:p>
          <w:p w14:paraId="00724DB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eastAsia="仿宋"/>
                <w:color w:val="auto"/>
                <w:kern w:val="0"/>
                <w:sz w:val="24"/>
                <w:highlight w:val="none"/>
                <w:lang w:val="en-US" w:eastAsia="zh-CN"/>
              </w:rPr>
            </w:pPr>
            <w:r>
              <w:rPr>
                <w:rFonts w:hint="eastAsia" w:eastAsia="仿宋"/>
                <w:color w:val="auto"/>
                <w:kern w:val="0"/>
                <w:sz w:val="24"/>
                <w:highlight w:val="none"/>
                <w:lang w:val="en-US" w:eastAsia="zh-CN"/>
              </w:rPr>
              <w:t>项目东侧、南侧均为长荡湖水域，50米范围内无噪声敏感目标，仅在项目西侧、北侧设置监测点</w:t>
            </w:r>
            <w:r>
              <w:rPr>
                <w:rFonts w:eastAsia="仿宋"/>
                <w:color w:val="auto"/>
                <w:kern w:val="0"/>
                <w:sz w:val="24"/>
                <w:highlight w:val="none"/>
                <w:lang w:val="en-US" w:eastAsia="zh-CN"/>
              </w:rPr>
              <w:t>。具体标准值见表3-</w:t>
            </w:r>
            <w:r>
              <w:rPr>
                <w:rFonts w:hint="eastAsia" w:eastAsia="仿宋"/>
                <w:color w:val="auto"/>
                <w:kern w:val="0"/>
                <w:sz w:val="24"/>
                <w:highlight w:val="none"/>
                <w:lang w:val="en-US" w:eastAsia="zh-CN"/>
              </w:rPr>
              <w:t>7</w:t>
            </w:r>
            <w:r>
              <w:rPr>
                <w:rFonts w:eastAsia="仿宋"/>
                <w:color w:val="auto"/>
                <w:kern w:val="0"/>
                <w:sz w:val="24"/>
                <w:highlight w:val="none"/>
                <w:lang w:val="en-US" w:eastAsia="zh-CN"/>
              </w:rPr>
              <w:t>。</w:t>
            </w:r>
          </w:p>
          <w:p w14:paraId="7C254D45">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表3-7 声环境质量标准</w:t>
            </w:r>
          </w:p>
          <w:tbl>
            <w:tblPr>
              <w:tblStyle w:val="23"/>
              <w:tblW w:w="8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6"/>
              <w:gridCol w:w="2084"/>
              <w:gridCol w:w="942"/>
              <w:gridCol w:w="864"/>
              <w:gridCol w:w="1477"/>
              <w:gridCol w:w="1477"/>
            </w:tblGrid>
            <w:tr w14:paraId="047CD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306" w:type="dxa"/>
                  <w:tcBorders>
                    <w:tl2br w:val="nil"/>
                    <w:tr2bl w:val="nil"/>
                  </w:tcBorders>
                  <w:vAlign w:val="center"/>
                </w:tcPr>
                <w:p w14:paraId="4C5786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仿宋"/>
                      <w:b/>
                      <w:color w:val="auto"/>
                      <w:sz w:val="21"/>
                      <w:szCs w:val="21"/>
                      <w:highlight w:val="none"/>
                    </w:rPr>
                  </w:pPr>
                  <w:r>
                    <w:rPr>
                      <w:rFonts w:eastAsia="仿宋"/>
                      <w:b/>
                      <w:color w:val="auto"/>
                      <w:sz w:val="21"/>
                      <w:szCs w:val="21"/>
                      <w:highlight w:val="none"/>
                    </w:rPr>
                    <w:t>区域</w:t>
                  </w:r>
                </w:p>
              </w:tc>
              <w:tc>
                <w:tcPr>
                  <w:tcW w:w="2084" w:type="dxa"/>
                  <w:tcBorders>
                    <w:tl2br w:val="nil"/>
                    <w:tr2bl w:val="nil"/>
                  </w:tcBorders>
                  <w:vAlign w:val="center"/>
                </w:tcPr>
                <w:p w14:paraId="502960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仿宋"/>
                      <w:b/>
                      <w:color w:val="auto"/>
                      <w:sz w:val="21"/>
                      <w:szCs w:val="21"/>
                      <w:highlight w:val="none"/>
                    </w:rPr>
                  </w:pPr>
                  <w:r>
                    <w:rPr>
                      <w:rFonts w:eastAsia="仿宋"/>
                      <w:b/>
                      <w:color w:val="auto"/>
                      <w:sz w:val="21"/>
                      <w:szCs w:val="21"/>
                      <w:highlight w:val="none"/>
                    </w:rPr>
                    <w:t>执行标准</w:t>
                  </w:r>
                </w:p>
              </w:tc>
              <w:tc>
                <w:tcPr>
                  <w:tcW w:w="942" w:type="dxa"/>
                  <w:tcBorders>
                    <w:tl2br w:val="nil"/>
                    <w:tr2bl w:val="nil"/>
                  </w:tcBorders>
                  <w:vAlign w:val="center"/>
                </w:tcPr>
                <w:p w14:paraId="254320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仿宋"/>
                      <w:b/>
                      <w:color w:val="auto"/>
                      <w:spacing w:val="-10"/>
                      <w:sz w:val="21"/>
                      <w:szCs w:val="21"/>
                      <w:highlight w:val="none"/>
                    </w:rPr>
                  </w:pPr>
                  <w:r>
                    <w:rPr>
                      <w:rFonts w:eastAsia="仿宋"/>
                      <w:b/>
                      <w:color w:val="auto"/>
                      <w:spacing w:val="-10"/>
                      <w:sz w:val="21"/>
                      <w:szCs w:val="21"/>
                      <w:highlight w:val="none"/>
                    </w:rPr>
                    <w:t>表号及级别</w:t>
                  </w:r>
                </w:p>
              </w:tc>
              <w:tc>
                <w:tcPr>
                  <w:tcW w:w="864" w:type="dxa"/>
                  <w:tcBorders>
                    <w:tl2br w:val="nil"/>
                    <w:tr2bl w:val="nil"/>
                  </w:tcBorders>
                  <w:vAlign w:val="center"/>
                </w:tcPr>
                <w:p w14:paraId="3D14E3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仿宋"/>
                      <w:b/>
                      <w:color w:val="auto"/>
                      <w:sz w:val="21"/>
                      <w:szCs w:val="21"/>
                      <w:highlight w:val="none"/>
                    </w:rPr>
                  </w:pPr>
                  <w:r>
                    <w:rPr>
                      <w:rFonts w:eastAsia="仿宋"/>
                      <w:b/>
                      <w:color w:val="auto"/>
                      <w:sz w:val="21"/>
                      <w:szCs w:val="21"/>
                      <w:highlight w:val="none"/>
                    </w:rPr>
                    <w:t>单位</w:t>
                  </w:r>
                </w:p>
              </w:tc>
              <w:tc>
                <w:tcPr>
                  <w:tcW w:w="1477" w:type="dxa"/>
                  <w:tcBorders>
                    <w:tl2br w:val="nil"/>
                    <w:tr2bl w:val="nil"/>
                  </w:tcBorders>
                  <w:vAlign w:val="center"/>
                </w:tcPr>
                <w:p w14:paraId="28DB7D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仿宋"/>
                      <w:b/>
                      <w:color w:val="auto"/>
                      <w:spacing w:val="-10"/>
                      <w:sz w:val="21"/>
                      <w:szCs w:val="21"/>
                      <w:highlight w:val="none"/>
                      <w:lang w:eastAsia="zh-CN"/>
                    </w:rPr>
                  </w:pPr>
                  <w:r>
                    <w:rPr>
                      <w:rFonts w:eastAsia="仿宋"/>
                      <w:b/>
                      <w:color w:val="auto"/>
                      <w:spacing w:val="-10"/>
                      <w:sz w:val="21"/>
                      <w:szCs w:val="21"/>
                      <w:highlight w:val="none"/>
                    </w:rPr>
                    <w:t>标准限值</w:t>
                  </w:r>
                  <w:r>
                    <w:rPr>
                      <w:rFonts w:hint="eastAsia" w:eastAsia="仿宋"/>
                      <w:b/>
                      <w:color w:val="auto"/>
                      <w:spacing w:val="-10"/>
                      <w:sz w:val="21"/>
                      <w:szCs w:val="21"/>
                      <w:highlight w:val="none"/>
                      <w:lang w:eastAsia="zh-CN"/>
                    </w:rPr>
                    <w:t>（</w:t>
                  </w:r>
                  <w:r>
                    <w:rPr>
                      <w:rFonts w:eastAsia="仿宋"/>
                      <w:b/>
                      <w:color w:val="auto"/>
                      <w:sz w:val="21"/>
                      <w:szCs w:val="21"/>
                      <w:highlight w:val="none"/>
                    </w:rPr>
                    <w:t>昼间</w:t>
                  </w:r>
                  <w:r>
                    <w:rPr>
                      <w:rFonts w:hint="eastAsia" w:eastAsia="仿宋"/>
                      <w:b/>
                      <w:color w:val="auto"/>
                      <w:sz w:val="21"/>
                      <w:szCs w:val="21"/>
                      <w:highlight w:val="none"/>
                      <w:lang w:eastAsia="zh-CN"/>
                    </w:rPr>
                    <w:t>）</w:t>
                  </w:r>
                </w:p>
              </w:tc>
              <w:tc>
                <w:tcPr>
                  <w:tcW w:w="1477" w:type="dxa"/>
                  <w:tcBorders>
                    <w:tl2br w:val="nil"/>
                    <w:tr2bl w:val="nil"/>
                  </w:tcBorders>
                  <w:vAlign w:val="center"/>
                </w:tcPr>
                <w:p w14:paraId="7115E4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仿宋"/>
                      <w:b/>
                      <w:color w:val="auto"/>
                      <w:spacing w:val="-10"/>
                      <w:sz w:val="21"/>
                      <w:szCs w:val="21"/>
                      <w:highlight w:val="none"/>
                    </w:rPr>
                  </w:pPr>
                  <w:r>
                    <w:rPr>
                      <w:rFonts w:eastAsia="仿宋"/>
                      <w:b/>
                      <w:color w:val="auto"/>
                      <w:spacing w:val="-10"/>
                      <w:sz w:val="21"/>
                      <w:szCs w:val="21"/>
                      <w:highlight w:val="none"/>
                    </w:rPr>
                    <w:t>标准限值</w:t>
                  </w:r>
                  <w:r>
                    <w:rPr>
                      <w:rFonts w:hint="eastAsia" w:eastAsia="仿宋"/>
                      <w:b/>
                      <w:color w:val="auto"/>
                      <w:spacing w:val="-10"/>
                      <w:sz w:val="21"/>
                      <w:szCs w:val="21"/>
                      <w:highlight w:val="none"/>
                      <w:lang w:eastAsia="zh-CN"/>
                    </w:rPr>
                    <w:t>（</w:t>
                  </w:r>
                  <w:r>
                    <w:rPr>
                      <w:rFonts w:hint="eastAsia" w:eastAsia="仿宋"/>
                      <w:b/>
                      <w:color w:val="auto"/>
                      <w:spacing w:val="-10"/>
                      <w:sz w:val="21"/>
                      <w:szCs w:val="21"/>
                      <w:highlight w:val="none"/>
                      <w:lang w:val="en-US" w:eastAsia="zh-CN"/>
                    </w:rPr>
                    <w:t>夜</w:t>
                  </w:r>
                  <w:r>
                    <w:rPr>
                      <w:rFonts w:eastAsia="仿宋"/>
                      <w:b/>
                      <w:color w:val="auto"/>
                      <w:sz w:val="21"/>
                      <w:szCs w:val="21"/>
                      <w:highlight w:val="none"/>
                    </w:rPr>
                    <w:t>间</w:t>
                  </w:r>
                  <w:r>
                    <w:rPr>
                      <w:rFonts w:hint="eastAsia" w:eastAsia="仿宋"/>
                      <w:b/>
                      <w:color w:val="auto"/>
                      <w:sz w:val="21"/>
                      <w:szCs w:val="21"/>
                      <w:highlight w:val="none"/>
                      <w:lang w:eastAsia="zh-CN"/>
                    </w:rPr>
                    <w:t>）</w:t>
                  </w:r>
                </w:p>
              </w:tc>
            </w:tr>
            <w:tr w14:paraId="34A15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06" w:type="dxa"/>
                  <w:tcBorders>
                    <w:tl2br w:val="nil"/>
                    <w:tr2bl w:val="nil"/>
                  </w:tcBorders>
                  <w:vAlign w:val="center"/>
                </w:tcPr>
                <w:p w14:paraId="4D2C43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仿宋"/>
                      <w:color w:val="auto"/>
                      <w:sz w:val="21"/>
                      <w:szCs w:val="21"/>
                      <w:highlight w:val="none"/>
                      <w:lang w:val="en-US"/>
                    </w:rPr>
                  </w:pPr>
                  <w:r>
                    <w:rPr>
                      <w:rFonts w:hint="eastAsia" w:eastAsia="仿宋"/>
                      <w:color w:val="auto"/>
                      <w:sz w:val="21"/>
                      <w:szCs w:val="21"/>
                      <w:highlight w:val="none"/>
                      <w:lang w:val="en-US" w:eastAsia="zh-CN"/>
                    </w:rPr>
                    <w:t>N1、N2</w:t>
                  </w:r>
                </w:p>
              </w:tc>
              <w:tc>
                <w:tcPr>
                  <w:tcW w:w="2084" w:type="dxa"/>
                  <w:tcBorders>
                    <w:tl2br w:val="nil"/>
                    <w:tr2bl w:val="nil"/>
                  </w:tcBorders>
                  <w:vAlign w:val="center"/>
                </w:tcPr>
                <w:p w14:paraId="672C17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仿宋"/>
                      <w:color w:val="auto"/>
                      <w:sz w:val="21"/>
                      <w:szCs w:val="21"/>
                      <w:highlight w:val="none"/>
                    </w:rPr>
                  </w:pPr>
                  <w:r>
                    <w:rPr>
                      <w:rFonts w:eastAsia="仿宋"/>
                      <w:color w:val="auto"/>
                      <w:sz w:val="21"/>
                      <w:szCs w:val="21"/>
                      <w:highlight w:val="none"/>
                    </w:rPr>
                    <w:t>《声环境质量标准》（GB3096-2008）</w:t>
                  </w:r>
                </w:p>
              </w:tc>
              <w:tc>
                <w:tcPr>
                  <w:tcW w:w="942" w:type="dxa"/>
                  <w:tcBorders>
                    <w:tl2br w:val="nil"/>
                    <w:tr2bl w:val="nil"/>
                  </w:tcBorders>
                  <w:vAlign w:val="center"/>
                </w:tcPr>
                <w:p w14:paraId="440581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仿宋"/>
                      <w:color w:val="auto"/>
                      <w:sz w:val="21"/>
                      <w:szCs w:val="21"/>
                      <w:highlight w:val="none"/>
                    </w:rPr>
                  </w:pPr>
                  <w:r>
                    <w:rPr>
                      <w:rFonts w:hint="eastAsia" w:eastAsia="仿宋"/>
                      <w:color w:val="auto"/>
                      <w:sz w:val="21"/>
                      <w:szCs w:val="21"/>
                      <w:highlight w:val="none"/>
                      <w:lang w:val="en-US" w:eastAsia="zh-CN"/>
                    </w:rPr>
                    <w:t>1</w:t>
                  </w:r>
                  <w:r>
                    <w:rPr>
                      <w:rFonts w:eastAsia="仿宋"/>
                      <w:color w:val="auto"/>
                      <w:sz w:val="21"/>
                      <w:szCs w:val="21"/>
                      <w:highlight w:val="none"/>
                    </w:rPr>
                    <w:t>类</w:t>
                  </w:r>
                </w:p>
              </w:tc>
              <w:tc>
                <w:tcPr>
                  <w:tcW w:w="864" w:type="dxa"/>
                  <w:tcBorders>
                    <w:tl2br w:val="nil"/>
                    <w:tr2bl w:val="nil"/>
                  </w:tcBorders>
                  <w:vAlign w:val="center"/>
                </w:tcPr>
                <w:p w14:paraId="1CE2BE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仿宋"/>
                      <w:color w:val="auto"/>
                      <w:sz w:val="21"/>
                      <w:szCs w:val="21"/>
                      <w:highlight w:val="none"/>
                    </w:rPr>
                  </w:pPr>
                  <w:r>
                    <w:rPr>
                      <w:rFonts w:eastAsia="仿宋"/>
                      <w:color w:val="auto"/>
                      <w:sz w:val="21"/>
                      <w:szCs w:val="21"/>
                      <w:highlight w:val="none"/>
                    </w:rPr>
                    <w:t>dB（A）</w:t>
                  </w:r>
                </w:p>
              </w:tc>
              <w:tc>
                <w:tcPr>
                  <w:tcW w:w="1477" w:type="dxa"/>
                  <w:tcBorders>
                    <w:tl2br w:val="nil"/>
                    <w:tr2bl w:val="nil"/>
                  </w:tcBorders>
                  <w:vAlign w:val="center"/>
                </w:tcPr>
                <w:p w14:paraId="65C5BE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仿宋"/>
                      <w:color w:val="auto"/>
                      <w:sz w:val="21"/>
                      <w:szCs w:val="21"/>
                      <w:highlight w:val="none"/>
                      <w:lang w:val="en-US" w:eastAsia="zh-CN"/>
                    </w:rPr>
                  </w:pPr>
                  <w:r>
                    <w:rPr>
                      <w:rFonts w:hint="eastAsia" w:eastAsia="仿宋"/>
                      <w:color w:val="auto"/>
                      <w:sz w:val="21"/>
                      <w:szCs w:val="21"/>
                      <w:highlight w:val="none"/>
                      <w:lang w:val="en-US" w:eastAsia="zh-CN"/>
                    </w:rPr>
                    <w:t>55</w:t>
                  </w:r>
                </w:p>
              </w:tc>
              <w:tc>
                <w:tcPr>
                  <w:tcW w:w="1477" w:type="dxa"/>
                  <w:tcBorders>
                    <w:tl2br w:val="nil"/>
                    <w:tr2bl w:val="nil"/>
                  </w:tcBorders>
                  <w:vAlign w:val="center"/>
                </w:tcPr>
                <w:p w14:paraId="2B752D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仿宋"/>
                      <w:color w:val="auto"/>
                      <w:sz w:val="21"/>
                      <w:szCs w:val="21"/>
                      <w:highlight w:val="none"/>
                      <w:lang w:val="en-US" w:eastAsia="zh-CN"/>
                    </w:rPr>
                  </w:pPr>
                  <w:r>
                    <w:rPr>
                      <w:rFonts w:hint="eastAsia" w:eastAsia="仿宋"/>
                      <w:color w:val="auto"/>
                      <w:sz w:val="21"/>
                      <w:szCs w:val="21"/>
                      <w:highlight w:val="none"/>
                      <w:lang w:val="en-US" w:eastAsia="zh-CN"/>
                    </w:rPr>
                    <w:t>45</w:t>
                  </w:r>
                </w:p>
              </w:tc>
            </w:tr>
          </w:tbl>
          <w:p w14:paraId="4B380BB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center"/>
              <w:textAlignment w:val="auto"/>
              <w:rPr>
                <w:rFonts w:hint="eastAsia" w:ascii="Times New Roman" w:hAnsi="Times New Roman" w:eastAsia="仿宋"/>
                <w:color w:val="auto"/>
                <w:kern w:val="0"/>
                <w:sz w:val="24"/>
                <w:highlight w:val="none"/>
                <w:lang w:val="en-US" w:eastAsia="zh-CN"/>
              </w:rPr>
            </w:pPr>
            <w:r>
              <w:rPr>
                <w:rFonts w:eastAsia="仿宋"/>
                <w:color w:val="auto"/>
                <w:kern w:val="0"/>
                <w:sz w:val="24"/>
                <w:highlight w:val="none"/>
                <w:lang w:val="en-US" w:eastAsia="zh-CN"/>
              </w:rPr>
              <w:t>为了解项目所在地声环境质量现状，</w:t>
            </w:r>
            <w:r>
              <w:rPr>
                <w:rFonts w:hint="eastAsia" w:eastAsia="仿宋"/>
                <w:color w:val="auto"/>
                <w:kern w:val="0"/>
                <w:sz w:val="24"/>
                <w:highlight w:val="none"/>
                <w:lang w:val="en-US" w:eastAsia="zh-CN"/>
              </w:rPr>
              <w:t>中科阿斯迈（江苏）检验检测</w:t>
            </w:r>
            <w:r>
              <w:rPr>
                <w:rFonts w:eastAsia="仿宋"/>
                <w:color w:val="auto"/>
                <w:kern w:val="0"/>
                <w:sz w:val="24"/>
                <w:highlight w:val="none"/>
                <w:lang w:val="en-US" w:eastAsia="zh-CN"/>
              </w:rPr>
              <w:t>有限公司</w:t>
            </w:r>
            <w:r>
              <w:rPr>
                <w:rFonts w:ascii="Times New Roman" w:hAnsi="Times New Roman" w:eastAsia="仿宋"/>
                <w:color w:val="auto"/>
                <w:kern w:val="0"/>
                <w:sz w:val="24"/>
                <w:highlight w:val="none"/>
                <w:lang w:val="en-US" w:eastAsia="zh-CN"/>
              </w:rPr>
              <w:t>于</w:t>
            </w:r>
            <w:r>
              <w:rPr>
                <w:rFonts w:hint="eastAsia" w:ascii="Times New Roman" w:hAnsi="Times New Roman" w:eastAsia="仿宋"/>
                <w:color w:val="auto"/>
                <w:kern w:val="0"/>
                <w:sz w:val="24"/>
                <w:highlight w:val="none"/>
                <w:lang w:val="en-US" w:eastAsia="zh-CN"/>
              </w:rPr>
              <w:t>2024</w:t>
            </w:r>
            <w:r>
              <w:rPr>
                <w:rFonts w:ascii="Times New Roman" w:hAnsi="Times New Roman" w:eastAsia="仿宋"/>
                <w:color w:val="auto"/>
                <w:kern w:val="0"/>
                <w:sz w:val="24"/>
                <w:highlight w:val="none"/>
                <w:lang w:val="en-US" w:eastAsia="zh-CN"/>
              </w:rPr>
              <w:t>年</w:t>
            </w:r>
            <w:r>
              <w:rPr>
                <w:rFonts w:hint="eastAsia" w:eastAsia="仿宋"/>
                <w:color w:val="auto"/>
                <w:kern w:val="0"/>
                <w:sz w:val="24"/>
                <w:highlight w:val="none"/>
                <w:lang w:val="en-US" w:eastAsia="zh-CN"/>
              </w:rPr>
              <w:t>8</w:t>
            </w:r>
            <w:r>
              <w:rPr>
                <w:rFonts w:ascii="Times New Roman" w:hAnsi="Times New Roman" w:eastAsia="仿宋"/>
                <w:color w:val="auto"/>
                <w:kern w:val="0"/>
                <w:sz w:val="24"/>
                <w:highlight w:val="none"/>
                <w:lang w:val="en-US" w:eastAsia="zh-CN"/>
              </w:rPr>
              <w:t>月</w:t>
            </w:r>
            <w:r>
              <w:rPr>
                <w:rFonts w:hint="eastAsia" w:eastAsia="仿宋"/>
                <w:color w:val="auto"/>
                <w:kern w:val="0"/>
                <w:sz w:val="24"/>
                <w:highlight w:val="none"/>
                <w:lang w:val="en-US" w:eastAsia="zh-CN"/>
              </w:rPr>
              <w:t>24</w:t>
            </w:r>
            <w:r>
              <w:rPr>
                <w:rFonts w:ascii="Times New Roman" w:hAnsi="Times New Roman" w:eastAsia="仿宋"/>
                <w:color w:val="auto"/>
                <w:kern w:val="0"/>
                <w:sz w:val="24"/>
                <w:highlight w:val="none"/>
                <w:lang w:val="en-US" w:eastAsia="zh-CN"/>
              </w:rPr>
              <w:t>日对项目周</w:t>
            </w:r>
            <w:r>
              <w:rPr>
                <w:rFonts w:hint="eastAsia" w:ascii="Times New Roman" w:hAnsi="Times New Roman" w:eastAsia="仿宋"/>
                <w:color w:val="auto"/>
                <w:kern w:val="0"/>
                <w:sz w:val="24"/>
                <w:highlight w:val="none"/>
                <w:lang w:val="en-US" w:eastAsia="zh-CN"/>
              </w:rPr>
              <w:t>边</w:t>
            </w:r>
            <w:r>
              <w:rPr>
                <w:rFonts w:ascii="Times New Roman" w:hAnsi="Times New Roman" w:eastAsia="仿宋"/>
                <w:color w:val="auto"/>
                <w:kern w:val="0"/>
                <w:sz w:val="24"/>
                <w:highlight w:val="none"/>
                <w:lang w:val="en-US" w:eastAsia="zh-CN"/>
              </w:rPr>
              <w:t>进行的现场噪声监测，报告号：</w:t>
            </w:r>
            <w:r>
              <w:rPr>
                <w:rFonts w:hint="eastAsia" w:ascii="Times New Roman" w:hAnsi="Times New Roman" w:eastAsia="仿宋"/>
                <w:color w:val="auto"/>
                <w:kern w:val="0"/>
                <w:sz w:val="24"/>
                <w:highlight w:val="none"/>
                <w:lang w:val="en-US" w:eastAsia="zh-CN"/>
              </w:rPr>
              <w:t>（2024）ZKASM（声）字第（</w:t>
            </w:r>
            <w:r>
              <w:rPr>
                <w:rFonts w:hint="eastAsia" w:eastAsia="仿宋"/>
                <w:color w:val="auto"/>
                <w:kern w:val="0"/>
                <w:sz w:val="24"/>
                <w:highlight w:val="none"/>
                <w:lang w:val="en-US" w:eastAsia="zh-CN"/>
              </w:rPr>
              <w:t>0608</w:t>
            </w:r>
            <w:r>
              <w:rPr>
                <w:rFonts w:hint="eastAsia" w:ascii="Times New Roman" w:hAnsi="Times New Roman" w:eastAsia="仿宋"/>
                <w:color w:val="auto"/>
                <w:kern w:val="0"/>
                <w:sz w:val="24"/>
                <w:highlight w:val="none"/>
                <w:lang w:val="en-US" w:eastAsia="zh-CN"/>
              </w:rPr>
              <w:t>）</w:t>
            </w:r>
          </w:p>
          <w:p w14:paraId="0742974D">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0" w:firstLineChars="0"/>
              <w:jc w:val="both"/>
              <w:textAlignment w:val="auto"/>
              <w:rPr>
                <w:rFonts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号，</w:t>
            </w:r>
            <w:r>
              <w:rPr>
                <w:rFonts w:ascii="Times New Roman" w:hAnsi="Times New Roman" w:eastAsia="仿宋"/>
                <w:color w:val="auto"/>
                <w:kern w:val="0"/>
                <w:sz w:val="24"/>
                <w:highlight w:val="none"/>
                <w:lang w:val="en-US" w:eastAsia="zh-CN"/>
              </w:rPr>
              <w:t>监测结果见表3-</w:t>
            </w:r>
            <w:r>
              <w:rPr>
                <w:rFonts w:hint="eastAsia" w:eastAsia="仿宋"/>
                <w:color w:val="auto"/>
                <w:kern w:val="0"/>
                <w:sz w:val="24"/>
                <w:highlight w:val="none"/>
                <w:lang w:val="en-US" w:eastAsia="zh-CN"/>
              </w:rPr>
              <w:t>8</w:t>
            </w:r>
            <w:r>
              <w:rPr>
                <w:rFonts w:ascii="Times New Roman" w:hAnsi="Times New Roman" w:eastAsia="仿宋"/>
                <w:color w:val="auto"/>
                <w:kern w:val="0"/>
                <w:sz w:val="24"/>
                <w:highlight w:val="none"/>
                <w:lang w:val="en-US" w:eastAsia="zh-CN"/>
              </w:rPr>
              <w:t>。</w:t>
            </w:r>
          </w:p>
          <w:p w14:paraId="474AFA29">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表3-8 噪声现状监测结果统计表  单位：dB（A）</w:t>
            </w:r>
          </w:p>
          <w:tbl>
            <w:tblPr>
              <w:tblStyle w:val="23"/>
              <w:tblW w:w="8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1"/>
              <w:gridCol w:w="1373"/>
              <w:gridCol w:w="1032"/>
              <w:gridCol w:w="1295"/>
              <w:gridCol w:w="1028"/>
              <w:gridCol w:w="1861"/>
            </w:tblGrid>
            <w:tr w14:paraId="67AD5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561" w:type="dxa"/>
                  <w:tcBorders>
                    <w:tl2br w:val="nil"/>
                    <w:tr2bl w:val="nil"/>
                  </w:tcBorders>
                  <w:shd w:val="clear" w:color="auto" w:fill="auto"/>
                  <w:vAlign w:val="center"/>
                </w:tcPr>
                <w:p w14:paraId="1CCBA960">
                  <w:pPr>
                    <w:pStyle w:val="7"/>
                    <w:adjustRightInd w:val="0"/>
                    <w:snapToGrid w:val="0"/>
                    <w:jc w:val="center"/>
                    <w:rPr>
                      <w:rFonts w:eastAsia="仿宋"/>
                      <w:b/>
                      <w:bCs/>
                      <w:color w:val="auto"/>
                      <w:highlight w:val="none"/>
                    </w:rPr>
                  </w:pPr>
                  <w:r>
                    <w:rPr>
                      <w:rFonts w:eastAsia="仿宋"/>
                      <w:b/>
                      <w:bCs/>
                      <w:color w:val="auto"/>
                      <w:highlight w:val="none"/>
                    </w:rPr>
                    <w:t>监测点编号</w:t>
                  </w:r>
                </w:p>
              </w:tc>
              <w:tc>
                <w:tcPr>
                  <w:tcW w:w="2405" w:type="dxa"/>
                  <w:gridSpan w:val="2"/>
                  <w:tcBorders>
                    <w:tl2br w:val="nil"/>
                    <w:tr2bl w:val="nil"/>
                  </w:tcBorders>
                  <w:shd w:val="clear" w:color="auto" w:fill="auto"/>
                  <w:vAlign w:val="center"/>
                </w:tcPr>
                <w:p w14:paraId="2AA8EB8F">
                  <w:pPr>
                    <w:pStyle w:val="7"/>
                    <w:adjustRightInd w:val="0"/>
                    <w:snapToGrid w:val="0"/>
                    <w:jc w:val="center"/>
                    <w:rPr>
                      <w:rFonts w:eastAsia="仿宋"/>
                      <w:b/>
                      <w:bCs/>
                      <w:color w:val="auto"/>
                      <w:highlight w:val="none"/>
                    </w:rPr>
                  </w:pPr>
                  <w:r>
                    <w:rPr>
                      <w:rFonts w:eastAsia="仿宋"/>
                      <w:b/>
                      <w:bCs/>
                      <w:color w:val="auto"/>
                      <w:highlight w:val="none"/>
                    </w:rPr>
                    <w:t>测量时段</w:t>
                  </w:r>
                </w:p>
              </w:tc>
              <w:tc>
                <w:tcPr>
                  <w:tcW w:w="1295" w:type="dxa"/>
                  <w:tcBorders>
                    <w:tl2br w:val="nil"/>
                    <w:tr2bl w:val="nil"/>
                  </w:tcBorders>
                  <w:shd w:val="clear" w:color="auto" w:fill="auto"/>
                  <w:vAlign w:val="center"/>
                </w:tcPr>
                <w:p w14:paraId="3F37A288">
                  <w:pPr>
                    <w:pStyle w:val="7"/>
                    <w:adjustRightInd w:val="0"/>
                    <w:snapToGrid w:val="0"/>
                    <w:jc w:val="center"/>
                    <w:rPr>
                      <w:rFonts w:eastAsia="仿宋"/>
                      <w:b/>
                      <w:bCs/>
                      <w:color w:val="auto"/>
                      <w:highlight w:val="none"/>
                    </w:rPr>
                  </w:pPr>
                  <w:r>
                    <w:rPr>
                      <w:rFonts w:eastAsia="仿宋"/>
                      <w:b/>
                      <w:bCs/>
                      <w:color w:val="auto"/>
                      <w:highlight w:val="none"/>
                    </w:rPr>
                    <w:t>等效声级</w:t>
                  </w:r>
                </w:p>
              </w:tc>
              <w:tc>
                <w:tcPr>
                  <w:tcW w:w="1028" w:type="dxa"/>
                  <w:tcBorders>
                    <w:tl2br w:val="nil"/>
                    <w:tr2bl w:val="nil"/>
                  </w:tcBorders>
                  <w:shd w:val="clear" w:color="auto" w:fill="auto"/>
                  <w:vAlign w:val="center"/>
                </w:tcPr>
                <w:p w14:paraId="5D6108D0">
                  <w:pPr>
                    <w:pStyle w:val="7"/>
                    <w:adjustRightInd w:val="0"/>
                    <w:snapToGrid w:val="0"/>
                    <w:jc w:val="center"/>
                    <w:rPr>
                      <w:rFonts w:eastAsia="仿宋"/>
                      <w:b/>
                      <w:bCs/>
                      <w:color w:val="auto"/>
                      <w:highlight w:val="none"/>
                    </w:rPr>
                  </w:pPr>
                  <w:r>
                    <w:rPr>
                      <w:rFonts w:eastAsia="仿宋"/>
                      <w:b/>
                      <w:bCs/>
                      <w:color w:val="auto"/>
                      <w:highlight w:val="none"/>
                    </w:rPr>
                    <w:t>评价标准</w:t>
                  </w:r>
                </w:p>
              </w:tc>
              <w:tc>
                <w:tcPr>
                  <w:tcW w:w="1861" w:type="dxa"/>
                  <w:tcBorders>
                    <w:tl2br w:val="nil"/>
                    <w:tr2bl w:val="nil"/>
                  </w:tcBorders>
                  <w:shd w:val="clear" w:color="auto" w:fill="auto"/>
                  <w:vAlign w:val="center"/>
                </w:tcPr>
                <w:p w14:paraId="3DD8A137">
                  <w:pPr>
                    <w:pStyle w:val="7"/>
                    <w:adjustRightInd w:val="0"/>
                    <w:snapToGrid w:val="0"/>
                    <w:jc w:val="center"/>
                    <w:rPr>
                      <w:rFonts w:eastAsia="仿宋"/>
                      <w:b/>
                      <w:bCs/>
                      <w:color w:val="auto"/>
                      <w:highlight w:val="none"/>
                    </w:rPr>
                  </w:pPr>
                  <w:r>
                    <w:rPr>
                      <w:rFonts w:eastAsia="仿宋"/>
                      <w:b/>
                      <w:bCs/>
                      <w:color w:val="auto"/>
                      <w:highlight w:val="none"/>
                    </w:rPr>
                    <w:t>执行标准</w:t>
                  </w:r>
                </w:p>
              </w:tc>
            </w:tr>
            <w:tr w14:paraId="0420C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1" w:type="dxa"/>
                  <w:vMerge w:val="restart"/>
                  <w:tcBorders>
                    <w:tl2br w:val="nil"/>
                    <w:tr2bl w:val="nil"/>
                  </w:tcBorders>
                  <w:shd w:val="clear" w:color="auto" w:fill="auto"/>
                  <w:vAlign w:val="center"/>
                </w:tcPr>
                <w:p w14:paraId="0C7484ED">
                  <w:pPr>
                    <w:pStyle w:val="7"/>
                    <w:adjustRightInd w:val="0"/>
                    <w:snapToGrid w:val="0"/>
                    <w:jc w:val="center"/>
                    <w:rPr>
                      <w:rFonts w:eastAsia="仿宋"/>
                      <w:color w:val="auto"/>
                      <w:highlight w:val="none"/>
                    </w:rPr>
                  </w:pPr>
                  <w:r>
                    <w:rPr>
                      <w:rFonts w:eastAsia="仿宋"/>
                      <w:color w:val="auto"/>
                      <w:highlight w:val="none"/>
                    </w:rPr>
                    <w:t>N1</w:t>
                  </w:r>
                </w:p>
              </w:tc>
              <w:tc>
                <w:tcPr>
                  <w:tcW w:w="1373" w:type="dxa"/>
                  <w:vMerge w:val="restart"/>
                  <w:tcBorders>
                    <w:tl2br w:val="nil"/>
                    <w:tr2bl w:val="nil"/>
                  </w:tcBorders>
                  <w:shd w:val="clear" w:color="auto" w:fill="auto"/>
                  <w:vAlign w:val="center"/>
                </w:tcPr>
                <w:p w14:paraId="0BF4EC9D">
                  <w:pPr>
                    <w:pStyle w:val="7"/>
                    <w:adjustRightInd w:val="0"/>
                    <w:snapToGrid w:val="0"/>
                    <w:jc w:val="center"/>
                    <w:rPr>
                      <w:rFonts w:hint="default" w:eastAsia="仿宋"/>
                      <w:color w:val="auto"/>
                      <w:highlight w:val="none"/>
                      <w:lang w:val="en-US" w:eastAsia="zh-CN"/>
                    </w:rPr>
                  </w:pPr>
                  <w:r>
                    <w:rPr>
                      <w:rFonts w:hint="eastAsia" w:eastAsia="仿宋"/>
                      <w:color w:val="auto"/>
                      <w:highlight w:val="none"/>
                      <w:lang w:val="en-US" w:eastAsia="zh-CN"/>
                    </w:rPr>
                    <w:t>2024.8.24</w:t>
                  </w:r>
                </w:p>
              </w:tc>
              <w:tc>
                <w:tcPr>
                  <w:tcW w:w="1032" w:type="dxa"/>
                  <w:tcBorders>
                    <w:tl2br w:val="nil"/>
                    <w:tr2bl w:val="nil"/>
                  </w:tcBorders>
                  <w:shd w:val="clear" w:color="auto" w:fill="auto"/>
                  <w:vAlign w:val="center"/>
                </w:tcPr>
                <w:p w14:paraId="62AE56BB">
                  <w:pPr>
                    <w:pStyle w:val="7"/>
                    <w:adjustRightInd w:val="0"/>
                    <w:snapToGrid w:val="0"/>
                    <w:jc w:val="center"/>
                    <w:rPr>
                      <w:rFonts w:eastAsia="仿宋"/>
                      <w:color w:val="auto"/>
                      <w:highlight w:val="none"/>
                    </w:rPr>
                  </w:pPr>
                  <w:r>
                    <w:rPr>
                      <w:rFonts w:eastAsia="仿宋"/>
                      <w:color w:val="auto"/>
                      <w:highlight w:val="none"/>
                    </w:rPr>
                    <w:t>昼间</w:t>
                  </w:r>
                </w:p>
              </w:tc>
              <w:tc>
                <w:tcPr>
                  <w:tcW w:w="1295" w:type="dxa"/>
                  <w:tcBorders>
                    <w:tl2br w:val="nil"/>
                    <w:tr2bl w:val="nil"/>
                  </w:tcBorders>
                  <w:shd w:val="clear" w:color="auto" w:fill="auto"/>
                  <w:vAlign w:val="center"/>
                </w:tcPr>
                <w:p w14:paraId="316236BA">
                  <w:pPr>
                    <w:pStyle w:val="7"/>
                    <w:adjustRightInd w:val="0"/>
                    <w:snapToGrid w:val="0"/>
                    <w:jc w:val="center"/>
                    <w:rPr>
                      <w:rFonts w:hint="default" w:eastAsia="仿宋"/>
                      <w:color w:val="auto"/>
                      <w:highlight w:val="none"/>
                      <w:lang w:val="en-US" w:eastAsia="zh-CN"/>
                    </w:rPr>
                  </w:pPr>
                  <w:r>
                    <w:rPr>
                      <w:rFonts w:hint="eastAsia" w:eastAsia="仿宋"/>
                      <w:color w:val="auto"/>
                      <w:highlight w:val="none"/>
                      <w:lang w:val="en-US" w:eastAsia="zh-CN"/>
                    </w:rPr>
                    <w:t>39.2</w:t>
                  </w:r>
                </w:p>
              </w:tc>
              <w:tc>
                <w:tcPr>
                  <w:tcW w:w="1028" w:type="dxa"/>
                  <w:tcBorders>
                    <w:tl2br w:val="nil"/>
                    <w:tr2bl w:val="nil"/>
                  </w:tcBorders>
                  <w:shd w:val="clear" w:color="auto" w:fill="auto"/>
                  <w:vAlign w:val="center"/>
                </w:tcPr>
                <w:p w14:paraId="156D3211">
                  <w:pPr>
                    <w:pStyle w:val="7"/>
                    <w:adjustRightInd w:val="0"/>
                    <w:snapToGrid w:val="0"/>
                    <w:jc w:val="center"/>
                    <w:rPr>
                      <w:rFonts w:hint="default" w:eastAsia="仿宋"/>
                      <w:color w:val="auto"/>
                      <w:highlight w:val="none"/>
                      <w:lang w:val="en-US" w:eastAsia="zh-CN"/>
                    </w:rPr>
                  </w:pPr>
                  <w:r>
                    <w:rPr>
                      <w:rFonts w:hint="eastAsia" w:eastAsia="仿宋"/>
                      <w:color w:val="auto"/>
                      <w:highlight w:val="none"/>
                      <w:lang w:val="en-US" w:eastAsia="zh-CN"/>
                    </w:rPr>
                    <w:t>55</w:t>
                  </w:r>
                </w:p>
              </w:tc>
              <w:tc>
                <w:tcPr>
                  <w:tcW w:w="1861" w:type="dxa"/>
                  <w:vMerge w:val="restart"/>
                  <w:tcBorders>
                    <w:tl2br w:val="nil"/>
                    <w:tr2bl w:val="nil"/>
                  </w:tcBorders>
                  <w:shd w:val="clear" w:color="auto" w:fill="auto"/>
                  <w:vAlign w:val="center"/>
                </w:tcPr>
                <w:p w14:paraId="272C647A">
                  <w:pPr>
                    <w:pStyle w:val="7"/>
                    <w:adjustRightInd w:val="0"/>
                    <w:snapToGrid w:val="0"/>
                    <w:jc w:val="center"/>
                    <w:rPr>
                      <w:rFonts w:eastAsia="仿宋"/>
                      <w:color w:val="auto"/>
                      <w:highlight w:val="none"/>
                    </w:rPr>
                  </w:pPr>
                  <w:r>
                    <w:rPr>
                      <w:rFonts w:eastAsia="仿宋"/>
                      <w:color w:val="auto"/>
                      <w:highlight w:val="none"/>
                    </w:rPr>
                    <w:t>《声环境质量标准》（GB3096-2008）中的</w:t>
                  </w:r>
                  <w:r>
                    <w:rPr>
                      <w:rFonts w:hint="eastAsia" w:eastAsia="仿宋"/>
                      <w:color w:val="auto"/>
                      <w:highlight w:val="none"/>
                      <w:lang w:val="en-US" w:eastAsia="zh-CN"/>
                    </w:rPr>
                    <w:t>1</w:t>
                  </w:r>
                  <w:r>
                    <w:rPr>
                      <w:rFonts w:eastAsia="仿宋"/>
                      <w:color w:val="auto"/>
                      <w:highlight w:val="none"/>
                    </w:rPr>
                    <w:t>类标准</w:t>
                  </w:r>
                </w:p>
              </w:tc>
            </w:tr>
            <w:tr w14:paraId="2CCF6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1" w:type="dxa"/>
                  <w:vMerge w:val="continue"/>
                  <w:tcBorders>
                    <w:tl2br w:val="nil"/>
                    <w:tr2bl w:val="nil"/>
                  </w:tcBorders>
                  <w:shd w:val="clear" w:color="auto" w:fill="auto"/>
                  <w:vAlign w:val="center"/>
                </w:tcPr>
                <w:p w14:paraId="450870C4">
                  <w:pPr>
                    <w:pStyle w:val="7"/>
                    <w:adjustRightInd w:val="0"/>
                    <w:snapToGrid w:val="0"/>
                    <w:jc w:val="center"/>
                    <w:rPr>
                      <w:rFonts w:eastAsia="仿宋"/>
                      <w:color w:val="auto"/>
                      <w:highlight w:val="none"/>
                    </w:rPr>
                  </w:pPr>
                </w:p>
              </w:tc>
              <w:tc>
                <w:tcPr>
                  <w:tcW w:w="1373" w:type="dxa"/>
                  <w:vMerge w:val="continue"/>
                  <w:tcBorders>
                    <w:tl2br w:val="nil"/>
                    <w:tr2bl w:val="nil"/>
                  </w:tcBorders>
                  <w:shd w:val="clear" w:color="auto" w:fill="auto"/>
                  <w:vAlign w:val="center"/>
                </w:tcPr>
                <w:p w14:paraId="7E6359B5">
                  <w:pPr>
                    <w:pStyle w:val="7"/>
                    <w:adjustRightInd w:val="0"/>
                    <w:snapToGrid w:val="0"/>
                    <w:jc w:val="center"/>
                    <w:rPr>
                      <w:rFonts w:eastAsia="仿宋"/>
                      <w:color w:val="auto"/>
                      <w:highlight w:val="none"/>
                    </w:rPr>
                  </w:pPr>
                </w:p>
              </w:tc>
              <w:tc>
                <w:tcPr>
                  <w:tcW w:w="1032" w:type="dxa"/>
                  <w:tcBorders>
                    <w:tl2br w:val="nil"/>
                    <w:tr2bl w:val="nil"/>
                  </w:tcBorders>
                  <w:shd w:val="clear" w:color="auto" w:fill="auto"/>
                  <w:vAlign w:val="center"/>
                </w:tcPr>
                <w:p w14:paraId="07EBAAD3">
                  <w:pPr>
                    <w:pStyle w:val="7"/>
                    <w:adjustRightInd w:val="0"/>
                    <w:snapToGrid w:val="0"/>
                    <w:jc w:val="center"/>
                    <w:rPr>
                      <w:rFonts w:hint="eastAsia" w:eastAsia="仿宋"/>
                      <w:color w:val="auto"/>
                      <w:highlight w:val="none"/>
                      <w:lang w:val="en-US" w:eastAsia="zh-CN"/>
                    </w:rPr>
                  </w:pPr>
                  <w:r>
                    <w:rPr>
                      <w:rFonts w:hint="eastAsia" w:eastAsia="仿宋"/>
                      <w:color w:val="auto"/>
                      <w:highlight w:val="none"/>
                      <w:lang w:val="en-US" w:eastAsia="zh-CN"/>
                    </w:rPr>
                    <w:t>夜间</w:t>
                  </w:r>
                </w:p>
              </w:tc>
              <w:tc>
                <w:tcPr>
                  <w:tcW w:w="1295" w:type="dxa"/>
                  <w:tcBorders>
                    <w:tl2br w:val="nil"/>
                    <w:tr2bl w:val="nil"/>
                  </w:tcBorders>
                  <w:shd w:val="clear" w:color="auto" w:fill="auto"/>
                  <w:vAlign w:val="center"/>
                </w:tcPr>
                <w:p w14:paraId="55396CCD">
                  <w:pPr>
                    <w:pStyle w:val="7"/>
                    <w:adjustRightInd w:val="0"/>
                    <w:snapToGrid w:val="0"/>
                    <w:jc w:val="center"/>
                    <w:rPr>
                      <w:rFonts w:hint="default" w:eastAsia="仿宋"/>
                      <w:color w:val="auto"/>
                      <w:highlight w:val="none"/>
                      <w:lang w:val="en-US" w:eastAsia="zh-CN"/>
                    </w:rPr>
                  </w:pPr>
                  <w:r>
                    <w:rPr>
                      <w:rFonts w:hint="eastAsia" w:eastAsia="仿宋"/>
                      <w:color w:val="auto"/>
                      <w:highlight w:val="none"/>
                      <w:lang w:val="en-US" w:eastAsia="zh-CN"/>
                    </w:rPr>
                    <w:t>39.8</w:t>
                  </w:r>
                </w:p>
              </w:tc>
              <w:tc>
                <w:tcPr>
                  <w:tcW w:w="1028" w:type="dxa"/>
                  <w:tcBorders>
                    <w:tl2br w:val="nil"/>
                    <w:tr2bl w:val="nil"/>
                  </w:tcBorders>
                  <w:shd w:val="clear" w:color="auto" w:fill="auto"/>
                  <w:vAlign w:val="center"/>
                </w:tcPr>
                <w:p w14:paraId="477C5C9D">
                  <w:pPr>
                    <w:pStyle w:val="7"/>
                    <w:adjustRightInd w:val="0"/>
                    <w:snapToGrid w:val="0"/>
                    <w:jc w:val="center"/>
                    <w:rPr>
                      <w:rFonts w:hint="default" w:eastAsia="仿宋"/>
                      <w:color w:val="auto"/>
                      <w:highlight w:val="none"/>
                      <w:lang w:val="en-US" w:eastAsia="zh-CN"/>
                    </w:rPr>
                  </w:pPr>
                  <w:r>
                    <w:rPr>
                      <w:rFonts w:hint="eastAsia" w:eastAsia="仿宋"/>
                      <w:color w:val="auto"/>
                      <w:highlight w:val="none"/>
                      <w:lang w:val="en-US" w:eastAsia="zh-CN"/>
                    </w:rPr>
                    <w:t>45</w:t>
                  </w:r>
                </w:p>
              </w:tc>
              <w:tc>
                <w:tcPr>
                  <w:tcW w:w="1861" w:type="dxa"/>
                  <w:vMerge w:val="continue"/>
                  <w:tcBorders>
                    <w:tl2br w:val="nil"/>
                    <w:tr2bl w:val="nil"/>
                  </w:tcBorders>
                  <w:shd w:val="clear" w:color="auto" w:fill="auto"/>
                  <w:vAlign w:val="center"/>
                </w:tcPr>
                <w:p w14:paraId="13333A82">
                  <w:pPr>
                    <w:pStyle w:val="7"/>
                    <w:adjustRightInd w:val="0"/>
                    <w:snapToGrid w:val="0"/>
                    <w:jc w:val="center"/>
                    <w:rPr>
                      <w:rFonts w:eastAsia="仿宋"/>
                      <w:color w:val="auto"/>
                      <w:highlight w:val="none"/>
                    </w:rPr>
                  </w:pPr>
                </w:p>
              </w:tc>
            </w:tr>
            <w:tr w14:paraId="61E52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61" w:type="dxa"/>
                  <w:vMerge w:val="restart"/>
                  <w:tcBorders>
                    <w:tl2br w:val="nil"/>
                    <w:tr2bl w:val="nil"/>
                  </w:tcBorders>
                  <w:shd w:val="clear" w:color="auto" w:fill="auto"/>
                  <w:vAlign w:val="center"/>
                </w:tcPr>
                <w:p w14:paraId="38C8DF4F">
                  <w:pPr>
                    <w:pStyle w:val="7"/>
                    <w:adjustRightInd w:val="0"/>
                    <w:snapToGrid w:val="0"/>
                    <w:jc w:val="center"/>
                    <w:rPr>
                      <w:rFonts w:eastAsia="仿宋"/>
                      <w:color w:val="auto"/>
                      <w:highlight w:val="none"/>
                    </w:rPr>
                  </w:pPr>
                  <w:r>
                    <w:rPr>
                      <w:rFonts w:eastAsia="仿宋"/>
                      <w:color w:val="auto"/>
                      <w:highlight w:val="none"/>
                    </w:rPr>
                    <w:t>N2</w:t>
                  </w:r>
                </w:p>
              </w:tc>
              <w:tc>
                <w:tcPr>
                  <w:tcW w:w="1373" w:type="dxa"/>
                  <w:vMerge w:val="restart"/>
                  <w:tcBorders>
                    <w:tl2br w:val="nil"/>
                    <w:tr2bl w:val="nil"/>
                  </w:tcBorders>
                  <w:shd w:val="clear" w:color="auto" w:fill="auto"/>
                  <w:vAlign w:val="center"/>
                </w:tcPr>
                <w:p w14:paraId="5A368E2D">
                  <w:pPr>
                    <w:pStyle w:val="7"/>
                    <w:adjustRightInd w:val="0"/>
                    <w:snapToGrid w:val="0"/>
                    <w:ind w:firstLine="0" w:firstLineChars="0"/>
                    <w:jc w:val="center"/>
                    <w:rPr>
                      <w:rFonts w:hint="default" w:eastAsia="仿宋"/>
                      <w:color w:val="auto"/>
                      <w:highlight w:val="none"/>
                      <w:lang w:val="en-US"/>
                    </w:rPr>
                  </w:pPr>
                  <w:r>
                    <w:rPr>
                      <w:rFonts w:hint="eastAsia" w:eastAsia="仿宋"/>
                      <w:color w:val="auto"/>
                      <w:highlight w:val="none"/>
                      <w:lang w:val="en-US" w:eastAsia="zh-CN"/>
                    </w:rPr>
                    <w:t>2024.8.24</w:t>
                  </w:r>
                </w:p>
              </w:tc>
              <w:tc>
                <w:tcPr>
                  <w:tcW w:w="1032" w:type="dxa"/>
                  <w:tcBorders>
                    <w:tl2br w:val="nil"/>
                    <w:tr2bl w:val="nil"/>
                  </w:tcBorders>
                  <w:shd w:val="clear" w:color="auto" w:fill="auto"/>
                  <w:vAlign w:val="center"/>
                </w:tcPr>
                <w:p w14:paraId="7CEB62CC">
                  <w:pPr>
                    <w:pStyle w:val="7"/>
                    <w:adjustRightInd w:val="0"/>
                    <w:snapToGrid w:val="0"/>
                    <w:jc w:val="center"/>
                    <w:rPr>
                      <w:rFonts w:eastAsia="仿宋"/>
                      <w:color w:val="auto"/>
                      <w:highlight w:val="none"/>
                    </w:rPr>
                  </w:pPr>
                  <w:r>
                    <w:rPr>
                      <w:rFonts w:eastAsia="仿宋"/>
                      <w:color w:val="auto"/>
                      <w:highlight w:val="none"/>
                    </w:rPr>
                    <w:t>昼间</w:t>
                  </w:r>
                </w:p>
              </w:tc>
              <w:tc>
                <w:tcPr>
                  <w:tcW w:w="1295" w:type="dxa"/>
                  <w:tcBorders>
                    <w:tl2br w:val="nil"/>
                    <w:tr2bl w:val="nil"/>
                  </w:tcBorders>
                  <w:shd w:val="clear" w:color="auto" w:fill="auto"/>
                  <w:vAlign w:val="center"/>
                </w:tcPr>
                <w:p w14:paraId="252140E8">
                  <w:pPr>
                    <w:pStyle w:val="7"/>
                    <w:adjustRightInd w:val="0"/>
                    <w:snapToGrid w:val="0"/>
                    <w:jc w:val="center"/>
                    <w:rPr>
                      <w:rFonts w:hint="default" w:eastAsia="仿宋"/>
                      <w:color w:val="auto"/>
                      <w:highlight w:val="none"/>
                      <w:lang w:val="en-US" w:eastAsia="zh-CN"/>
                    </w:rPr>
                  </w:pPr>
                  <w:r>
                    <w:rPr>
                      <w:rFonts w:hint="eastAsia" w:eastAsia="仿宋"/>
                      <w:color w:val="auto"/>
                      <w:highlight w:val="none"/>
                      <w:lang w:val="en-US" w:eastAsia="zh-CN"/>
                    </w:rPr>
                    <w:t>41.3</w:t>
                  </w:r>
                </w:p>
              </w:tc>
              <w:tc>
                <w:tcPr>
                  <w:tcW w:w="1028" w:type="dxa"/>
                  <w:tcBorders>
                    <w:tl2br w:val="nil"/>
                    <w:tr2bl w:val="nil"/>
                  </w:tcBorders>
                  <w:shd w:val="clear" w:color="auto" w:fill="auto"/>
                  <w:vAlign w:val="center"/>
                </w:tcPr>
                <w:p w14:paraId="4E983C58">
                  <w:pPr>
                    <w:pStyle w:val="7"/>
                    <w:adjustRightInd w:val="0"/>
                    <w:snapToGrid w:val="0"/>
                    <w:ind w:firstLine="0" w:firstLineChars="0"/>
                    <w:jc w:val="center"/>
                    <w:rPr>
                      <w:rFonts w:hint="default" w:ascii="Times New Roman" w:hAnsi="Times New Roman" w:eastAsia="仿宋" w:cs="Times New Roman"/>
                      <w:color w:val="auto"/>
                      <w:kern w:val="2"/>
                      <w:sz w:val="21"/>
                      <w:szCs w:val="21"/>
                      <w:highlight w:val="none"/>
                      <w:lang w:val="en-US" w:eastAsia="zh-CN" w:bidi="ar-SA"/>
                    </w:rPr>
                  </w:pPr>
                  <w:r>
                    <w:rPr>
                      <w:rFonts w:hint="eastAsia" w:eastAsia="仿宋" w:cs="Times New Roman"/>
                      <w:color w:val="auto"/>
                      <w:kern w:val="2"/>
                      <w:sz w:val="21"/>
                      <w:szCs w:val="21"/>
                      <w:highlight w:val="none"/>
                      <w:lang w:val="en-US" w:eastAsia="zh-CN" w:bidi="ar-SA"/>
                    </w:rPr>
                    <w:t>55</w:t>
                  </w:r>
                </w:p>
              </w:tc>
              <w:tc>
                <w:tcPr>
                  <w:tcW w:w="1861" w:type="dxa"/>
                  <w:vMerge w:val="continue"/>
                  <w:tcBorders>
                    <w:tl2br w:val="nil"/>
                    <w:tr2bl w:val="nil"/>
                  </w:tcBorders>
                  <w:shd w:val="clear" w:color="auto" w:fill="auto"/>
                  <w:vAlign w:val="center"/>
                </w:tcPr>
                <w:p w14:paraId="400C5FB9">
                  <w:pPr>
                    <w:pStyle w:val="7"/>
                    <w:adjustRightInd w:val="0"/>
                    <w:snapToGrid w:val="0"/>
                    <w:jc w:val="center"/>
                    <w:rPr>
                      <w:rFonts w:eastAsia="仿宋"/>
                      <w:color w:val="auto"/>
                      <w:highlight w:val="none"/>
                    </w:rPr>
                  </w:pPr>
                </w:p>
              </w:tc>
            </w:tr>
            <w:tr w14:paraId="52F19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1" w:type="dxa"/>
                  <w:vMerge w:val="continue"/>
                  <w:tcBorders>
                    <w:tl2br w:val="nil"/>
                    <w:tr2bl w:val="nil"/>
                  </w:tcBorders>
                  <w:shd w:val="clear" w:color="auto" w:fill="auto"/>
                  <w:vAlign w:val="center"/>
                </w:tcPr>
                <w:p w14:paraId="41B6DF86">
                  <w:pPr>
                    <w:pStyle w:val="7"/>
                    <w:adjustRightInd w:val="0"/>
                    <w:snapToGrid w:val="0"/>
                    <w:jc w:val="center"/>
                    <w:rPr>
                      <w:rFonts w:eastAsia="仿宋"/>
                      <w:color w:val="auto"/>
                      <w:highlight w:val="none"/>
                    </w:rPr>
                  </w:pPr>
                </w:p>
              </w:tc>
              <w:tc>
                <w:tcPr>
                  <w:tcW w:w="1373" w:type="dxa"/>
                  <w:vMerge w:val="continue"/>
                  <w:tcBorders>
                    <w:tl2br w:val="nil"/>
                    <w:tr2bl w:val="nil"/>
                  </w:tcBorders>
                  <w:shd w:val="clear" w:color="auto" w:fill="auto"/>
                  <w:vAlign w:val="center"/>
                </w:tcPr>
                <w:p w14:paraId="50BA141F">
                  <w:pPr>
                    <w:pStyle w:val="7"/>
                    <w:adjustRightInd w:val="0"/>
                    <w:snapToGrid w:val="0"/>
                    <w:jc w:val="center"/>
                    <w:rPr>
                      <w:rFonts w:eastAsia="仿宋"/>
                      <w:color w:val="auto"/>
                      <w:highlight w:val="none"/>
                    </w:rPr>
                  </w:pPr>
                </w:p>
              </w:tc>
              <w:tc>
                <w:tcPr>
                  <w:tcW w:w="1032" w:type="dxa"/>
                  <w:tcBorders>
                    <w:tl2br w:val="nil"/>
                    <w:tr2bl w:val="nil"/>
                  </w:tcBorders>
                  <w:shd w:val="clear" w:color="auto" w:fill="auto"/>
                  <w:vAlign w:val="center"/>
                </w:tcPr>
                <w:p w14:paraId="71D30BCD">
                  <w:pPr>
                    <w:pStyle w:val="7"/>
                    <w:adjustRightInd w:val="0"/>
                    <w:snapToGrid w:val="0"/>
                    <w:jc w:val="center"/>
                    <w:rPr>
                      <w:rFonts w:eastAsia="仿宋"/>
                      <w:color w:val="auto"/>
                      <w:highlight w:val="none"/>
                    </w:rPr>
                  </w:pPr>
                  <w:r>
                    <w:rPr>
                      <w:rFonts w:hint="eastAsia" w:eastAsia="仿宋"/>
                      <w:color w:val="auto"/>
                      <w:highlight w:val="none"/>
                      <w:lang w:val="en-US" w:eastAsia="zh-CN"/>
                    </w:rPr>
                    <w:t>夜间</w:t>
                  </w:r>
                </w:p>
              </w:tc>
              <w:tc>
                <w:tcPr>
                  <w:tcW w:w="1295" w:type="dxa"/>
                  <w:tcBorders>
                    <w:tl2br w:val="nil"/>
                    <w:tr2bl w:val="nil"/>
                  </w:tcBorders>
                  <w:shd w:val="clear" w:color="auto" w:fill="auto"/>
                  <w:vAlign w:val="center"/>
                </w:tcPr>
                <w:p w14:paraId="744EF773">
                  <w:pPr>
                    <w:pStyle w:val="7"/>
                    <w:adjustRightInd w:val="0"/>
                    <w:snapToGrid w:val="0"/>
                    <w:jc w:val="center"/>
                    <w:rPr>
                      <w:rFonts w:hint="default" w:eastAsia="仿宋"/>
                      <w:color w:val="auto"/>
                      <w:highlight w:val="none"/>
                      <w:lang w:val="en-US" w:eastAsia="zh-CN"/>
                    </w:rPr>
                  </w:pPr>
                  <w:r>
                    <w:rPr>
                      <w:rFonts w:hint="eastAsia" w:eastAsia="仿宋"/>
                      <w:color w:val="auto"/>
                      <w:highlight w:val="none"/>
                      <w:lang w:val="en-US" w:eastAsia="zh-CN"/>
                    </w:rPr>
                    <w:t>38.1</w:t>
                  </w:r>
                </w:p>
              </w:tc>
              <w:tc>
                <w:tcPr>
                  <w:tcW w:w="1028" w:type="dxa"/>
                  <w:tcBorders>
                    <w:tl2br w:val="nil"/>
                    <w:tr2bl w:val="nil"/>
                  </w:tcBorders>
                  <w:shd w:val="clear" w:color="auto" w:fill="auto"/>
                  <w:vAlign w:val="center"/>
                </w:tcPr>
                <w:p w14:paraId="49E2E7B7">
                  <w:pPr>
                    <w:pStyle w:val="7"/>
                    <w:adjustRightInd w:val="0"/>
                    <w:snapToGrid w:val="0"/>
                    <w:ind w:firstLine="0" w:firstLineChars="0"/>
                    <w:jc w:val="center"/>
                    <w:rPr>
                      <w:rFonts w:hint="default" w:ascii="Times New Roman" w:hAnsi="Times New Roman" w:eastAsia="仿宋" w:cs="Times New Roman"/>
                      <w:color w:val="auto"/>
                      <w:kern w:val="2"/>
                      <w:sz w:val="21"/>
                      <w:szCs w:val="21"/>
                      <w:highlight w:val="none"/>
                      <w:lang w:val="en-US" w:eastAsia="zh-CN" w:bidi="ar-SA"/>
                    </w:rPr>
                  </w:pPr>
                  <w:r>
                    <w:rPr>
                      <w:rFonts w:hint="eastAsia" w:eastAsia="仿宋" w:cs="Times New Roman"/>
                      <w:color w:val="auto"/>
                      <w:kern w:val="2"/>
                      <w:sz w:val="21"/>
                      <w:szCs w:val="21"/>
                      <w:highlight w:val="none"/>
                      <w:lang w:val="en-US" w:eastAsia="zh-CN" w:bidi="ar-SA"/>
                    </w:rPr>
                    <w:t>45</w:t>
                  </w:r>
                </w:p>
              </w:tc>
              <w:tc>
                <w:tcPr>
                  <w:tcW w:w="1861" w:type="dxa"/>
                  <w:vMerge w:val="continue"/>
                  <w:tcBorders>
                    <w:tl2br w:val="nil"/>
                    <w:tr2bl w:val="nil"/>
                  </w:tcBorders>
                  <w:shd w:val="clear" w:color="auto" w:fill="auto"/>
                  <w:vAlign w:val="center"/>
                </w:tcPr>
                <w:p w14:paraId="2AAC4F41">
                  <w:pPr>
                    <w:pStyle w:val="7"/>
                    <w:adjustRightInd w:val="0"/>
                    <w:snapToGrid w:val="0"/>
                    <w:jc w:val="center"/>
                    <w:rPr>
                      <w:rFonts w:eastAsia="仿宋"/>
                      <w:color w:val="auto"/>
                      <w:highlight w:val="none"/>
                    </w:rPr>
                  </w:pPr>
                </w:p>
              </w:tc>
            </w:tr>
          </w:tbl>
          <w:p w14:paraId="2F186817">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eastAsia="仿宋"/>
                <w:color w:val="auto"/>
                <w:kern w:val="0"/>
                <w:sz w:val="24"/>
                <w:highlight w:val="none"/>
                <w:lang w:val="en-US" w:eastAsia="zh-CN"/>
              </w:rPr>
            </w:pPr>
            <w:r>
              <w:rPr>
                <w:rFonts w:eastAsia="仿宋"/>
                <w:color w:val="auto"/>
                <w:kern w:val="0"/>
                <w:sz w:val="24"/>
                <w:highlight w:val="none"/>
                <w:lang w:val="en-US" w:eastAsia="zh-CN"/>
              </w:rPr>
              <w:t>监测结果表明，</w:t>
            </w:r>
            <w:r>
              <w:rPr>
                <w:rFonts w:hint="eastAsia" w:eastAsia="仿宋"/>
                <w:color w:val="auto"/>
                <w:kern w:val="0"/>
                <w:sz w:val="24"/>
                <w:highlight w:val="none"/>
                <w:lang w:val="en-US" w:eastAsia="zh-CN"/>
              </w:rPr>
              <w:t>N1、N2点</w:t>
            </w:r>
            <w:r>
              <w:rPr>
                <w:rFonts w:eastAsia="仿宋"/>
                <w:color w:val="auto"/>
                <w:kern w:val="0"/>
                <w:sz w:val="24"/>
                <w:highlight w:val="none"/>
                <w:lang w:val="en-US" w:eastAsia="zh-CN"/>
              </w:rPr>
              <w:t>声环境</w:t>
            </w:r>
            <w:r>
              <w:rPr>
                <w:rFonts w:hint="eastAsia" w:eastAsia="仿宋"/>
                <w:color w:val="auto"/>
                <w:kern w:val="0"/>
                <w:sz w:val="24"/>
                <w:highlight w:val="none"/>
                <w:lang w:val="en-US" w:eastAsia="zh-CN"/>
              </w:rPr>
              <w:t>质量</w:t>
            </w:r>
            <w:r>
              <w:rPr>
                <w:rFonts w:eastAsia="仿宋"/>
                <w:color w:val="auto"/>
                <w:kern w:val="0"/>
                <w:sz w:val="24"/>
                <w:highlight w:val="none"/>
                <w:lang w:val="en-US" w:eastAsia="zh-CN"/>
              </w:rPr>
              <w:t>现状</w:t>
            </w:r>
            <w:r>
              <w:rPr>
                <w:rFonts w:hint="eastAsia" w:eastAsia="仿宋"/>
                <w:color w:val="auto"/>
                <w:kern w:val="0"/>
                <w:sz w:val="24"/>
                <w:highlight w:val="none"/>
                <w:lang w:val="en-US" w:eastAsia="zh-CN"/>
              </w:rPr>
              <w:t>均</w:t>
            </w:r>
            <w:r>
              <w:rPr>
                <w:rFonts w:eastAsia="仿宋"/>
                <w:color w:val="auto"/>
                <w:kern w:val="0"/>
                <w:sz w:val="24"/>
                <w:highlight w:val="none"/>
                <w:lang w:val="en-US" w:eastAsia="zh-CN"/>
              </w:rPr>
              <w:t>满足《声环境质量标准》（GB3096-2008）中</w:t>
            </w:r>
            <w:r>
              <w:rPr>
                <w:rFonts w:hint="eastAsia" w:eastAsia="仿宋"/>
                <w:color w:val="auto"/>
                <w:kern w:val="0"/>
                <w:sz w:val="24"/>
                <w:highlight w:val="none"/>
                <w:lang w:val="en-US" w:eastAsia="zh-CN"/>
              </w:rPr>
              <w:t>1</w:t>
            </w:r>
            <w:r>
              <w:rPr>
                <w:rFonts w:eastAsia="仿宋"/>
                <w:color w:val="auto"/>
                <w:kern w:val="0"/>
                <w:sz w:val="24"/>
                <w:highlight w:val="none"/>
                <w:lang w:val="en-US" w:eastAsia="zh-CN"/>
              </w:rPr>
              <w:t>类标准</w:t>
            </w:r>
            <w:r>
              <w:rPr>
                <w:rFonts w:hint="eastAsia" w:eastAsia="仿宋"/>
                <w:color w:val="auto"/>
                <w:kern w:val="0"/>
                <w:sz w:val="24"/>
                <w:highlight w:val="none"/>
                <w:lang w:val="en-US" w:eastAsia="zh-CN"/>
              </w:rPr>
              <w:t>。</w:t>
            </w:r>
          </w:p>
          <w:p w14:paraId="62B7BB06">
            <w:pPr>
              <w:pStyle w:val="9"/>
              <w:numPr>
                <w:ilvl w:val="0"/>
                <w:numId w:val="3"/>
              </w:numPr>
              <w:rPr>
                <w:rFonts w:hint="eastAsia" w:eastAsia="仿宋" w:cs="Times New Roman"/>
                <w:b/>
                <w:bCs/>
                <w:color w:val="auto"/>
                <w:sz w:val="24"/>
                <w:highlight w:val="none"/>
                <w:lang w:val="en-US" w:eastAsia="zh-CN"/>
              </w:rPr>
            </w:pPr>
            <w:r>
              <w:rPr>
                <w:rFonts w:hint="eastAsia" w:eastAsia="仿宋" w:cs="Times New Roman"/>
                <w:b/>
                <w:bCs/>
                <w:color w:val="auto"/>
                <w:sz w:val="24"/>
                <w:highlight w:val="none"/>
                <w:lang w:val="en-US" w:eastAsia="zh-CN"/>
              </w:rPr>
              <w:t>生态环境质量现状</w:t>
            </w:r>
          </w:p>
          <w:p w14:paraId="30F0B303">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pPr>
            <w:r>
              <w:rPr>
                <w:rFonts w:hint="eastAsia" w:ascii="Times New Roman" w:hAnsi="Times New Roman" w:eastAsia="仿宋"/>
                <w:color w:val="auto"/>
                <w:kern w:val="0"/>
                <w:sz w:val="24"/>
                <w:highlight w:val="none"/>
                <w:lang w:val="en-US" w:eastAsia="zh-CN"/>
              </w:rPr>
              <w:t>根据</w:t>
            </w:r>
            <w:r>
              <w:rPr>
                <w:rFonts w:hint="eastAsia" w:eastAsia="仿宋"/>
                <w:color w:val="auto"/>
                <w:kern w:val="0"/>
                <w:sz w:val="24"/>
                <w:highlight w:val="none"/>
                <w:lang w:val="en-US" w:eastAsia="zh-CN"/>
              </w:rPr>
              <w:t>施工平面布置情况</w:t>
            </w:r>
            <w:r>
              <w:rPr>
                <w:rFonts w:hint="eastAsia" w:ascii="Times New Roman" w:hAnsi="Times New Roman" w:eastAsia="仿宋"/>
                <w:color w:val="auto"/>
                <w:kern w:val="0"/>
                <w:sz w:val="24"/>
                <w:highlight w:val="none"/>
                <w:lang w:val="en-US" w:eastAsia="zh-CN"/>
              </w:rPr>
              <w:t>，由于本项目采用干法施工，且存在退田还湖遗留土埂，评价范围</w:t>
            </w:r>
            <w:r>
              <w:rPr>
                <w:rFonts w:hint="eastAsia" w:eastAsia="仿宋"/>
                <w:color w:val="auto"/>
                <w:kern w:val="0"/>
                <w:sz w:val="24"/>
                <w:highlight w:val="none"/>
                <w:lang w:val="en-US" w:eastAsia="zh-CN"/>
              </w:rPr>
              <w:t>为施工建设区域、临时占地及干法施工区域</w:t>
            </w:r>
            <w:r>
              <w:rPr>
                <w:rFonts w:hint="eastAsia" w:ascii="Times New Roman" w:hAnsi="Times New Roman" w:eastAsia="仿宋"/>
                <w:color w:val="auto"/>
                <w:kern w:val="0"/>
                <w:sz w:val="24"/>
                <w:highlight w:val="none"/>
                <w:lang w:val="en-US" w:eastAsia="zh-CN"/>
              </w:rPr>
              <w:t>。</w:t>
            </w:r>
          </w:p>
          <w:p w14:paraId="6452C5A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本项目生态环境质量现状采用现场踏勘及引用生态论证报告相结合的方式</w:t>
            </w:r>
            <w:r>
              <w:rPr>
                <w:rFonts w:hint="eastAsia" w:eastAsia="仿宋"/>
                <w:color w:val="auto"/>
                <w:kern w:val="0"/>
                <w:sz w:val="24"/>
                <w:highlight w:val="none"/>
                <w:lang w:val="en-US" w:eastAsia="zh-CN"/>
              </w:rPr>
              <w:t>，</w:t>
            </w:r>
            <w:r>
              <w:rPr>
                <w:rFonts w:hint="eastAsia" w:ascii="Times New Roman" w:hAnsi="Times New Roman" w:eastAsia="仿宋"/>
                <w:color w:val="auto"/>
                <w:kern w:val="0"/>
                <w:sz w:val="24"/>
                <w:highlight w:val="none"/>
                <w:lang w:val="en-US" w:eastAsia="zh-CN"/>
              </w:rPr>
              <w:t>根据《常州市金坛区生物多样性本底调查物种编目报告》等相关资料情况，本项目所在区域为平原，地势平坦，植被类型以人工栽培植被为主，区域的主要生态功能为湿地生态系统保护、饮用水水源保护及渔业资源保护。主体工程建设中要注意对农田、渔业资源的保护，减少工程用地数量，确保土埂的牢固性，并做好水土流失的防治措施，保证沿线评价范围内区域生态环境质量不因本工程建设而产生不可逆损失。</w:t>
            </w:r>
          </w:p>
          <w:p w14:paraId="32EC0F23">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1、所在区域土地利用现状</w:t>
            </w:r>
          </w:p>
          <w:p w14:paraId="2C79892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金坛区总面积为976.22km</w:t>
            </w:r>
            <w:r>
              <w:rPr>
                <w:rFonts w:hint="default" w:ascii="Times New Roman" w:hAnsi="Times New Roman" w:eastAsia="仿宋"/>
                <w:color w:val="auto"/>
                <w:kern w:val="0"/>
                <w:sz w:val="24"/>
                <w:highlight w:val="none"/>
                <w:vertAlign w:val="superscript"/>
                <w:lang w:val="en-US" w:eastAsia="zh-CN"/>
              </w:rPr>
              <w:t>2</w:t>
            </w:r>
            <w:r>
              <w:rPr>
                <w:rFonts w:hint="default" w:ascii="Times New Roman" w:hAnsi="Times New Roman" w:eastAsia="仿宋"/>
                <w:color w:val="auto"/>
                <w:kern w:val="0"/>
                <w:sz w:val="24"/>
                <w:highlight w:val="none"/>
                <w:lang w:val="en-US" w:eastAsia="zh-CN"/>
              </w:rPr>
              <w:t>。其中林地178.29km</w:t>
            </w:r>
            <w:r>
              <w:rPr>
                <w:rFonts w:hint="default" w:ascii="Times New Roman" w:hAnsi="Times New Roman" w:eastAsia="仿宋"/>
                <w:color w:val="auto"/>
                <w:kern w:val="0"/>
                <w:sz w:val="24"/>
                <w:highlight w:val="none"/>
                <w:vertAlign w:val="superscript"/>
                <w:lang w:val="en-US" w:eastAsia="zh-CN"/>
              </w:rPr>
              <w:t>2</w:t>
            </w:r>
            <w:r>
              <w:rPr>
                <w:rFonts w:hint="default" w:ascii="Times New Roman" w:hAnsi="Times New Roman" w:eastAsia="仿宋"/>
                <w:color w:val="auto"/>
                <w:kern w:val="0"/>
                <w:sz w:val="24"/>
                <w:highlight w:val="none"/>
                <w:lang w:val="en-US" w:eastAsia="zh-CN"/>
              </w:rPr>
              <w:t>，占金坛区面积18.26%；其中耕地236.18km</w:t>
            </w:r>
            <w:r>
              <w:rPr>
                <w:rFonts w:hint="default" w:ascii="Times New Roman" w:hAnsi="Times New Roman" w:eastAsia="仿宋"/>
                <w:color w:val="auto"/>
                <w:kern w:val="0"/>
                <w:sz w:val="24"/>
                <w:highlight w:val="none"/>
                <w:vertAlign w:val="superscript"/>
                <w:lang w:val="en-US" w:eastAsia="zh-CN"/>
              </w:rPr>
              <w:t>2</w:t>
            </w:r>
            <w:r>
              <w:rPr>
                <w:rFonts w:hint="default" w:ascii="Times New Roman" w:hAnsi="Times New Roman" w:eastAsia="仿宋"/>
                <w:color w:val="auto"/>
                <w:kern w:val="0"/>
                <w:sz w:val="24"/>
                <w:highlight w:val="none"/>
                <w:lang w:val="en-US" w:eastAsia="zh-CN"/>
              </w:rPr>
              <w:t>，占金坛区面积24.19%；其中水域132.82km</w:t>
            </w:r>
            <w:r>
              <w:rPr>
                <w:rFonts w:hint="default" w:ascii="Times New Roman" w:hAnsi="Times New Roman" w:eastAsia="仿宋"/>
                <w:color w:val="auto"/>
                <w:kern w:val="0"/>
                <w:sz w:val="24"/>
                <w:highlight w:val="none"/>
                <w:vertAlign w:val="superscript"/>
                <w:lang w:val="en-US" w:eastAsia="zh-CN"/>
              </w:rPr>
              <w:t>2</w:t>
            </w:r>
            <w:r>
              <w:rPr>
                <w:rFonts w:hint="default" w:ascii="Times New Roman" w:hAnsi="Times New Roman" w:eastAsia="仿宋"/>
                <w:color w:val="auto"/>
                <w:kern w:val="0"/>
                <w:sz w:val="24"/>
                <w:highlight w:val="none"/>
                <w:lang w:val="en-US" w:eastAsia="zh-CN"/>
              </w:rPr>
              <w:t>，占金坛区面积13.61%；其中鱼塘117.37km</w:t>
            </w:r>
            <w:r>
              <w:rPr>
                <w:rFonts w:hint="default" w:ascii="Times New Roman" w:hAnsi="Times New Roman" w:eastAsia="仿宋"/>
                <w:color w:val="auto"/>
                <w:kern w:val="0"/>
                <w:sz w:val="24"/>
                <w:highlight w:val="none"/>
                <w:vertAlign w:val="superscript"/>
                <w:lang w:val="en-US" w:eastAsia="zh-CN"/>
              </w:rPr>
              <w:t>2</w:t>
            </w:r>
            <w:r>
              <w:rPr>
                <w:rFonts w:hint="default" w:ascii="Times New Roman" w:hAnsi="Times New Roman" w:eastAsia="仿宋"/>
                <w:color w:val="auto"/>
                <w:kern w:val="0"/>
                <w:sz w:val="24"/>
                <w:highlight w:val="none"/>
                <w:lang w:val="en-US" w:eastAsia="zh-CN"/>
              </w:rPr>
              <w:t>，占金坛区面积12.02%；其中水渠、道路109.20km</w:t>
            </w:r>
            <w:r>
              <w:rPr>
                <w:rFonts w:hint="default" w:ascii="Times New Roman" w:hAnsi="Times New Roman" w:eastAsia="仿宋"/>
                <w:color w:val="auto"/>
                <w:kern w:val="0"/>
                <w:sz w:val="24"/>
                <w:highlight w:val="none"/>
                <w:vertAlign w:val="superscript"/>
                <w:lang w:val="en-US" w:eastAsia="zh-CN"/>
              </w:rPr>
              <w:t>2</w:t>
            </w:r>
            <w:r>
              <w:rPr>
                <w:rFonts w:hint="default" w:ascii="Times New Roman" w:hAnsi="Times New Roman" w:eastAsia="仿宋"/>
                <w:color w:val="auto"/>
                <w:kern w:val="0"/>
                <w:sz w:val="24"/>
                <w:highlight w:val="none"/>
                <w:lang w:val="en-US" w:eastAsia="zh-CN"/>
              </w:rPr>
              <w:t>，占比金坛区面积11.19%；其中城乡、工矿、居民用地202.37km</w:t>
            </w:r>
            <w:r>
              <w:rPr>
                <w:rFonts w:hint="default" w:ascii="Times New Roman" w:hAnsi="Times New Roman" w:eastAsia="仿宋"/>
                <w:color w:val="auto"/>
                <w:kern w:val="0"/>
                <w:sz w:val="24"/>
                <w:highlight w:val="none"/>
                <w:vertAlign w:val="superscript"/>
                <w:lang w:val="en-US" w:eastAsia="zh-CN"/>
              </w:rPr>
              <w:t>2</w:t>
            </w:r>
            <w:r>
              <w:rPr>
                <w:rFonts w:hint="default" w:ascii="Times New Roman" w:hAnsi="Times New Roman" w:eastAsia="仿宋"/>
                <w:color w:val="auto"/>
                <w:kern w:val="0"/>
                <w:sz w:val="24"/>
                <w:highlight w:val="none"/>
                <w:lang w:val="en-US" w:eastAsia="zh-CN"/>
              </w:rPr>
              <w:t>，占比金坛区面积20.73%，详见表</w:t>
            </w:r>
            <w:r>
              <w:rPr>
                <w:rFonts w:hint="eastAsia" w:eastAsia="仿宋"/>
                <w:color w:val="auto"/>
                <w:kern w:val="0"/>
                <w:sz w:val="24"/>
                <w:highlight w:val="none"/>
                <w:lang w:val="en-US" w:eastAsia="zh-CN"/>
              </w:rPr>
              <w:t>3-9</w:t>
            </w:r>
            <w:r>
              <w:rPr>
                <w:rFonts w:hint="default" w:ascii="Times New Roman" w:hAnsi="Times New Roman" w:eastAsia="仿宋"/>
                <w:color w:val="auto"/>
                <w:kern w:val="0"/>
                <w:sz w:val="24"/>
                <w:highlight w:val="none"/>
                <w:lang w:val="en-US" w:eastAsia="zh-CN"/>
              </w:rPr>
              <w:t>。</w:t>
            </w:r>
          </w:p>
          <w:p w14:paraId="3BA801E8">
            <w:pPr>
              <w:pStyle w:val="32"/>
              <w:jc w:val="center"/>
              <w:rPr>
                <w:rFonts w:hint="default" w:ascii="Times New Roman" w:hAnsi="Times New Roman" w:eastAsia="仿宋" w:cs="Times New Roman"/>
                <w:color w:val="auto"/>
                <w:sz w:val="24"/>
                <w:highlight w:val="none"/>
                <w:vertAlign w:val="superscript"/>
              </w:rPr>
            </w:pPr>
            <w:r>
              <w:rPr>
                <w:rFonts w:hint="default" w:ascii="Times New Roman" w:hAnsi="Times New Roman" w:eastAsia="仿宋" w:cs="Times New Roman"/>
                <w:color w:val="auto"/>
                <w:sz w:val="24"/>
                <w:highlight w:val="none"/>
              </w:rPr>
              <w:t>表</w:t>
            </w:r>
            <w:r>
              <w:rPr>
                <w:rFonts w:hint="eastAsia" w:eastAsia="仿宋" w:cs="Times New Roman"/>
                <w:color w:val="auto"/>
                <w:sz w:val="24"/>
                <w:highlight w:val="none"/>
                <w:lang w:val="en-US" w:eastAsia="zh-CN"/>
              </w:rPr>
              <w:t>3-9</w:t>
            </w:r>
            <w:r>
              <w:rPr>
                <w:rFonts w:hint="default" w:ascii="Times New Roman" w:hAnsi="Times New Roman" w:eastAsia="仿宋" w:cs="Times New Roman"/>
                <w:color w:val="auto"/>
                <w:sz w:val="24"/>
                <w:highlight w:val="none"/>
              </w:rPr>
              <w:t xml:space="preserve">  区域土地情况一览表  单位：km</w:t>
            </w:r>
            <w:r>
              <w:rPr>
                <w:rFonts w:hint="default" w:ascii="Times New Roman" w:hAnsi="Times New Roman" w:eastAsia="仿宋" w:cs="Times New Roman"/>
                <w:color w:val="auto"/>
                <w:sz w:val="24"/>
                <w:highlight w:val="none"/>
                <w:vertAlign w:val="superscript"/>
              </w:rPr>
              <w:t>2</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3"/>
              <w:gridCol w:w="3033"/>
              <w:gridCol w:w="3036"/>
            </w:tblGrid>
            <w:tr w14:paraId="73A04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top"/>
                </w:tcPr>
                <w:p w14:paraId="0BD407F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土地利用类型</w:t>
                  </w:r>
                </w:p>
              </w:tc>
              <w:tc>
                <w:tcPr>
                  <w:tcW w:w="1666" w:type="pct"/>
                  <w:noWrap w:val="0"/>
                  <w:vAlign w:val="top"/>
                </w:tcPr>
                <w:p w14:paraId="0ED29DB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面积</w:t>
                  </w:r>
                </w:p>
              </w:tc>
              <w:tc>
                <w:tcPr>
                  <w:tcW w:w="1667" w:type="pct"/>
                  <w:noWrap w:val="0"/>
                  <w:vAlign w:val="top"/>
                </w:tcPr>
                <w:p w14:paraId="384353C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占比</w:t>
                  </w:r>
                </w:p>
              </w:tc>
            </w:tr>
            <w:tr w14:paraId="4AD1B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top"/>
                </w:tcPr>
                <w:p w14:paraId="4A4F021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林地</w:t>
                  </w:r>
                </w:p>
              </w:tc>
              <w:tc>
                <w:tcPr>
                  <w:tcW w:w="1666" w:type="pct"/>
                  <w:noWrap w:val="0"/>
                  <w:vAlign w:val="top"/>
                </w:tcPr>
                <w:p w14:paraId="6070B37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178.29</w:t>
                  </w:r>
                </w:p>
              </w:tc>
              <w:tc>
                <w:tcPr>
                  <w:tcW w:w="1667" w:type="pct"/>
                  <w:noWrap w:val="0"/>
                  <w:vAlign w:val="top"/>
                </w:tcPr>
                <w:p w14:paraId="52064DF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18.26%</w:t>
                  </w:r>
                </w:p>
              </w:tc>
            </w:tr>
            <w:tr w14:paraId="3175C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top"/>
                </w:tcPr>
                <w:p w14:paraId="0AEE236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耕地</w:t>
                  </w:r>
                </w:p>
              </w:tc>
              <w:tc>
                <w:tcPr>
                  <w:tcW w:w="1666" w:type="pct"/>
                  <w:noWrap w:val="0"/>
                  <w:vAlign w:val="top"/>
                </w:tcPr>
                <w:p w14:paraId="3A0C01E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236.18</w:t>
                  </w:r>
                </w:p>
              </w:tc>
              <w:tc>
                <w:tcPr>
                  <w:tcW w:w="1667" w:type="pct"/>
                  <w:noWrap w:val="0"/>
                  <w:vAlign w:val="top"/>
                </w:tcPr>
                <w:p w14:paraId="3C8084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24.19%</w:t>
                  </w:r>
                </w:p>
              </w:tc>
            </w:tr>
            <w:tr w14:paraId="03408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top"/>
                </w:tcPr>
                <w:p w14:paraId="4204286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水域</w:t>
                  </w:r>
                </w:p>
              </w:tc>
              <w:tc>
                <w:tcPr>
                  <w:tcW w:w="1666" w:type="pct"/>
                  <w:noWrap w:val="0"/>
                  <w:vAlign w:val="top"/>
                </w:tcPr>
                <w:p w14:paraId="5FD7461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132.82</w:t>
                  </w:r>
                </w:p>
              </w:tc>
              <w:tc>
                <w:tcPr>
                  <w:tcW w:w="1667" w:type="pct"/>
                  <w:noWrap w:val="0"/>
                  <w:vAlign w:val="top"/>
                </w:tcPr>
                <w:p w14:paraId="1BEECAC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13.61%</w:t>
                  </w:r>
                </w:p>
              </w:tc>
            </w:tr>
            <w:tr w14:paraId="1677D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top"/>
                </w:tcPr>
                <w:p w14:paraId="318489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鱼塘</w:t>
                  </w:r>
                </w:p>
              </w:tc>
              <w:tc>
                <w:tcPr>
                  <w:tcW w:w="1666" w:type="pct"/>
                  <w:noWrap w:val="0"/>
                  <w:vAlign w:val="top"/>
                </w:tcPr>
                <w:p w14:paraId="2EAF48A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117.37</w:t>
                  </w:r>
                </w:p>
              </w:tc>
              <w:tc>
                <w:tcPr>
                  <w:tcW w:w="1667" w:type="pct"/>
                  <w:noWrap w:val="0"/>
                  <w:vAlign w:val="top"/>
                </w:tcPr>
                <w:p w14:paraId="239239D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12.02%</w:t>
                  </w:r>
                </w:p>
              </w:tc>
            </w:tr>
            <w:tr w14:paraId="6D6C5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top"/>
                </w:tcPr>
                <w:p w14:paraId="4FDE9BA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水渠、道路</w:t>
                  </w:r>
                </w:p>
              </w:tc>
              <w:tc>
                <w:tcPr>
                  <w:tcW w:w="1666" w:type="pct"/>
                  <w:noWrap w:val="0"/>
                  <w:vAlign w:val="top"/>
                </w:tcPr>
                <w:p w14:paraId="1063CF6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109.20</w:t>
                  </w:r>
                </w:p>
              </w:tc>
              <w:tc>
                <w:tcPr>
                  <w:tcW w:w="1667" w:type="pct"/>
                  <w:noWrap w:val="0"/>
                  <w:vAlign w:val="top"/>
                </w:tcPr>
                <w:p w14:paraId="5D0A287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11.19%</w:t>
                  </w:r>
                </w:p>
              </w:tc>
            </w:tr>
            <w:tr w14:paraId="3C70D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top"/>
                </w:tcPr>
                <w:p w14:paraId="3A531FD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城乡、工矿、居民用地</w:t>
                  </w:r>
                </w:p>
              </w:tc>
              <w:tc>
                <w:tcPr>
                  <w:tcW w:w="1666" w:type="pct"/>
                  <w:noWrap w:val="0"/>
                  <w:vAlign w:val="top"/>
                </w:tcPr>
                <w:p w14:paraId="0BA6F95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202.37</w:t>
                  </w:r>
                </w:p>
              </w:tc>
              <w:tc>
                <w:tcPr>
                  <w:tcW w:w="1667" w:type="pct"/>
                  <w:noWrap w:val="0"/>
                  <w:vAlign w:val="top"/>
                </w:tcPr>
                <w:p w14:paraId="7DEE9F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20.73%</w:t>
                  </w:r>
                </w:p>
              </w:tc>
            </w:tr>
            <w:tr w14:paraId="56AEE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top"/>
                </w:tcPr>
                <w:p w14:paraId="0163722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合计</w:t>
                  </w:r>
                </w:p>
              </w:tc>
              <w:tc>
                <w:tcPr>
                  <w:tcW w:w="1666" w:type="pct"/>
                  <w:noWrap w:val="0"/>
                  <w:vAlign w:val="top"/>
                </w:tcPr>
                <w:p w14:paraId="7E2F985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976.22</w:t>
                  </w:r>
                </w:p>
              </w:tc>
              <w:tc>
                <w:tcPr>
                  <w:tcW w:w="1667" w:type="pct"/>
                  <w:noWrap w:val="0"/>
                  <w:vAlign w:val="top"/>
                </w:tcPr>
                <w:p w14:paraId="7544469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100%</w:t>
                  </w:r>
                </w:p>
              </w:tc>
            </w:tr>
          </w:tbl>
          <w:p w14:paraId="61B5F99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2、</w:t>
            </w:r>
            <w:r>
              <w:rPr>
                <w:rFonts w:hint="default" w:ascii="Times New Roman" w:hAnsi="Times New Roman" w:eastAsia="仿宋"/>
                <w:color w:val="auto"/>
                <w:kern w:val="0"/>
                <w:sz w:val="24"/>
                <w:highlight w:val="none"/>
                <w:lang w:val="en-US" w:eastAsia="zh-CN"/>
              </w:rPr>
              <w:t>本项目土地利用现状</w:t>
            </w:r>
          </w:p>
          <w:p w14:paraId="090B618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依据《土地利用现状分类》（GB/T21010-2017）并结合遥感影像数据解析精度，</w:t>
            </w:r>
            <w:r>
              <w:rPr>
                <w:rFonts w:hint="default" w:ascii="Times New Roman" w:hAnsi="Times New Roman" w:eastAsia="仿宋"/>
                <w:color w:val="auto"/>
                <w:kern w:val="0"/>
                <w:sz w:val="24"/>
                <w:highlight w:val="none"/>
                <w:lang w:val="en-US" w:eastAsia="zh-CN"/>
              </w:rPr>
              <w:t>本项目新增永久占地新增用地</w:t>
            </w:r>
            <w:r>
              <w:rPr>
                <w:rFonts w:hint="eastAsia" w:ascii="Times New Roman" w:hAnsi="Times New Roman" w:eastAsia="仿宋"/>
                <w:color w:val="auto"/>
                <w:kern w:val="0"/>
                <w:sz w:val="24"/>
                <w:highlight w:val="none"/>
                <w:lang w:val="en-US" w:eastAsia="zh-CN"/>
              </w:rPr>
              <w:t>17272m</w:t>
            </w:r>
            <w:r>
              <w:rPr>
                <w:rFonts w:hint="eastAsia" w:ascii="Times New Roman" w:hAnsi="Times New Roman" w:eastAsia="仿宋"/>
                <w:color w:val="auto"/>
                <w:kern w:val="0"/>
                <w:sz w:val="24"/>
                <w:highlight w:val="none"/>
                <w:vertAlign w:val="superscript"/>
                <w:lang w:val="en-US" w:eastAsia="zh-CN"/>
              </w:rPr>
              <w:t>2</w:t>
            </w:r>
            <w:r>
              <w:rPr>
                <w:rFonts w:hint="default" w:ascii="Times New Roman" w:hAnsi="Times New Roman" w:eastAsia="仿宋"/>
                <w:color w:val="auto"/>
                <w:kern w:val="0"/>
                <w:sz w:val="24"/>
                <w:highlight w:val="none"/>
                <w:lang w:val="en-US" w:eastAsia="zh-CN"/>
              </w:rPr>
              <w:t>（</w:t>
            </w:r>
            <w:r>
              <w:rPr>
                <w:rFonts w:hint="eastAsia" w:ascii="Times New Roman" w:hAnsi="Times New Roman" w:eastAsia="仿宋"/>
                <w:color w:val="auto"/>
                <w:kern w:val="0"/>
                <w:sz w:val="24"/>
                <w:highlight w:val="none"/>
                <w:lang w:val="en-US" w:eastAsia="zh-CN"/>
              </w:rPr>
              <w:t>1.7272</w:t>
            </w:r>
            <w:r>
              <w:rPr>
                <w:rFonts w:hint="default" w:ascii="Times New Roman" w:hAnsi="Times New Roman" w:eastAsia="仿宋"/>
                <w:color w:val="auto"/>
                <w:kern w:val="0"/>
                <w:sz w:val="24"/>
                <w:highlight w:val="none"/>
                <w:lang w:val="en-US" w:eastAsia="zh-CN"/>
              </w:rPr>
              <w:t>公顷）</w:t>
            </w:r>
            <w:r>
              <w:rPr>
                <w:rFonts w:hint="eastAsia" w:ascii="Times New Roman" w:hAnsi="Times New Roman" w:eastAsia="仿宋"/>
                <w:color w:val="auto"/>
                <w:kern w:val="0"/>
                <w:sz w:val="24"/>
                <w:highlight w:val="none"/>
                <w:lang w:val="en-US" w:eastAsia="zh-CN"/>
              </w:rPr>
              <w:t>，主要占地类型涉及耕地、草地、交通运输用地、水工建筑用地、水域及少量其他用地，占地</w:t>
            </w:r>
            <w:r>
              <w:rPr>
                <w:rFonts w:hint="default" w:ascii="Times New Roman" w:hAnsi="Times New Roman" w:eastAsia="仿宋"/>
                <w:color w:val="auto"/>
                <w:kern w:val="0"/>
                <w:sz w:val="24"/>
                <w:highlight w:val="none"/>
                <w:lang w:val="en-US" w:eastAsia="zh-CN"/>
              </w:rPr>
              <w:t>范围内不涉及</w:t>
            </w:r>
            <w:r>
              <w:rPr>
                <w:rFonts w:hint="eastAsia" w:ascii="Times New Roman" w:hAnsi="Times New Roman" w:eastAsia="仿宋"/>
                <w:color w:val="auto"/>
                <w:kern w:val="0"/>
                <w:sz w:val="24"/>
                <w:highlight w:val="none"/>
                <w:lang w:val="en-US" w:eastAsia="zh-CN"/>
              </w:rPr>
              <w:t>永久</w:t>
            </w:r>
            <w:r>
              <w:rPr>
                <w:rFonts w:hint="default" w:ascii="Times New Roman" w:hAnsi="Times New Roman" w:eastAsia="仿宋"/>
                <w:color w:val="auto"/>
                <w:kern w:val="0"/>
                <w:sz w:val="24"/>
                <w:highlight w:val="none"/>
                <w:lang w:val="en-US" w:eastAsia="zh-CN"/>
              </w:rPr>
              <w:t>基本农田</w:t>
            </w:r>
            <w:r>
              <w:rPr>
                <w:rFonts w:hint="eastAsia" w:ascii="Times New Roman" w:hAnsi="Times New Roman" w:eastAsia="仿宋"/>
                <w:color w:val="auto"/>
                <w:kern w:val="0"/>
                <w:sz w:val="24"/>
                <w:highlight w:val="none"/>
                <w:lang w:val="en-US" w:eastAsia="zh-CN"/>
              </w:rPr>
              <w:t>，土地</w:t>
            </w:r>
            <w:r>
              <w:rPr>
                <w:rFonts w:hint="default" w:ascii="Times New Roman" w:hAnsi="Times New Roman" w:eastAsia="仿宋"/>
                <w:color w:val="auto"/>
                <w:kern w:val="0"/>
                <w:sz w:val="24"/>
                <w:highlight w:val="none"/>
                <w:lang w:val="en-US" w:eastAsia="zh-CN"/>
              </w:rPr>
              <w:t>利用现状见图</w:t>
            </w:r>
            <w:r>
              <w:rPr>
                <w:rFonts w:hint="eastAsia" w:eastAsia="仿宋"/>
                <w:color w:val="auto"/>
                <w:kern w:val="0"/>
                <w:sz w:val="24"/>
                <w:highlight w:val="none"/>
                <w:lang w:val="en-US" w:eastAsia="zh-CN"/>
              </w:rPr>
              <w:t>3-2</w:t>
            </w:r>
            <w:r>
              <w:rPr>
                <w:rFonts w:hint="eastAsia" w:ascii="Times New Roman" w:hAnsi="Times New Roman" w:eastAsia="仿宋"/>
                <w:color w:val="auto"/>
                <w:kern w:val="0"/>
                <w:sz w:val="24"/>
                <w:highlight w:val="none"/>
                <w:lang w:val="en-US" w:eastAsia="zh-CN"/>
              </w:rPr>
              <w:t>，</w:t>
            </w:r>
            <w:r>
              <w:rPr>
                <w:rFonts w:hint="default" w:ascii="Times New Roman" w:hAnsi="Times New Roman" w:eastAsia="仿宋"/>
                <w:color w:val="auto"/>
                <w:kern w:val="0"/>
                <w:sz w:val="24"/>
                <w:highlight w:val="none"/>
                <w:lang w:val="en-US" w:eastAsia="zh-CN"/>
              </w:rPr>
              <w:t>用地明细见下表。</w:t>
            </w:r>
          </w:p>
          <w:p w14:paraId="4EAEDA93">
            <w:pPr>
              <w:spacing w:before="120" w:after="120"/>
              <w:jc w:val="center"/>
              <w:rPr>
                <w:rFonts w:ascii="华文仿宋" w:hAnsi="华文仿宋" w:eastAsia="华文仿宋" w:cs="Times New Roman"/>
                <w:b/>
                <w:color w:val="auto"/>
                <w:sz w:val="24"/>
              </w:rPr>
            </w:pPr>
            <w:r>
              <w:rPr>
                <w:sz w:val="24"/>
              </w:rPr>
              <mc:AlternateContent>
                <mc:Choice Requires="wps">
                  <w:drawing>
                    <wp:anchor distT="0" distB="0" distL="114300" distR="114300" simplePos="0" relativeHeight="251699200" behindDoc="0" locked="0" layoutInCell="1" allowOverlap="1">
                      <wp:simplePos x="0" y="0"/>
                      <wp:positionH relativeFrom="column">
                        <wp:posOffset>4446270</wp:posOffset>
                      </wp:positionH>
                      <wp:positionV relativeFrom="paragraph">
                        <wp:posOffset>241935</wp:posOffset>
                      </wp:positionV>
                      <wp:extent cx="1087120" cy="825500"/>
                      <wp:effectExtent l="0" t="0" r="17780" b="12700"/>
                      <wp:wrapNone/>
                      <wp:docPr id="97" name="矩形 97"/>
                      <wp:cNvGraphicFramePr/>
                      <a:graphic xmlns:a="http://schemas.openxmlformats.org/drawingml/2006/main">
                        <a:graphicData uri="http://schemas.microsoft.com/office/word/2010/wordprocessingShape">
                          <wps:wsp>
                            <wps:cNvSpPr/>
                            <wps:spPr>
                              <a:xfrm>
                                <a:off x="5467350" y="3848735"/>
                                <a:ext cx="1087120" cy="82550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1pt;margin-top:19.05pt;height:65pt;width:85.6pt;z-index:251699200;v-text-anchor:middle;mso-width-relative:page;mso-height-relative:page;" fillcolor="#FFFFFF [3212]" filled="t" stroked="f" coordsize="21600,21600" o:gfxdata="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&#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X+ZB/YAAAACgEAAA8AAAAAAAAAAQAgAAAAIgAAAGRy&#10;cy9kb3ducmV2LnhtbFBLAQIUABQAAAAIAIdO4kB3p/cbdwIAANkEAAAOAAAAAAAAAAEAIAAAACcB&#10;AABkcnMvZTJvRG9jLnhtbFBLBQYAAAAABgAGAFkBAAAQBgAAAAA=&#10;">
                      <v:fill on="t" focussize="0,0"/>
                      <v:stroke on="f" weight="1pt" miterlimit="8" joinstyle="miter"/>
                      <v:imagedata o:title=""/>
                      <o:lock v:ext="edit" aspectratio="f"/>
                    </v:rect>
                  </w:pict>
                </mc:Fallback>
              </mc:AlternateContent>
            </w:r>
            <w:r>
              <w:drawing>
                <wp:anchor distT="0" distB="0" distL="114300" distR="114300" simplePos="0" relativeHeight="251698176" behindDoc="0" locked="0" layoutInCell="1" allowOverlap="1">
                  <wp:simplePos x="0" y="0"/>
                  <wp:positionH relativeFrom="column">
                    <wp:posOffset>4561840</wp:posOffset>
                  </wp:positionH>
                  <wp:positionV relativeFrom="paragraph">
                    <wp:posOffset>996950</wp:posOffset>
                  </wp:positionV>
                  <wp:extent cx="980440" cy="885825"/>
                  <wp:effectExtent l="0" t="0" r="10160" b="9525"/>
                  <wp:wrapNone/>
                  <wp:docPr id="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
                          <pic:cNvPicPr>
                            <a:picLocks noChangeAspect="1"/>
                          </pic:cNvPicPr>
                        </pic:nvPicPr>
                        <pic:blipFill>
                          <a:blip r:embed="rId43"/>
                          <a:stretch>
                            <a:fillRect/>
                          </a:stretch>
                        </pic:blipFill>
                        <pic:spPr>
                          <a:xfrm>
                            <a:off x="0" y="0"/>
                            <a:ext cx="980440" cy="885825"/>
                          </a:xfrm>
                          <a:prstGeom prst="rect">
                            <a:avLst/>
                          </a:prstGeom>
                          <a:noFill/>
                          <a:ln>
                            <a:noFill/>
                          </a:ln>
                        </pic:spPr>
                      </pic:pic>
                    </a:graphicData>
                  </a:graphic>
                </wp:anchor>
              </w:drawing>
            </w:r>
            <w:r>
              <w:rPr>
                <w:rFonts w:ascii="华文仿宋" w:hAnsi="华文仿宋" w:eastAsia="华文仿宋" w:cs="Times New Roman"/>
                <w:b/>
                <w:color w:val="auto"/>
                <w:sz w:val="24"/>
              </w:rPr>
              <w:drawing>
                <wp:inline distT="0" distB="0" distL="114300" distR="114300">
                  <wp:extent cx="5278120" cy="4106545"/>
                  <wp:effectExtent l="0" t="0" r="17780" b="8255"/>
                  <wp:docPr id="17" name="图片 1" descr="G:\打工仔\环评\中吴大道西延智慧快速路\01四期报告\评审补充材料\区域土地利用现状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G:\打工仔\环评\中吴大道西延智慧快速路\01四期报告\评审补充材料\区域土地利用现状图.png"/>
                          <pic:cNvPicPr>
                            <a:picLocks noChangeAspect="1"/>
                          </pic:cNvPicPr>
                        </pic:nvPicPr>
                        <pic:blipFill>
                          <a:blip r:embed="rId44"/>
                          <a:stretch>
                            <a:fillRect/>
                          </a:stretch>
                        </pic:blipFill>
                        <pic:spPr>
                          <a:xfrm>
                            <a:off x="0" y="0"/>
                            <a:ext cx="5278120" cy="4106545"/>
                          </a:xfrm>
                          <a:prstGeom prst="rect">
                            <a:avLst/>
                          </a:prstGeom>
                          <a:noFill/>
                          <a:ln>
                            <a:noFill/>
                          </a:ln>
                        </pic:spPr>
                      </pic:pic>
                    </a:graphicData>
                  </a:graphic>
                </wp:inline>
              </w:drawing>
            </w:r>
          </w:p>
          <w:p w14:paraId="07EEDB46">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imes New Roman"/>
                <w:b/>
                <w:bCs/>
                <w:color w:val="auto"/>
                <w:kern w:val="0"/>
                <w:sz w:val="24"/>
                <w:szCs w:val="22"/>
                <w:highlight w:val="none"/>
                <w:lang w:val="en-US" w:eastAsia="zh-CN" w:bidi="ar-SA"/>
              </w:rPr>
            </w:pPr>
            <w:r>
              <w:rPr>
                <w:rFonts w:hint="default" w:ascii="Times New Roman" w:hAnsi="Times New Roman" w:eastAsia="仿宋" w:cs="Times New Roman"/>
                <w:b/>
                <w:bCs/>
                <w:color w:val="auto"/>
                <w:kern w:val="0"/>
                <w:sz w:val="24"/>
                <w:szCs w:val="22"/>
                <w:highlight w:val="none"/>
                <w:lang w:val="en-US" w:eastAsia="zh-CN" w:bidi="ar-SA"/>
              </w:rPr>
              <w:t>图</w:t>
            </w:r>
            <w:r>
              <w:rPr>
                <w:rFonts w:hint="eastAsia" w:ascii="Times New Roman" w:hAnsi="Times New Roman" w:eastAsia="仿宋" w:cs="Times New Roman"/>
                <w:b/>
                <w:bCs/>
                <w:color w:val="auto"/>
                <w:kern w:val="0"/>
                <w:sz w:val="24"/>
                <w:szCs w:val="22"/>
                <w:highlight w:val="none"/>
                <w:lang w:val="en-US" w:eastAsia="zh-CN" w:bidi="ar-SA"/>
              </w:rPr>
              <w:t>3-2</w:t>
            </w:r>
            <w:r>
              <w:rPr>
                <w:rFonts w:hint="default" w:ascii="Times New Roman" w:hAnsi="Times New Roman" w:eastAsia="仿宋" w:cs="Times New Roman"/>
                <w:b/>
                <w:bCs/>
                <w:color w:val="auto"/>
                <w:kern w:val="0"/>
                <w:sz w:val="24"/>
                <w:szCs w:val="22"/>
                <w:highlight w:val="none"/>
                <w:lang w:val="en-US" w:eastAsia="zh-CN" w:bidi="ar-SA"/>
              </w:rPr>
              <w:t xml:space="preserve"> 区域土地利用现状图</w:t>
            </w:r>
          </w:p>
          <w:p w14:paraId="0AE2FC25">
            <w:pPr>
              <w:pStyle w:val="32"/>
              <w:jc w:val="both"/>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color w:val="auto"/>
                <w:sz w:val="24"/>
                <w:highlight w:val="none"/>
                <w:lang w:val="en-US" w:eastAsia="zh-CN"/>
              </w:rPr>
              <w:t xml:space="preserve">                     </w:t>
            </w:r>
            <w:r>
              <w:rPr>
                <w:rFonts w:hint="eastAsia" w:ascii="Times New Roman" w:hAnsi="Times New Roman" w:eastAsia="仿宋" w:cs="Times New Roman"/>
                <w:b/>
                <w:bCs/>
                <w:color w:val="auto"/>
                <w:kern w:val="0"/>
                <w:sz w:val="24"/>
                <w:szCs w:val="22"/>
                <w:highlight w:val="none"/>
                <w:lang w:val="en-US" w:eastAsia="zh-CN" w:bidi="ar-SA"/>
              </w:rPr>
              <w:t xml:space="preserve"> </w:t>
            </w:r>
            <w:r>
              <w:rPr>
                <w:rFonts w:hint="default" w:ascii="Times New Roman" w:hAnsi="Times New Roman" w:eastAsia="仿宋" w:cs="Times New Roman"/>
                <w:b/>
                <w:bCs/>
                <w:color w:val="auto"/>
                <w:kern w:val="0"/>
                <w:sz w:val="24"/>
                <w:szCs w:val="22"/>
                <w:highlight w:val="none"/>
                <w:lang w:val="en-US" w:eastAsia="zh-CN" w:bidi="ar-SA"/>
              </w:rPr>
              <w:t>表</w:t>
            </w:r>
            <w:r>
              <w:rPr>
                <w:rFonts w:hint="eastAsia" w:ascii="Times New Roman" w:hAnsi="Times New Roman" w:eastAsia="仿宋" w:cs="Times New Roman"/>
                <w:b/>
                <w:bCs/>
                <w:color w:val="auto"/>
                <w:kern w:val="0"/>
                <w:sz w:val="24"/>
                <w:szCs w:val="22"/>
                <w:highlight w:val="none"/>
                <w:lang w:val="en-US" w:eastAsia="zh-CN" w:bidi="ar-SA"/>
              </w:rPr>
              <w:t>3-10</w:t>
            </w:r>
            <w:r>
              <w:rPr>
                <w:rFonts w:hint="default" w:ascii="Times New Roman" w:hAnsi="Times New Roman" w:eastAsia="仿宋" w:cs="Times New Roman"/>
                <w:b/>
                <w:bCs/>
                <w:color w:val="auto"/>
                <w:kern w:val="0"/>
                <w:sz w:val="24"/>
                <w:szCs w:val="22"/>
                <w:highlight w:val="none"/>
                <w:lang w:val="en-US" w:eastAsia="zh-CN" w:bidi="ar-SA"/>
              </w:rPr>
              <w:t xml:space="preserve"> 工程占地明细表  单位：</w:t>
            </w:r>
            <w:r>
              <w:rPr>
                <w:rFonts w:hint="eastAsia" w:ascii="Times New Roman" w:hAnsi="Times New Roman" w:eastAsia="仿宋" w:cs="Times New Roman"/>
                <w:b/>
                <w:bCs/>
                <w:color w:val="auto"/>
                <w:kern w:val="0"/>
                <w:sz w:val="24"/>
                <w:szCs w:val="22"/>
                <w:highlight w:val="none"/>
                <w:lang w:val="en-US" w:eastAsia="zh-CN" w:bidi="ar-SA"/>
              </w:rPr>
              <w:t>公顷（0.0000）</w:t>
            </w:r>
          </w:p>
          <w:tbl>
            <w:tblPr>
              <w:tblStyle w:val="2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4"/>
              <w:gridCol w:w="1009"/>
              <w:gridCol w:w="1009"/>
              <w:gridCol w:w="1010"/>
              <w:gridCol w:w="1010"/>
              <w:gridCol w:w="1010"/>
              <w:gridCol w:w="1010"/>
              <w:gridCol w:w="1029"/>
            </w:tblGrid>
            <w:tr w14:paraId="3342C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06" w:type="pct"/>
                  <w:vMerge w:val="restart"/>
                  <w:noWrap w:val="0"/>
                  <w:vAlign w:val="center"/>
                </w:tcPr>
                <w:p w14:paraId="457407AC">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w:t>
                  </w:r>
                </w:p>
              </w:tc>
              <w:tc>
                <w:tcPr>
                  <w:tcW w:w="3893" w:type="pct"/>
                  <w:gridSpan w:val="7"/>
                  <w:noWrap w:val="0"/>
                  <w:vAlign w:val="center"/>
                </w:tcPr>
                <w:p w14:paraId="4283930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永久占地</w:t>
                  </w:r>
                </w:p>
              </w:tc>
            </w:tr>
            <w:tr w14:paraId="767D9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6" w:type="pct"/>
                  <w:vMerge w:val="continue"/>
                  <w:noWrap w:val="0"/>
                  <w:vAlign w:val="center"/>
                </w:tcPr>
                <w:p w14:paraId="600CBDD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p>
              </w:tc>
              <w:tc>
                <w:tcPr>
                  <w:tcW w:w="554" w:type="pct"/>
                  <w:noWrap w:val="0"/>
                  <w:vAlign w:val="center"/>
                </w:tcPr>
                <w:p w14:paraId="04CB308C">
                  <w:pPr>
                    <w:pStyle w:val="7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pacing w:val="-3"/>
                      <w:kern w:val="2"/>
                      <w:sz w:val="21"/>
                      <w:szCs w:val="21"/>
                      <w:lang w:val="en-US" w:eastAsia="zh-CN" w:bidi="ar-SA"/>
                    </w:rPr>
                  </w:pPr>
                  <w:r>
                    <w:rPr>
                      <w:rFonts w:hint="eastAsia" w:ascii="Times New Roman" w:hAnsi="Times New Roman" w:cs="Times New Roman"/>
                      <w:b w:val="0"/>
                      <w:bCs w:val="0"/>
                      <w:color w:val="auto"/>
                      <w:spacing w:val="-3"/>
                      <w:kern w:val="2"/>
                      <w:sz w:val="21"/>
                      <w:szCs w:val="21"/>
                      <w:lang w:val="en-US" w:eastAsia="zh-CN" w:bidi="ar-SA"/>
                    </w:rPr>
                    <w:t>耕地</w:t>
                  </w:r>
                </w:p>
              </w:tc>
              <w:tc>
                <w:tcPr>
                  <w:tcW w:w="554" w:type="pct"/>
                  <w:noWrap w:val="0"/>
                  <w:vAlign w:val="center"/>
                </w:tcPr>
                <w:p w14:paraId="42E99EDC">
                  <w:pPr>
                    <w:pStyle w:val="7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b w:val="0"/>
                      <w:bCs w:val="0"/>
                      <w:color w:val="auto"/>
                      <w:kern w:val="2"/>
                      <w:sz w:val="21"/>
                      <w:szCs w:val="21"/>
                      <w:lang w:val="en-US" w:eastAsia="zh-CN" w:bidi="ar-SA"/>
                    </w:rPr>
                    <w:t>草地</w:t>
                  </w:r>
                </w:p>
              </w:tc>
              <w:tc>
                <w:tcPr>
                  <w:tcW w:w="555" w:type="pct"/>
                  <w:noWrap w:val="0"/>
                  <w:vAlign w:val="center"/>
                </w:tcPr>
                <w:p w14:paraId="5DFE42B6">
                  <w:pPr>
                    <w:pStyle w:val="7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b w:val="0"/>
                      <w:bCs w:val="0"/>
                      <w:color w:val="auto"/>
                      <w:kern w:val="2"/>
                      <w:sz w:val="21"/>
                      <w:szCs w:val="21"/>
                      <w:lang w:val="en-US" w:eastAsia="zh-CN" w:bidi="ar-SA"/>
                    </w:rPr>
                    <w:t>交通运输用地</w:t>
                  </w:r>
                </w:p>
              </w:tc>
              <w:tc>
                <w:tcPr>
                  <w:tcW w:w="555" w:type="pct"/>
                  <w:noWrap w:val="0"/>
                  <w:vAlign w:val="center"/>
                </w:tcPr>
                <w:p w14:paraId="1E75EBAD">
                  <w:pPr>
                    <w:pStyle w:val="7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水工建筑用地</w:t>
                  </w:r>
                </w:p>
              </w:tc>
              <w:tc>
                <w:tcPr>
                  <w:tcW w:w="555" w:type="pct"/>
                  <w:noWrap w:val="0"/>
                  <w:vAlign w:val="center"/>
                </w:tcPr>
                <w:p w14:paraId="24FBD214">
                  <w:pPr>
                    <w:pStyle w:val="7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水域</w:t>
                  </w:r>
                </w:p>
              </w:tc>
              <w:tc>
                <w:tcPr>
                  <w:tcW w:w="555" w:type="pct"/>
                  <w:noWrap w:val="0"/>
                  <w:vAlign w:val="center"/>
                </w:tcPr>
                <w:p w14:paraId="55B8F8E3">
                  <w:pPr>
                    <w:pStyle w:val="7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其他</w:t>
                  </w:r>
                </w:p>
              </w:tc>
              <w:tc>
                <w:tcPr>
                  <w:tcW w:w="561" w:type="pct"/>
                  <w:noWrap w:val="0"/>
                  <w:vAlign w:val="center"/>
                </w:tcPr>
                <w:p w14:paraId="301EB7AA">
                  <w:pPr>
                    <w:pStyle w:val="7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合计</w:t>
                  </w:r>
                </w:p>
              </w:tc>
            </w:tr>
            <w:tr w14:paraId="2CEED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6" w:type="pct"/>
                  <w:vMerge w:val="continue"/>
                  <w:noWrap w:val="0"/>
                  <w:vAlign w:val="center"/>
                </w:tcPr>
                <w:p w14:paraId="0CBAA12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p>
              </w:tc>
              <w:tc>
                <w:tcPr>
                  <w:tcW w:w="554" w:type="pct"/>
                  <w:noWrap w:val="0"/>
                  <w:vAlign w:val="center"/>
                </w:tcPr>
                <w:p w14:paraId="64AF413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2"/>
                      <w:sz w:val="21"/>
                      <w:szCs w:val="21"/>
                      <w:lang w:val="en-US" w:eastAsia="zh-CN" w:bidi="ar-SA"/>
                    </w:rPr>
                  </w:pPr>
                  <w:r>
                    <w:rPr>
                      <w:rFonts w:hint="eastAsia" w:ascii="Times New Roman" w:hAnsi="Times New Roman" w:eastAsia="宋体" w:cs="Times New Roman"/>
                      <w:color w:val="auto"/>
                      <w:spacing w:val="-2"/>
                      <w:sz w:val="21"/>
                      <w:szCs w:val="21"/>
                      <w:lang w:val="en-US" w:eastAsia="zh-CN" w:bidi="ar-SA"/>
                    </w:rPr>
                    <w:t>0.1772</w:t>
                  </w:r>
                </w:p>
              </w:tc>
              <w:tc>
                <w:tcPr>
                  <w:tcW w:w="554" w:type="pct"/>
                  <w:noWrap w:val="0"/>
                  <w:vAlign w:val="center"/>
                </w:tcPr>
                <w:p w14:paraId="4B39C9D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0.1347</w:t>
                  </w:r>
                </w:p>
              </w:tc>
              <w:tc>
                <w:tcPr>
                  <w:tcW w:w="555" w:type="pct"/>
                  <w:noWrap w:val="0"/>
                  <w:vAlign w:val="center"/>
                </w:tcPr>
                <w:p w14:paraId="6912762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0.0003</w:t>
                  </w:r>
                </w:p>
              </w:tc>
              <w:tc>
                <w:tcPr>
                  <w:tcW w:w="555" w:type="pct"/>
                  <w:noWrap w:val="0"/>
                  <w:vAlign w:val="center"/>
                </w:tcPr>
                <w:p w14:paraId="36D4906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0.0817</w:t>
                  </w:r>
                </w:p>
              </w:tc>
              <w:tc>
                <w:tcPr>
                  <w:tcW w:w="555" w:type="pct"/>
                  <w:noWrap w:val="0"/>
                  <w:vAlign w:val="center"/>
                </w:tcPr>
                <w:p w14:paraId="0F733EF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1.2716</w:t>
                  </w:r>
                </w:p>
              </w:tc>
              <w:tc>
                <w:tcPr>
                  <w:tcW w:w="555" w:type="pct"/>
                  <w:noWrap w:val="0"/>
                  <w:vAlign w:val="center"/>
                </w:tcPr>
                <w:p w14:paraId="3CD01E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0.0617</w:t>
                  </w:r>
                </w:p>
              </w:tc>
              <w:tc>
                <w:tcPr>
                  <w:tcW w:w="561" w:type="pct"/>
                  <w:noWrap w:val="0"/>
                  <w:vAlign w:val="center"/>
                </w:tcPr>
                <w:p w14:paraId="0F08D63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1.7272</w:t>
                  </w:r>
                </w:p>
              </w:tc>
            </w:tr>
          </w:tbl>
          <w:p w14:paraId="002FB0B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沿线</w:t>
            </w:r>
            <w:r>
              <w:rPr>
                <w:rFonts w:hint="default" w:ascii="Times New Roman" w:hAnsi="Times New Roman" w:eastAsia="仿宋"/>
                <w:color w:val="auto"/>
                <w:kern w:val="0"/>
                <w:sz w:val="24"/>
                <w:highlight w:val="none"/>
                <w:lang w:val="en-US" w:eastAsia="zh-CN"/>
              </w:rPr>
              <w:t>主要土地利用类型如下：</w:t>
            </w:r>
          </w:p>
          <w:p w14:paraId="323B29DA">
            <w:pPr>
              <w:pStyle w:val="9"/>
              <w:ind w:left="0" w:leftChars="0" w:firstLine="0" w:firstLineChars="0"/>
              <w:jc w:val="center"/>
              <w:rPr>
                <w:rFonts w:hint="default"/>
                <w:lang w:val="en-US" w:eastAsia="zh-CN"/>
              </w:rPr>
            </w:pPr>
            <w:r>
              <w:rPr>
                <w:rFonts w:hint="eastAsia" w:eastAsia="华文仿宋"/>
                <w:color w:val="auto"/>
                <w:lang w:eastAsia="zh-CN"/>
              </w:rPr>
              <w:drawing>
                <wp:inline distT="0" distB="0" distL="114300" distR="114300">
                  <wp:extent cx="4578350" cy="3434080"/>
                  <wp:effectExtent l="0" t="0" r="12700" b="13970"/>
                  <wp:docPr id="21" name="图片 21" descr="145d3749d99d08660245e2c82b8ef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45d3749d99d08660245e2c82b8ef3b"/>
                          <pic:cNvPicPr>
                            <a:picLocks noChangeAspect="1"/>
                          </pic:cNvPicPr>
                        </pic:nvPicPr>
                        <pic:blipFill>
                          <a:blip r:embed="rId45"/>
                          <a:stretch>
                            <a:fillRect/>
                          </a:stretch>
                        </pic:blipFill>
                        <pic:spPr>
                          <a:xfrm>
                            <a:off x="0" y="0"/>
                            <a:ext cx="4578350" cy="3434080"/>
                          </a:xfrm>
                          <a:prstGeom prst="rect">
                            <a:avLst/>
                          </a:prstGeom>
                        </pic:spPr>
                      </pic:pic>
                    </a:graphicData>
                  </a:graphic>
                </wp:inline>
              </w:drawing>
            </w:r>
          </w:p>
          <w:p w14:paraId="1E798F62">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default" w:ascii="Times New Roman" w:hAnsi="Times New Roman" w:eastAsia="仿宋" w:cs="Times New Roman"/>
                <w:b/>
                <w:bCs/>
                <w:color w:val="auto"/>
                <w:kern w:val="0"/>
                <w:sz w:val="24"/>
                <w:szCs w:val="22"/>
                <w:highlight w:val="none"/>
                <w:lang w:val="en-US" w:eastAsia="zh-CN" w:bidi="ar-SA"/>
              </w:rPr>
              <w:t>图</w:t>
            </w:r>
            <w:r>
              <w:rPr>
                <w:rFonts w:hint="eastAsia" w:ascii="Times New Roman" w:hAnsi="Times New Roman" w:eastAsia="仿宋" w:cs="Times New Roman"/>
                <w:b/>
                <w:bCs/>
                <w:color w:val="auto"/>
                <w:kern w:val="0"/>
                <w:sz w:val="24"/>
                <w:szCs w:val="22"/>
                <w:highlight w:val="none"/>
                <w:lang w:val="en-US" w:eastAsia="zh-CN" w:bidi="ar-SA"/>
              </w:rPr>
              <w:t>3-3 沿线</w:t>
            </w:r>
            <w:r>
              <w:rPr>
                <w:rFonts w:hint="default" w:ascii="Times New Roman" w:hAnsi="Times New Roman" w:eastAsia="仿宋" w:cs="Times New Roman"/>
                <w:b/>
                <w:bCs/>
                <w:color w:val="auto"/>
                <w:kern w:val="0"/>
                <w:sz w:val="24"/>
                <w:szCs w:val="22"/>
                <w:highlight w:val="none"/>
                <w:lang w:val="en-US" w:eastAsia="zh-CN" w:bidi="ar-SA"/>
              </w:rPr>
              <w:t>土地</w:t>
            </w:r>
            <w:r>
              <w:rPr>
                <w:rFonts w:hint="eastAsia" w:ascii="Times New Roman" w:hAnsi="Times New Roman" w:eastAsia="仿宋" w:cs="Times New Roman"/>
                <w:b/>
                <w:bCs/>
                <w:color w:val="auto"/>
                <w:kern w:val="0"/>
                <w:sz w:val="24"/>
                <w:szCs w:val="22"/>
                <w:highlight w:val="none"/>
                <w:lang w:val="en-US" w:eastAsia="zh-CN" w:bidi="ar-SA"/>
              </w:rPr>
              <w:t>利用</w:t>
            </w:r>
            <w:r>
              <w:rPr>
                <w:rFonts w:hint="default" w:ascii="Times New Roman" w:hAnsi="Times New Roman" w:eastAsia="仿宋" w:cs="Times New Roman"/>
                <w:b/>
                <w:bCs/>
                <w:color w:val="auto"/>
                <w:kern w:val="0"/>
                <w:sz w:val="24"/>
                <w:szCs w:val="22"/>
                <w:highlight w:val="none"/>
                <w:lang w:val="en-US" w:eastAsia="zh-CN" w:bidi="ar-SA"/>
              </w:rPr>
              <w:t>类型</w:t>
            </w:r>
            <w:r>
              <w:rPr>
                <w:rFonts w:hint="eastAsia" w:ascii="Times New Roman" w:hAnsi="Times New Roman" w:eastAsia="仿宋" w:cs="Times New Roman"/>
                <w:b/>
                <w:bCs/>
                <w:color w:val="auto"/>
                <w:kern w:val="0"/>
                <w:sz w:val="24"/>
                <w:szCs w:val="22"/>
                <w:highlight w:val="none"/>
                <w:lang w:val="en-US" w:eastAsia="zh-CN" w:bidi="ar-SA"/>
              </w:rPr>
              <w:t>现状</w:t>
            </w:r>
          </w:p>
          <w:p w14:paraId="75FE751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3、生态空间管控区域</w:t>
            </w:r>
          </w:p>
          <w:p w14:paraId="0B65222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本项目位于江苏省常州市金坛区</w:t>
            </w:r>
            <w:r>
              <w:rPr>
                <w:rFonts w:hint="eastAsia" w:ascii="Times New Roman" w:hAnsi="Times New Roman" w:eastAsia="仿宋"/>
                <w:color w:val="auto"/>
                <w:kern w:val="0"/>
                <w:sz w:val="24"/>
                <w:highlight w:val="none"/>
                <w:lang w:val="en-US" w:eastAsia="zh-CN"/>
              </w:rPr>
              <w:t>长荡湖旅游度假区，</w:t>
            </w:r>
            <w:r>
              <w:rPr>
                <w:rFonts w:hint="default" w:ascii="Times New Roman" w:hAnsi="Times New Roman" w:eastAsia="仿宋"/>
                <w:color w:val="auto"/>
                <w:kern w:val="0"/>
                <w:sz w:val="24"/>
                <w:highlight w:val="none"/>
                <w:lang w:val="en-US" w:eastAsia="zh-CN"/>
              </w:rPr>
              <w:t>根据《</w:t>
            </w:r>
            <w:r>
              <w:rPr>
                <w:rFonts w:hint="eastAsia" w:ascii="Times New Roman" w:hAnsi="Times New Roman" w:eastAsia="仿宋"/>
                <w:color w:val="auto"/>
                <w:kern w:val="0"/>
                <w:sz w:val="24"/>
                <w:highlight w:val="none"/>
                <w:lang w:val="en-US" w:eastAsia="zh-CN"/>
              </w:rPr>
              <w:t>常州市“三线一单”生态环境分区管控实施方案</w:t>
            </w:r>
            <w:r>
              <w:rPr>
                <w:rFonts w:hint="default" w:ascii="Times New Roman" w:hAnsi="Times New Roman" w:eastAsia="仿宋"/>
                <w:color w:val="auto"/>
                <w:kern w:val="0"/>
                <w:sz w:val="24"/>
                <w:highlight w:val="none"/>
                <w:lang w:val="en-US" w:eastAsia="zh-CN"/>
              </w:rPr>
              <w:t>》</w:t>
            </w:r>
            <w:r>
              <w:rPr>
                <w:rFonts w:hint="eastAsia" w:ascii="Times New Roman" w:hAnsi="Times New Roman" w:eastAsia="仿宋"/>
                <w:color w:val="auto"/>
                <w:kern w:val="0"/>
                <w:sz w:val="24"/>
                <w:highlight w:val="none"/>
                <w:lang w:val="en-US" w:eastAsia="zh-CN"/>
              </w:rPr>
              <w:t>（常环【2020】95号）</w:t>
            </w:r>
            <w:r>
              <w:rPr>
                <w:rFonts w:hint="default" w:ascii="Times New Roman" w:hAnsi="Times New Roman" w:eastAsia="仿宋"/>
                <w:color w:val="auto"/>
                <w:kern w:val="0"/>
                <w:sz w:val="24"/>
                <w:highlight w:val="none"/>
                <w:lang w:val="en-US" w:eastAsia="zh-CN"/>
              </w:rPr>
              <w:t>，本工程所在区域位于</w:t>
            </w:r>
            <w:r>
              <w:rPr>
                <w:rFonts w:hint="eastAsia" w:ascii="Times New Roman" w:hAnsi="Times New Roman" w:eastAsia="仿宋"/>
                <w:color w:val="auto"/>
                <w:kern w:val="0"/>
                <w:sz w:val="24"/>
                <w:highlight w:val="none"/>
                <w:lang w:val="en-US" w:eastAsia="zh-CN"/>
              </w:rPr>
              <w:t>常州市</w:t>
            </w:r>
            <w:r>
              <w:rPr>
                <w:rFonts w:hint="eastAsia" w:eastAsia="仿宋"/>
                <w:color w:val="auto"/>
                <w:kern w:val="0"/>
                <w:sz w:val="24"/>
                <w:highlight w:val="none"/>
                <w:lang w:val="en-US" w:eastAsia="zh-CN"/>
              </w:rPr>
              <w:t>重点管控单元</w:t>
            </w:r>
            <w:r>
              <w:rPr>
                <w:rFonts w:hint="eastAsia" w:ascii="Times New Roman" w:hAnsi="Times New Roman" w:eastAsia="仿宋"/>
                <w:color w:val="auto"/>
                <w:kern w:val="0"/>
                <w:sz w:val="24"/>
                <w:highlight w:val="none"/>
                <w:lang w:val="en-US" w:eastAsia="zh-CN"/>
              </w:rPr>
              <w:t>内</w:t>
            </w:r>
            <w:r>
              <w:rPr>
                <w:rFonts w:hint="default" w:ascii="Times New Roman" w:hAnsi="Times New Roman" w:eastAsia="仿宋"/>
                <w:color w:val="auto"/>
                <w:kern w:val="0"/>
                <w:sz w:val="24"/>
                <w:highlight w:val="none"/>
                <w:lang w:val="en-US" w:eastAsia="zh-CN"/>
              </w:rPr>
              <w:t>，</w:t>
            </w:r>
            <w:r>
              <w:rPr>
                <w:rFonts w:hint="eastAsia" w:ascii="Times New Roman" w:hAnsi="Times New Roman" w:eastAsia="仿宋"/>
                <w:color w:val="auto"/>
                <w:kern w:val="0"/>
                <w:sz w:val="24"/>
                <w:highlight w:val="none"/>
                <w:lang w:val="en-US" w:eastAsia="zh-CN"/>
              </w:rPr>
              <w:t>但根据《全国生态功能区划（2015年修编）》，本工程所在区域位于Ⅲ-01-02长三角大都市群，</w:t>
            </w:r>
            <w:r>
              <w:rPr>
                <w:rFonts w:hint="default" w:ascii="Times New Roman" w:hAnsi="Times New Roman" w:eastAsia="仿宋"/>
                <w:color w:val="auto"/>
                <w:kern w:val="0"/>
                <w:sz w:val="24"/>
                <w:highlight w:val="none"/>
                <w:lang w:val="en-US" w:eastAsia="zh-CN"/>
              </w:rPr>
              <w:t>不在全国重要生态功能区范围内</w:t>
            </w:r>
            <w:r>
              <w:rPr>
                <w:rFonts w:hint="eastAsia" w:ascii="Times New Roman" w:hAnsi="Times New Roman" w:eastAsia="仿宋"/>
                <w:color w:val="auto"/>
                <w:kern w:val="0"/>
                <w:sz w:val="24"/>
                <w:highlight w:val="none"/>
                <w:lang w:val="en-US" w:eastAsia="zh-CN"/>
              </w:rPr>
              <w:t>，详</w:t>
            </w:r>
            <w:r>
              <w:rPr>
                <w:rFonts w:hint="default" w:ascii="Times New Roman" w:hAnsi="Times New Roman" w:eastAsia="仿宋"/>
                <w:color w:val="auto"/>
                <w:kern w:val="0"/>
                <w:sz w:val="24"/>
                <w:highlight w:val="none"/>
                <w:lang w:val="en-US" w:eastAsia="zh-CN"/>
              </w:rPr>
              <w:t>见</w:t>
            </w:r>
            <w:r>
              <w:rPr>
                <w:rFonts w:hint="eastAsia" w:ascii="Times New Roman" w:hAnsi="Times New Roman" w:eastAsia="仿宋"/>
                <w:color w:val="auto"/>
                <w:kern w:val="0"/>
                <w:sz w:val="24"/>
                <w:highlight w:val="none"/>
                <w:lang w:val="en-US" w:eastAsia="zh-CN"/>
              </w:rPr>
              <w:t>附图7及图</w:t>
            </w:r>
            <w:r>
              <w:rPr>
                <w:rFonts w:hint="eastAsia" w:eastAsia="仿宋"/>
                <w:color w:val="auto"/>
                <w:kern w:val="0"/>
                <w:sz w:val="24"/>
                <w:highlight w:val="none"/>
                <w:lang w:val="en-US" w:eastAsia="zh-CN"/>
              </w:rPr>
              <w:t>3-4</w:t>
            </w:r>
            <w:r>
              <w:rPr>
                <w:rFonts w:hint="eastAsia" w:ascii="Times New Roman" w:hAnsi="Times New Roman" w:eastAsia="仿宋"/>
                <w:color w:val="auto"/>
                <w:kern w:val="0"/>
                <w:sz w:val="24"/>
                <w:highlight w:val="none"/>
                <w:lang w:val="en-US" w:eastAsia="zh-CN"/>
              </w:rPr>
              <w:t>、图</w:t>
            </w:r>
            <w:r>
              <w:rPr>
                <w:rFonts w:hint="eastAsia" w:eastAsia="仿宋"/>
                <w:color w:val="auto"/>
                <w:kern w:val="0"/>
                <w:sz w:val="24"/>
                <w:highlight w:val="none"/>
                <w:lang w:val="en-US" w:eastAsia="zh-CN"/>
              </w:rPr>
              <w:t>3-5</w:t>
            </w:r>
            <w:r>
              <w:rPr>
                <w:rFonts w:hint="default" w:ascii="Times New Roman" w:hAnsi="Times New Roman" w:eastAsia="仿宋"/>
                <w:color w:val="auto"/>
                <w:kern w:val="0"/>
                <w:sz w:val="24"/>
                <w:highlight w:val="none"/>
                <w:lang w:val="en-US" w:eastAsia="zh-CN"/>
              </w:rPr>
              <w:t>。</w:t>
            </w:r>
          </w:p>
          <w:p w14:paraId="2ED4073E">
            <w:pPr>
              <w:pStyle w:val="9"/>
              <w:spacing w:before="120"/>
              <w:ind w:left="0" w:leftChars="0" w:firstLine="0" w:firstLineChars="0"/>
              <w:jc w:val="center"/>
              <w:rPr>
                <w:rFonts w:eastAsia="华文仿宋"/>
                <w:bCs/>
                <w:color w:val="auto"/>
                <w:kern w:val="0"/>
                <w:sz w:val="28"/>
                <w:szCs w:val="28"/>
              </w:rPr>
            </w:pPr>
            <w:r>
              <w:rPr>
                <w:rFonts w:eastAsia="华文仿宋"/>
                <w:bCs/>
                <w:color w:val="auto"/>
                <w:kern w:val="0"/>
                <w:sz w:val="28"/>
                <w:szCs w:val="28"/>
              </w:rPr>
              <w:drawing>
                <wp:inline distT="0" distB="0" distL="114300" distR="114300">
                  <wp:extent cx="4641215" cy="2924175"/>
                  <wp:effectExtent l="0" t="0" r="6985" b="9525"/>
                  <wp:docPr id="23" name="图片 3" descr="G:\打工仔\环评\中吴大道西延智慧快速路\01四期报告\评审补充材料\全国生态功能区划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G:\打工仔\环评\中吴大道西延智慧快速路\01四期报告\评审补充材料\全国生态功能区划图.png"/>
                          <pic:cNvPicPr>
                            <a:picLocks noChangeAspect="1"/>
                          </pic:cNvPicPr>
                        </pic:nvPicPr>
                        <pic:blipFill>
                          <a:blip r:embed="rId46"/>
                          <a:stretch>
                            <a:fillRect/>
                          </a:stretch>
                        </pic:blipFill>
                        <pic:spPr>
                          <a:xfrm>
                            <a:off x="0" y="0"/>
                            <a:ext cx="4641215" cy="2924175"/>
                          </a:xfrm>
                          <a:prstGeom prst="rect">
                            <a:avLst/>
                          </a:prstGeom>
                          <a:noFill/>
                          <a:ln>
                            <a:noFill/>
                          </a:ln>
                        </pic:spPr>
                      </pic:pic>
                    </a:graphicData>
                  </a:graphic>
                </wp:inline>
              </w:drawing>
            </w:r>
          </w:p>
          <w:p w14:paraId="1B86BD1B">
            <w:pPr>
              <w:pStyle w:val="9"/>
              <w:keepNext w:val="0"/>
              <w:keepLines w:val="0"/>
              <w:pageBreakBefore w:val="0"/>
              <w:widowControl w:val="0"/>
              <w:kinsoku/>
              <w:wordWrap/>
              <w:overflowPunct/>
              <w:topLinePunct w:val="0"/>
              <w:autoSpaceDE/>
              <w:autoSpaceDN/>
              <w:bidi w:val="0"/>
              <w:adjustRightInd/>
              <w:snapToGrid/>
              <w:spacing w:before="120" w:line="240" w:lineRule="auto"/>
              <w:ind w:firstLine="0" w:firstLineChars="0"/>
              <w:jc w:val="center"/>
              <w:textAlignment w:val="auto"/>
              <w:rPr>
                <w:color w:val="auto"/>
              </w:rPr>
            </w:pPr>
            <w:r>
              <w:rPr>
                <w:rFonts w:hint="default" w:ascii="Times New Roman" w:hAnsi="Times New Roman" w:eastAsia="仿宋" w:cs="Times New Roman"/>
                <w:b/>
                <w:color w:val="auto"/>
                <w:kern w:val="2"/>
                <w:sz w:val="24"/>
                <w:szCs w:val="24"/>
                <w:highlight w:val="none"/>
                <w:lang w:val="en-US" w:eastAsia="zh-CN" w:bidi="ar-SA"/>
              </w:rPr>
              <w:t>图</w:t>
            </w:r>
            <w:r>
              <w:rPr>
                <w:rFonts w:hint="eastAsia" w:eastAsia="仿宋" w:cs="Times New Roman"/>
                <w:b/>
                <w:color w:val="auto"/>
                <w:kern w:val="2"/>
                <w:sz w:val="24"/>
                <w:szCs w:val="24"/>
                <w:highlight w:val="none"/>
                <w:lang w:val="en-US" w:eastAsia="zh-CN" w:bidi="ar-SA"/>
              </w:rPr>
              <w:t xml:space="preserve">3-4 </w:t>
            </w:r>
            <w:r>
              <w:rPr>
                <w:rFonts w:hint="default" w:ascii="Times New Roman" w:hAnsi="Times New Roman" w:eastAsia="仿宋" w:cs="Times New Roman"/>
                <w:b/>
                <w:color w:val="auto"/>
                <w:kern w:val="2"/>
                <w:sz w:val="24"/>
                <w:szCs w:val="24"/>
                <w:highlight w:val="none"/>
                <w:lang w:val="en-US" w:eastAsia="zh-CN" w:bidi="ar-SA"/>
              </w:rPr>
              <w:t>全国生态功能区划图</w:t>
            </w:r>
            <w:r>
              <w:rPr>
                <w:color w:val="auto"/>
              </w:rPr>
              <w:drawing>
                <wp:inline distT="0" distB="0" distL="114300" distR="114300">
                  <wp:extent cx="4766310" cy="2999740"/>
                  <wp:effectExtent l="0" t="0" r="15240" b="10160"/>
                  <wp:docPr id="22" name="图片 4" descr="G:\打工仔\环评\中吴大道西延智慧快速路\01四期报告\评审补充材料\全国重要生态功能区分布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G:\打工仔\环评\中吴大道西延智慧快速路\01四期报告\评审补充材料\全国重要生态功能区分布图.png"/>
                          <pic:cNvPicPr>
                            <a:picLocks noChangeAspect="1"/>
                          </pic:cNvPicPr>
                        </pic:nvPicPr>
                        <pic:blipFill>
                          <a:blip r:embed="rId47"/>
                          <a:stretch>
                            <a:fillRect/>
                          </a:stretch>
                        </pic:blipFill>
                        <pic:spPr>
                          <a:xfrm>
                            <a:off x="0" y="0"/>
                            <a:ext cx="4766310" cy="2999740"/>
                          </a:xfrm>
                          <a:prstGeom prst="rect">
                            <a:avLst/>
                          </a:prstGeom>
                          <a:noFill/>
                          <a:ln>
                            <a:noFill/>
                          </a:ln>
                        </pic:spPr>
                      </pic:pic>
                    </a:graphicData>
                  </a:graphic>
                </wp:inline>
              </w:drawing>
            </w:r>
          </w:p>
          <w:p w14:paraId="7F6B2649">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图3-5 全国重要生态</w:t>
            </w:r>
            <w:r>
              <w:rPr>
                <w:rFonts w:hint="default" w:ascii="Times New Roman" w:hAnsi="Times New Roman" w:eastAsia="仿宋" w:cs="Times New Roman"/>
                <w:b/>
                <w:bCs/>
                <w:color w:val="auto"/>
                <w:kern w:val="0"/>
                <w:sz w:val="24"/>
                <w:szCs w:val="22"/>
                <w:highlight w:val="none"/>
                <w:lang w:val="en-US" w:eastAsia="zh-CN" w:bidi="ar-SA"/>
              </w:rPr>
              <w:t>功能区</w:t>
            </w:r>
            <w:r>
              <w:rPr>
                <w:rFonts w:hint="eastAsia" w:ascii="Times New Roman" w:hAnsi="Times New Roman" w:eastAsia="仿宋" w:cs="Times New Roman"/>
                <w:b/>
                <w:bCs/>
                <w:color w:val="auto"/>
                <w:kern w:val="0"/>
                <w:sz w:val="24"/>
                <w:szCs w:val="22"/>
                <w:highlight w:val="none"/>
                <w:lang w:val="en-US" w:eastAsia="zh-CN" w:bidi="ar-SA"/>
              </w:rPr>
              <w:t>分布图</w:t>
            </w:r>
          </w:p>
          <w:p w14:paraId="54BFB19B">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2013年8月，江苏省政府印发了《江苏省生态红线区域保护规划》，全国首个省域生态红线保护规划正式划定。根据《江苏省生态红线区域保护规划》，常州市生态红线区域共计13个类型32</w:t>
            </w:r>
            <w:r>
              <w:rPr>
                <w:rFonts w:hint="default" w:ascii="Times New Roman" w:hAnsi="Times New Roman" w:eastAsia="仿宋"/>
                <w:color w:val="auto"/>
                <w:kern w:val="0"/>
                <w:sz w:val="24"/>
                <w:highlight w:val="none"/>
                <w:lang w:val="en-US" w:eastAsia="zh-CN"/>
              </w:rPr>
              <w:t>个，总面积905.71km2，占国土面积的20.65%，本项目距离最近的生态红线保护区域为</w:t>
            </w:r>
            <w:r>
              <w:rPr>
                <w:rFonts w:hint="eastAsia" w:ascii="Times New Roman" w:hAnsi="Times New Roman" w:eastAsia="仿宋"/>
                <w:color w:val="auto"/>
                <w:kern w:val="0"/>
                <w:sz w:val="24"/>
                <w:highlight w:val="none"/>
                <w:lang w:val="en-US" w:eastAsia="zh-CN"/>
              </w:rPr>
              <w:t>南侧紧邻的长荡湖重要湿地</w:t>
            </w:r>
            <w:r>
              <w:rPr>
                <w:rFonts w:hint="default" w:ascii="Times New Roman" w:hAnsi="Times New Roman" w:eastAsia="仿宋"/>
                <w:color w:val="auto"/>
                <w:kern w:val="0"/>
                <w:sz w:val="24"/>
                <w:highlight w:val="none"/>
                <w:lang w:val="en-US" w:eastAsia="zh-CN"/>
              </w:rPr>
              <w:t>。</w:t>
            </w:r>
          </w:p>
          <w:p w14:paraId="6907B62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根据《江苏省生态空间管控区域规划》（苏政发</w:t>
            </w:r>
            <w:r>
              <w:rPr>
                <w:rFonts w:hint="eastAsia" w:ascii="Times New Roman" w:hAnsi="Times New Roman" w:eastAsia="仿宋"/>
                <w:color w:val="auto"/>
                <w:kern w:val="0"/>
                <w:sz w:val="24"/>
                <w:highlight w:val="none"/>
                <w:lang w:val="en-US" w:eastAsia="zh-CN"/>
              </w:rPr>
              <w:t>〔</w:t>
            </w:r>
            <w:r>
              <w:rPr>
                <w:rFonts w:hint="default" w:ascii="Times New Roman" w:hAnsi="Times New Roman" w:eastAsia="仿宋"/>
                <w:color w:val="auto"/>
                <w:kern w:val="0"/>
                <w:sz w:val="24"/>
                <w:highlight w:val="none"/>
                <w:lang w:val="en-US" w:eastAsia="zh-CN"/>
              </w:rPr>
              <w:t>2020</w:t>
            </w:r>
            <w:r>
              <w:rPr>
                <w:rFonts w:hint="eastAsia" w:ascii="Times New Roman" w:hAnsi="Times New Roman" w:eastAsia="仿宋"/>
                <w:color w:val="auto"/>
                <w:kern w:val="0"/>
                <w:sz w:val="24"/>
                <w:highlight w:val="none"/>
                <w:lang w:val="en-US" w:eastAsia="zh-CN"/>
              </w:rPr>
              <w:t>〕</w:t>
            </w:r>
            <w:r>
              <w:rPr>
                <w:rFonts w:hint="default" w:ascii="Times New Roman" w:hAnsi="Times New Roman" w:eastAsia="仿宋"/>
                <w:color w:val="auto"/>
                <w:kern w:val="0"/>
                <w:sz w:val="24"/>
                <w:highlight w:val="none"/>
                <w:lang w:val="en-US" w:eastAsia="zh-CN"/>
              </w:rPr>
              <w:t>1号）及江苏省2023年度生态环境分区管控动态更新成果，本项目穿越《江苏省生态空间管控区域规划》里的生态空间管控区域为</w:t>
            </w:r>
            <w:r>
              <w:rPr>
                <w:rFonts w:hint="eastAsia" w:ascii="Times New Roman" w:hAnsi="Times New Roman" w:eastAsia="仿宋"/>
                <w:color w:val="auto"/>
                <w:kern w:val="0"/>
                <w:sz w:val="24"/>
                <w:highlight w:val="none"/>
                <w:lang w:val="en-US" w:eastAsia="zh-CN"/>
              </w:rPr>
              <w:t>长荡湖重要渔业水域</w:t>
            </w:r>
            <w:r>
              <w:rPr>
                <w:rFonts w:hint="default" w:ascii="Times New Roman" w:hAnsi="Times New Roman" w:eastAsia="仿宋"/>
                <w:color w:val="auto"/>
                <w:kern w:val="0"/>
                <w:sz w:val="24"/>
                <w:highlight w:val="none"/>
                <w:lang w:val="en-US" w:eastAsia="zh-CN"/>
              </w:rPr>
              <w:t>，线路范围内不涉及《江苏省国家级生态保护红线规划》的红线区域。本项目占用</w:t>
            </w:r>
            <w:r>
              <w:rPr>
                <w:rFonts w:hint="eastAsia" w:ascii="Times New Roman" w:hAnsi="Times New Roman" w:eastAsia="仿宋"/>
                <w:color w:val="auto"/>
                <w:kern w:val="0"/>
                <w:sz w:val="24"/>
                <w:highlight w:val="none"/>
                <w:lang w:val="en-US" w:eastAsia="zh-CN"/>
              </w:rPr>
              <w:t>长荡湖重要渔业水域</w:t>
            </w:r>
            <w:r>
              <w:rPr>
                <w:rFonts w:hint="default" w:ascii="Times New Roman" w:hAnsi="Times New Roman" w:eastAsia="仿宋"/>
                <w:color w:val="auto"/>
                <w:kern w:val="0"/>
                <w:sz w:val="24"/>
                <w:highlight w:val="none"/>
                <w:lang w:val="en-US" w:eastAsia="zh-CN"/>
              </w:rPr>
              <w:t>，</w:t>
            </w:r>
            <w:r>
              <w:rPr>
                <w:rFonts w:hint="eastAsia" w:ascii="Times New Roman" w:hAnsi="Times New Roman" w:eastAsia="仿宋"/>
                <w:color w:val="auto"/>
                <w:kern w:val="0"/>
                <w:sz w:val="24"/>
                <w:highlight w:val="none"/>
                <w:lang w:val="en-US" w:eastAsia="zh-CN"/>
              </w:rPr>
              <w:t>长荡湖重要渔业水域</w:t>
            </w:r>
            <w:r>
              <w:rPr>
                <w:rFonts w:hint="default" w:ascii="Times New Roman" w:hAnsi="Times New Roman" w:eastAsia="仿宋"/>
                <w:color w:val="auto"/>
                <w:kern w:val="0"/>
                <w:sz w:val="24"/>
                <w:highlight w:val="none"/>
                <w:lang w:val="en-US" w:eastAsia="zh-CN"/>
              </w:rPr>
              <w:t>为</w:t>
            </w:r>
            <w:r>
              <w:rPr>
                <w:rFonts w:hint="eastAsia" w:eastAsia="仿宋"/>
                <w:color w:val="auto"/>
                <w:kern w:val="0"/>
                <w:sz w:val="24"/>
                <w:highlight w:val="none"/>
                <w:lang w:val="en-US" w:eastAsia="zh-CN"/>
              </w:rPr>
              <w:t>金坛</w:t>
            </w:r>
            <w:r>
              <w:rPr>
                <w:rFonts w:hint="default" w:ascii="Times New Roman" w:hAnsi="Times New Roman" w:eastAsia="仿宋"/>
                <w:color w:val="auto"/>
                <w:kern w:val="0"/>
                <w:sz w:val="24"/>
                <w:highlight w:val="none"/>
                <w:lang w:val="en-US" w:eastAsia="zh-CN"/>
              </w:rPr>
              <w:t>区生态空间保护区域之一，其生态空间管控区域范围为东接儒林镇，西依指前镇，南濒溧阳市，北临金城镇和尧塘街道，占地面积约</w:t>
            </w:r>
            <w:r>
              <w:rPr>
                <w:rFonts w:hint="eastAsia" w:ascii="Times New Roman" w:hAnsi="Times New Roman" w:eastAsia="仿宋"/>
                <w:color w:val="auto"/>
                <w:kern w:val="0"/>
                <w:sz w:val="24"/>
                <w:highlight w:val="none"/>
                <w:lang w:val="en-US" w:eastAsia="zh-CN"/>
              </w:rPr>
              <w:t>87.24</w:t>
            </w:r>
            <w:r>
              <w:rPr>
                <w:rFonts w:hint="default" w:ascii="Times New Roman" w:hAnsi="Times New Roman" w:eastAsia="仿宋"/>
                <w:color w:val="auto"/>
                <w:kern w:val="0"/>
                <w:sz w:val="24"/>
                <w:highlight w:val="none"/>
                <w:lang w:val="en-US" w:eastAsia="zh-CN"/>
              </w:rPr>
              <w:t>平方公里，主要功能为渔业资源保护，详见下图。</w:t>
            </w:r>
          </w:p>
          <w:p w14:paraId="06EE8DAE">
            <w:pPr>
              <w:keepNext w:val="0"/>
              <w:keepLines w:val="0"/>
              <w:pageBreakBefore w:val="0"/>
              <w:widowControl w:val="0"/>
              <w:kinsoku/>
              <w:wordWrap w:val="0"/>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本项目涉及环境保护区域</w:t>
            </w:r>
            <w:r>
              <w:rPr>
                <w:rFonts w:hint="eastAsia" w:ascii="Times New Roman" w:hAnsi="Times New Roman" w:eastAsia="仿宋"/>
                <w:color w:val="auto"/>
                <w:kern w:val="0"/>
                <w:sz w:val="24"/>
                <w:highlight w:val="none"/>
                <w:lang w:val="en-US" w:eastAsia="zh-CN"/>
              </w:rPr>
              <w:t>长荡湖重要渔业水域</w:t>
            </w:r>
            <w:r>
              <w:rPr>
                <w:rFonts w:hint="default" w:ascii="Times New Roman" w:hAnsi="Times New Roman" w:eastAsia="仿宋"/>
                <w:color w:val="auto"/>
                <w:kern w:val="0"/>
                <w:sz w:val="24"/>
                <w:highlight w:val="none"/>
                <w:lang w:val="en-US" w:eastAsia="zh-CN"/>
              </w:rPr>
              <w:t>的主要工程为</w:t>
            </w:r>
            <w:r>
              <w:rPr>
                <w:rFonts w:hint="eastAsia" w:ascii="Times New Roman" w:hAnsi="Times New Roman" w:eastAsia="仿宋"/>
                <w:color w:val="auto"/>
                <w:kern w:val="0"/>
                <w:sz w:val="24"/>
                <w:highlight w:val="none"/>
                <w:lang w:val="en-US" w:eastAsia="zh-CN"/>
              </w:rPr>
              <w:t>1~29号桥墩及0号桥台和30号桥台</w:t>
            </w:r>
            <w:r>
              <w:rPr>
                <w:rFonts w:hint="default" w:ascii="Times New Roman" w:hAnsi="Times New Roman" w:eastAsia="仿宋"/>
                <w:color w:val="auto"/>
                <w:kern w:val="0"/>
                <w:sz w:val="24"/>
                <w:highlight w:val="none"/>
                <w:lang w:val="en-US" w:eastAsia="zh-CN"/>
              </w:rPr>
              <w:t>，目前已采取</w:t>
            </w:r>
            <w:r>
              <w:rPr>
                <w:rFonts w:hint="eastAsia" w:ascii="Times New Roman" w:hAnsi="Times New Roman" w:eastAsia="仿宋"/>
                <w:color w:val="auto"/>
                <w:kern w:val="0"/>
                <w:sz w:val="24"/>
                <w:highlight w:val="none"/>
                <w:lang w:val="en-US" w:eastAsia="zh-CN"/>
              </w:rPr>
              <w:t>兼顾生态红线、结构安全条件下，</w:t>
            </w:r>
            <w:r>
              <w:rPr>
                <w:rFonts w:hint="default" w:ascii="Times New Roman" w:hAnsi="Times New Roman" w:eastAsia="仿宋"/>
                <w:color w:val="auto"/>
                <w:kern w:val="0"/>
                <w:sz w:val="24"/>
                <w:highlight w:val="none"/>
                <w:lang w:val="en-US" w:eastAsia="zh-CN"/>
              </w:rPr>
              <w:t>占地最少的跨越方式，桥梁宽度为</w:t>
            </w:r>
            <w:r>
              <w:rPr>
                <w:rFonts w:hint="eastAsia" w:ascii="Times New Roman" w:hAnsi="Times New Roman" w:eastAsia="仿宋"/>
                <w:color w:val="auto"/>
                <w:kern w:val="0"/>
                <w:sz w:val="24"/>
                <w:highlight w:val="none"/>
                <w:lang w:val="en-US" w:eastAsia="zh-CN"/>
              </w:rPr>
              <w:t>5~15</w:t>
            </w:r>
            <w:r>
              <w:rPr>
                <w:rFonts w:hint="default" w:ascii="Times New Roman" w:hAnsi="Times New Roman" w:eastAsia="仿宋"/>
                <w:color w:val="auto"/>
                <w:kern w:val="0"/>
                <w:sz w:val="24"/>
                <w:highlight w:val="none"/>
                <w:lang w:val="en-US" w:eastAsia="zh-CN"/>
              </w:rPr>
              <w:t>m，桥梁全长为</w:t>
            </w:r>
            <w:r>
              <w:rPr>
                <w:rFonts w:hint="eastAsia" w:ascii="Times New Roman" w:hAnsi="Times New Roman" w:eastAsia="仿宋"/>
                <w:color w:val="auto"/>
                <w:kern w:val="0"/>
                <w:sz w:val="24"/>
                <w:highlight w:val="none"/>
                <w:lang w:val="en-US" w:eastAsia="zh-CN"/>
              </w:rPr>
              <w:t>606</w:t>
            </w:r>
            <w:r>
              <w:rPr>
                <w:rFonts w:hint="default" w:ascii="Times New Roman" w:hAnsi="Times New Roman" w:eastAsia="仿宋"/>
                <w:color w:val="auto"/>
                <w:kern w:val="0"/>
                <w:sz w:val="24"/>
                <w:highlight w:val="none"/>
                <w:lang w:val="en-US" w:eastAsia="zh-CN"/>
              </w:rPr>
              <w:t>m。</w:t>
            </w:r>
          </w:p>
          <w:p w14:paraId="0336DE21">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lang w:eastAsia="zh-CN"/>
              </w:rPr>
            </w:pPr>
            <w:r>
              <w:rPr>
                <w:sz w:val="24"/>
              </w:rPr>
              <mc:AlternateContent>
                <mc:Choice Requires="wps">
                  <w:drawing>
                    <wp:anchor distT="0" distB="0" distL="114300" distR="114300" simplePos="0" relativeHeight="251679744" behindDoc="0" locked="0" layoutInCell="1" allowOverlap="1">
                      <wp:simplePos x="0" y="0"/>
                      <wp:positionH relativeFrom="column">
                        <wp:posOffset>2752725</wp:posOffset>
                      </wp:positionH>
                      <wp:positionV relativeFrom="paragraph">
                        <wp:posOffset>808355</wp:posOffset>
                      </wp:positionV>
                      <wp:extent cx="1758950" cy="426720"/>
                      <wp:effectExtent l="0" t="0" r="0" b="0"/>
                      <wp:wrapNone/>
                      <wp:docPr id="29" name="文本框 29"/>
                      <wp:cNvGraphicFramePr/>
                      <a:graphic xmlns:a="http://schemas.openxmlformats.org/drawingml/2006/main">
                        <a:graphicData uri="http://schemas.microsoft.com/office/word/2010/wordprocessingShape">
                          <wps:wsp>
                            <wps:cNvSpPr txBox="1"/>
                            <wps:spPr>
                              <a:xfrm>
                                <a:off x="4988560" y="2026285"/>
                                <a:ext cx="1758950" cy="4267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49A847">
                                  <w:pPr>
                                    <w:rPr>
                                      <w:rFonts w:hint="default" w:eastAsiaTheme="minorEastAsia"/>
                                      <w:color w:val="FF0000"/>
                                      <w:lang w:val="en-US" w:eastAsia="zh-CN"/>
                                    </w:rPr>
                                  </w:pPr>
                                  <w:r>
                                    <w:rPr>
                                      <w:rFonts w:hint="eastAsia"/>
                                      <w:color w:val="FF0000"/>
                                      <w:lang w:val="en-US" w:eastAsia="zh-CN"/>
                                    </w:rPr>
                                    <w:t>项目涉水建设位置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75pt;margin-top:63.65pt;height:33.6pt;width:138.5pt;z-index:251679744;mso-width-relative:page;mso-height-relative:page;" filled="f" stroked="f" coordsize="21600,21600" o:gfxdata="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qmz+/bAAAACwEAAA8AAAAAAAAA&#10;AQAgAAAAIgAAAGRycy9kb3ducmV2LnhtbFBLAQIUABQAAAAIAIdO4kAQVEVLRwIAAHQEAAAOAAAA&#10;AAAAAAEAIAAAACoBAABkcnMvZTJvRG9jLnhtbFBLBQYAAAAABgAGAFkBAADjBQAAAAA=&#10;">
                      <v:fill on="f" focussize="0,0"/>
                      <v:stroke on="f" weight="0.5pt"/>
                      <v:imagedata o:title=""/>
                      <o:lock v:ext="edit" aspectratio="f"/>
                      <v:textbox>
                        <w:txbxContent>
                          <w:p w14:paraId="4149A847">
                            <w:pPr>
                              <w:rPr>
                                <w:rFonts w:hint="default" w:eastAsiaTheme="minorEastAsia"/>
                                <w:color w:val="FF0000"/>
                                <w:lang w:val="en-US" w:eastAsia="zh-CN"/>
                              </w:rPr>
                            </w:pPr>
                            <w:r>
                              <w:rPr>
                                <w:rFonts w:hint="eastAsia"/>
                                <w:color w:val="FF0000"/>
                                <w:lang w:val="en-US" w:eastAsia="zh-CN"/>
                              </w:rPr>
                              <w:t>项目涉水建设位置</w:t>
                            </w: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3778250</wp:posOffset>
                      </wp:positionH>
                      <wp:positionV relativeFrom="paragraph">
                        <wp:posOffset>449580</wp:posOffset>
                      </wp:positionV>
                      <wp:extent cx="47625" cy="368935"/>
                      <wp:effectExtent l="13970" t="0" r="52705" b="12065"/>
                      <wp:wrapNone/>
                      <wp:docPr id="26" name="直接箭头连接符 26"/>
                      <wp:cNvGraphicFramePr/>
                      <a:graphic xmlns:a="http://schemas.openxmlformats.org/drawingml/2006/main">
                        <a:graphicData uri="http://schemas.microsoft.com/office/word/2010/wordprocessingShape">
                          <wps:wsp>
                            <wps:cNvCnPr/>
                            <wps:spPr>
                              <a:xfrm flipV="1">
                                <a:off x="5083810" y="1454785"/>
                                <a:ext cx="47625" cy="36893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7.5pt;margin-top:35.4pt;height:29.05pt;width:3.75pt;z-index:251678720;mso-width-relative:page;mso-height-relative:page;" filled="f" stroked="t" coordsize="21600,21600" o:gfxdata="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Uli/K1wAA&#10;AAoBAAAPAAAAAAAAAAEAIAAAACIAAABkcnMvZG93bnJldi54bWxQSwECFAAUAAAACACHTuJArbLL&#10;Qx8CAAD6AwAADgAAAAAAAAABACAAAAAmAQAAZHJzL2Uyb0RvYy54bWxQSwUGAAAAAAYABgBZAQAA&#10;twU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3822065</wp:posOffset>
                      </wp:positionH>
                      <wp:positionV relativeFrom="paragraph">
                        <wp:posOffset>271780</wp:posOffset>
                      </wp:positionV>
                      <wp:extent cx="178435" cy="83185"/>
                      <wp:effectExtent l="2540" t="5715" r="9525" b="6350"/>
                      <wp:wrapNone/>
                      <wp:docPr id="25" name="直接连接符 25"/>
                      <wp:cNvGraphicFramePr/>
                      <a:graphic xmlns:a="http://schemas.openxmlformats.org/drawingml/2006/main">
                        <a:graphicData uri="http://schemas.microsoft.com/office/word/2010/wordprocessingShape">
                          <wps:wsp>
                            <wps:cNvCnPr/>
                            <wps:spPr>
                              <a:xfrm flipV="1">
                                <a:off x="5120005" y="1193165"/>
                                <a:ext cx="178435" cy="8318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00.95pt;margin-top:21.4pt;height:6.55pt;width:14.05pt;z-index:251677696;mso-width-relative:page;mso-height-relative:page;" filled="f" stroked="t" coordsize="21600,21600" o:gfxdata="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LN+XW2QAAAAkBAAAPAAAAAAAAAAEAIAAAACIAAABkcnMvZG93&#10;bnJldi54bWxQSwECFAAUAAAACACHTuJA+JRFXf8BAADNAwAADgAAAAAAAAABACAAAAAoAQAAZHJz&#10;L2Uyb0RvYy54bWxQSwUGAAAAAAYABgBZAQAAmQUAAAAA&#10;">
                      <v:fill on="f" focussize="0,0"/>
                      <v:stroke weight="1pt" color="#FF0000 [3204]" miterlimit="8" joinstyle="miter"/>
                      <v:imagedata o:title=""/>
                      <o:lock v:ext="edit" aspectratio="f"/>
                    </v:line>
                  </w:pict>
                </mc:Fallback>
              </mc:AlternateContent>
            </w:r>
            <w:r>
              <w:rPr>
                <w:rFonts w:hint="eastAsia" w:ascii="Times New Roman" w:hAnsi="Times New Roman" w:eastAsia="宋体" w:cs="Times New Roman"/>
                <w:color w:val="auto"/>
                <w:lang w:eastAsia="zh-CN"/>
              </w:rPr>
              <w:drawing>
                <wp:inline distT="0" distB="0" distL="114300" distR="114300">
                  <wp:extent cx="5273040" cy="4499610"/>
                  <wp:effectExtent l="0" t="0" r="3810" b="15240"/>
                  <wp:docPr id="24" name="图片 5" descr="长荡湖重要渔业水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长荡湖重要渔业水域"/>
                          <pic:cNvPicPr>
                            <a:picLocks noChangeAspect="1"/>
                          </pic:cNvPicPr>
                        </pic:nvPicPr>
                        <pic:blipFill>
                          <a:blip r:embed="rId48"/>
                          <a:stretch>
                            <a:fillRect/>
                          </a:stretch>
                        </pic:blipFill>
                        <pic:spPr>
                          <a:xfrm>
                            <a:off x="0" y="0"/>
                            <a:ext cx="5273040" cy="4499610"/>
                          </a:xfrm>
                          <a:prstGeom prst="rect">
                            <a:avLst/>
                          </a:prstGeom>
                          <a:noFill/>
                          <a:ln>
                            <a:noFill/>
                          </a:ln>
                        </pic:spPr>
                      </pic:pic>
                    </a:graphicData>
                  </a:graphic>
                </wp:inline>
              </w:drawing>
            </w:r>
          </w:p>
          <w:p w14:paraId="5EAAAB95">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imes New Roman"/>
                <w:b/>
                <w:bCs/>
                <w:color w:val="auto"/>
                <w:kern w:val="0"/>
                <w:sz w:val="24"/>
                <w:szCs w:val="22"/>
                <w:highlight w:val="none"/>
                <w:lang w:val="en-US" w:eastAsia="zh-CN" w:bidi="ar-SA"/>
              </w:rPr>
            </w:pPr>
            <w:r>
              <w:rPr>
                <w:rFonts w:hint="default" w:ascii="Times New Roman" w:hAnsi="Times New Roman" w:eastAsia="仿宋" w:cs="Times New Roman"/>
                <w:b/>
                <w:bCs/>
                <w:color w:val="auto"/>
                <w:kern w:val="0"/>
                <w:sz w:val="24"/>
                <w:szCs w:val="22"/>
                <w:highlight w:val="none"/>
                <w:lang w:val="en-US" w:eastAsia="zh-CN" w:bidi="ar-SA"/>
              </w:rPr>
              <w:t>图</w:t>
            </w:r>
            <w:r>
              <w:rPr>
                <w:rFonts w:hint="eastAsia" w:ascii="Times New Roman" w:hAnsi="Times New Roman" w:eastAsia="仿宋" w:cs="Times New Roman"/>
                <w:b/>
                <w:bCs/>
                <w:color w:val="auto"/>
                <w:kern w:val="0"/>
                <w:sz w:val="24"/>
                <w:szCs w:val="22"/>
                <w:highlight w:val="none"/>
                <w:lang w:val="en-US" w:eastAsia="zh-CN" w:bidi="ar-SA"/>
              </w:rPr>
              <w:t>3-6</w:t>
            </w:r>
            <w:r>
              <w:rPr>
                <w:rFonts w:hint="default" w:ascii="Times New Roman" w:hAnsi="Times New Roman" w:eastAsia="仿宋" w:cs="Times New Roman"/>
                <w:b/>
                <w:bCs/>
                <w:color w:val="auto"/>
                <w:kern w:val="0"/>
                <w:sz w:val="24"/>
                <w:szCs w:val="22"/>
                <w:highlight w:val="none"/>
                <w:lang w:val="en-US" w:eastAsia="zh-CN" w:bidi="ar-SA"/>
              </w:rPr>
              <w:t xml:space="preserve"> 长荡湖重要渔业水域</w:t>
            </w:r>
            <w:r>
              <w:rPr>
                <w:rFonts w:hint="eastAsia" w:ascii="Times New Roman" w:hAnsi="Times New Roman" w:eastAsia="仿宋" w:cs="Times New Roman"/>
                <w:b/>
                <w:bCs/>
                <w:color w:val="auto"/>
                <w:kern w:val="0"/>
                <w:sz w:val="24"/>
                <w:szCs w:val="22"/>
                <w:highlight w:val="none"/>
                <w:lang w:val="en-US" w:eastAsia="zh-CN" w:bidi="ar-SA"/>
              </w:rPr>
              <w:t>管控区</w:t>
            </w:r>
            <w:r>
              <w:rPr>
                <w:rFonts w:hint="default" w:ascii="Times New Roman" w:hAnsi="Times New Roman" w:eastAsia="仿宋" w:cs="Times New Roman"/>
                <w:b/>
                <w:bCs/>
                <w:color w:val="auto"/>
                <w:kern w:val="0"/>
                <w:sz w:val="24"/>
                <w:szCs w:val="22"/>
                <w:highlight w:val="none"/>
                <w:lang w:val="en-US" w:eastAsia="zh-CN" w:bidi="ar-SA"/>
              </w:rPr>
              <w:t>范围</w:t>
            </w:r>
          </w:p>
          <w:p w14:paraId="075E48E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4、生物多样性概况</w:t>
            </w:r>
          </w:p>
          <w:p w14:paraId="2AD4108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常州市生物多样性较为丰富，有自然针叶林5种、自然阔叶林14种、竹林9种，裸子、被子植物1000余种（分属100多科），阔叶乔木树种152种（占全省同类树种的80%），木本树种260多种，植物类药材物种912种。主要水生植被群落近10种，高等水生维管束植物40余种。主要人工林、经济林20多种，农作物品种包括旱生、湿生近200个，城市绿地系统绿化树种200多种。鸟类百种以上，鱼类（不包括长江和太湖）60余种，兽类20多种，两爬类20～30种，常见环节、软体、节肢动物门的物种在200种以上，人工养殖的畜、禽、鱼等经济动物品种近百个。宜溧—茅山低山丘陵、洮滆湖湿地分别是常州市陆生及水生生态系统主要植被及物种分布的中心。</w:t>
            </w:r>
          </w:p>
          <w:p w14:paraId="4104CEC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5、生态资源调查现状</w:t>
            </w:r>
          </w:p>
          <w:p w14:paraId="1306AC2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（1）植被及植物多样性调查</w:t>
            </w:r>
          </w:p>
          <w:p w14:paraId="2C8F7DE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本项目所在地属北亚热带南部季风气候，气候温和湿润，四季分明，光照充足，雨量充沛，光照充足，水热条件优越。</w:t>
            </w:r>
          </w:p>
          <w:p w14:paraId="264E57F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陆生维管植物分为草本，灌木，乔木，藤本四种生活型。项目所在地属于亚热带季风气候，年平均降水量充沛，农业气候条件优越，所以草本植物在金坛区占据绝对优势，而且在农村地区路边、田间草本植物分布更多。</w:t>
            </w:r>
          </w:p>
          <w:p w14:paraId="5F8E5E6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olor w:val="auto"/>
                <w:kern w:val="0"/>
                <w:sz w:val="24"/>
                <w:highlight w:val="none"/>
                <w:lang w:val="en-US" w:eastAsia="zh-CN"/>
              </w:rPr>
              <w:t>经过整理与分析野外调查数据，统计得到评价区域陆生维管束植物合计611种（历史资料显示783种），属128科388属。植物科内种组成中，小科占比重最大，小于6种的科96科，占总数的75%，其中仅包含一个种的科49科，占38.28%；大于10种的科12科，占9.38%。据统计，含种数最多的10个科依次为：菊科61种，禾本科42种，蔷薇科38种，豆科33种，唇形科15种，壳斗科13种，百合科12种，茜草科12种，蓼科11种，伞形科11种。</w:t>
            </w:r>
          </w:p>
          <w:p w14:paraId="1DC10B8A">
            <w:pPr>
              <w:keepNext w:val="0"/>
              <w:keepLines w:val="0"/>
              <w:pageBreakBefore w:val="0"/>
              <w:kinsoku/>
              <w:wordWrap/>
              <w:overflowPunct/>
              <w:topLinePunct w:val="0"/>
              <w:autoSpaceDE/>
              <w:autoSpaceDN/>
              <w:bidi w:val="0"/>
              <w:adjustRightInd/>
              <w:snapToGrid/>
              <w:spacing w:before="120" w:after="120" w:line="240" w:lineRule="auto"/>
              <w:ind w:left="0" w:leftChars="0" w:firstLine="0" w:firstLineChars="0"/>
              <w:jc w:val="center"/>
              <w:textAlignment w:val="auto"/>
              <w:rPr>
                <w:rFonts w:hint="default" w:ascii="Times New Roman" w:hAnsi="Times New Roman" w:eastAsia="宋体" w:cs="Times New Roman"/>
                <w:b/>
                <w:bCs/>
                <w:snapToGrid w:val="0"/>
                <w:color w:val="auto"/>
                <w:sz w:val="24"/>
                <w:szCs w:val="24"/>
                <w:lang w:val="en-US" w:eastAsia="zh-CN" w:bidi="ar-SA"/>
              </w:rPr>
            </w:pPr>
            <w:r>
              <w:rPr>
                <w:rFonts w:hint="eastAsia" w:ascii="Times New Roman" w:hAnsi="Times New Roman" w:eastAsia="宋体" w:cs="Times New Roman"/>
                <w:b/>
                <w:bCs/>
                <w:snapToGrid w:val="0"/>
                <w:color w:val="auto"/>
                <w:sz w:val="24"/>
                <w:szCs w:val="24"/>
                <w:lang w:val="en-US" w:eastAsia="zh-CN" w:bidi="ar-SA"/>
              </w:rPr>
              <w:t>表</w:t>
            </w:r>
            <w:r>
              <w:rPr>
                <w:rFonts w:hint="eastAsia" w:eastAsia="宋体" w:cs="Times New Roman"/>
                <w:b/>
                <w:bCs/>
                <w:snapToGrid w:val="0"/>
                <w:color w:val="auto"/>
                <w:sz w:val="24"/>
                <w:szCs w:val="24"/>
                <w:lang w:val="en-US" w:eastAsia="zh-CN" w:bidi="ar-SA"/>
              </w:rPr>
              <w:t>3-11</w:t>
            </w:r>
            <w:r>
              <w:rPr>
                <w:rFonts w:hint="eastAsia" w:ascii="Times New Roman" w:hAnsi="Times New Roman" w:eastAsia="宋体" w:cs="Times New Roman"/>
                <w:b/>
                <w:bCs/>
                <w:snapToGrid w:val="0"/>
                <w:color w:val="auto"/>
                <w:sz w:val="24"/>
                <w:szCs w:val="24"/>
                <w:lang w:val="en-US" w:eastAsia="zh-CN" w:bidi="ar-SA"/>
              </w:rPr>
              <w:t xml:space="preserve"> </w:t>
            </w:r>
            <w:r>
              <w:rPr>
                <w:rFonts w:hint="default" w:ascii="Times New Roman" w:hAnsi="Times New Roman" w:eastAsia="宋体" w:cs="Times New Roman"/>
                <w:b/>
                <w:bCs/>
                <w:snapToGrid w:val="0"/>
                <w:color w:val="auto"/>
                <w:sz w:val="24"/>
                <w:szCs w:val="24"/>
                <w:lang w:val="en-US" w:eastAsia="zh-CN" w:bidi="ar-SA"/>
              </w:rPr>
              <w:t>植物科内</w:t>
            </w:r>
            <w:r>
              <w:rPr>
                <w:rFonts w:hint="eastAsia" w:ascii="Times New Roman" w:hAnsi="Times New Roman" w:eastAsia="宋体" w:cs="Times New Roman"/>
                <w:b/>
                <w:bCs/>
                <w:snapToGrid w:val="0"/>
                <w:color w:val="auto"/>
                <w:sz w:val="24"/>
                <w:szCs w:val="24"/>
                <w:lang w:val="en-US" w:eastAsia="zh-CN" w:bidi="ar-SA"/>
              </w:rPr>
              <w:t>种</w:t>
            </w:r>
            <w:r>
              <w:rPr>
                <w:rFonts w:hint="default" w:ascii="Times New Roman" w:hAnsi="Times New Roman" w:eastAsia="宋体" w:cs="Times New Roman"/>
                <w:b/>
                <w:bCs/>
                <w:snapToGrid w:val="0"/>
                <w:color w:val="auto"/>
                <w:sz w:val="24"/>
                <w:szCs w:val="24"/>
                <w:lang w:val="en-US" w:eastAsia="zh-CN" w:bidi="ar-SA"/>
              </w:rPr>
              <w:t>的组成</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1515"/>
              <w:gridCol w:w="1518"/>
              <w:gridCol w:w="1518"/>
              <w:gridCol w:w="1518"/>
              <w:gridCol w:w="1518"/>
            </w:tblGrid>
            <w:tr w14:paraId="2F49B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noWrap w:val="0"/>
                  <w:vAlign w:val="top"/>
                </w:tcPr>
                <w:p w14:paraId="71CA9940">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科内种数</w:t>
                  </w:r>
                </w:p>
              </w:tc>
              <w:tc>
                <w:tcPr>
                  <w:tcW w:w="832" w:type="pct"/>
                  <w:noWrap w:val="0"/>
                  <w:vAlign w:val="top"/>
                </w:tcPr>
                <w:p w14:paraId="6EBC70DF">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1</w:t>
                  </w:r>
                </w:p>
              </w:tc>
              <w:tc>
                <w:tcPr>
                  <w:tcW w:w="833" w:type="pct"/>
                  <w:noWrap w:val="0"/>
                  <w:vAlign w:val="top"/>
                </w:tcPr>
                <w:p w14:paraId="18EB4FD4">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2~5</w:t>
                  </w:r>
                </w:p>
              </w:tc>
              <w:tc>
                <w:tcPr>
                  <w:tcW w:w="833" w:type="pct"/>
                  <w:noWrap w:val="0"/>
                  <w:vAlign w:val="top"/>
                </w:tcPr>
                <w:p w14:paraId="25BF9AD1">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6~10</w:t>
                  </w:r>
                </w:p>
              </w:tc>
              <w:tc>
                <w:tcPr>
                  <w:tcW w:w="833" w:type="pct"/>
                  <w:noWrap w:val="0"/>
                  <w:vAlign w:val="top"/>
                </w:tcPr>
                <w:p w14:paraId="13C210B4">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＞10</w:t>
                  </w:r>
                </w:p>
              </w:tc>
              <w:tc>
                <w:tcPr>
                  <w:tcW w:w="833" w:type="pct"/>
                  <w:noWrap w:val="0"/>
                  <w:vAlign w:val="top"/>
                </w:tcPr>
                <w:p w14:paraId="1A041521">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合计</w:t>
                  </w:r>
                </w:p>
              </w:tc>
            </w:tr>
            <w:tr w14:paraId="5BD69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noWrap w:val="0"/>
                  <w:vAlign w:val="top"/>
                </w:tcPr>
                <w:p w14:paraId="7711CB9F">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科数</w:t>
                  </w:r>
                </w:p>
              </w:tc>
              <w:tc>
                <w:tcPr>
                  <w:tcW w:w="832" w:type="pct"/>
                  <w:noWrap w:val="0"/>
                  <w:vAlign w:val="top"/>
                </w:tcPr>
                <w:p w14:paraId="0803AF11">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49</w:t>
                  </w:r>
                </w:p>
              </w:tc>
              <w:tc>
                <w:tcPr>
                  <w:tcW w:w="833" w:type="pct"/>
                  <w:noWrap w:val="0"/>
                  <w:vAlign w:val="top"/>
                </w:tcPr>
                <w:p w14:paraId="46B8EF49">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47</w:t>
                  </w:r>
                </w:p>
              </w:tc>
              <w:tc>
                <w:tcPr>
                  <w:tcW w:w="833" w:type="pct"/>
                  <w:noWrap w:val="0"/>
                  <w:vAlign w:val="top"/>
                </w:tcPr>
                <w:p w14:paraId="21B6C598">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20</w:t>
                  </w:r>
                </w:p>
              </w:tc>
              <w:tc>
                <w:tcPr>
                  <w:tcW w:w="833" w:type="pct"/>
                  <w:noWrap w:val="0"/>
                  <w:vAlign w:val="top"/>
                </w:tcPr>
                <w:p w14:paraId="3CB198A4">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w:t>
                  </w:r>
                </w:p>
              </w:tc>
              <w:tc>
                <w:tcPr>
                  <w:tcW w:w="833" w:type="pct"/>
                  <w:noWrap w:val="0"/>
                  <w:vAlign w:val="top"/>
                </w:tcPr>
                <w:p w14:paraId="7871F8A3">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128</w:t>
                  </w:r>
                </w:p>
              </w:tc>
            </w:tr>
            <w:tr w14:paraId="5449E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noWrap w:val="0"/>
                  <w:vAlign w:val="top"/>
                </w:tcPr>
                <w:p w14:paraId="6E4DC327">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占比/%</w:t>
                  </w:r>
                </w:p>
              </w:tc>
              <w:tc>
                <w:tcPr>
                  <w:tcW w:w="832" w:type="pct"/>
                  <w:noWrap w:val="0"/>
                  <w:vAlign w:val="top"/>
                </w:tcPr>
                <w:p w14:paraId="35305DCC">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38.28</w:t>
                  </w:r>
                </w:p>
              </w:tc>
              <w:tc>
                <w:tcPr>
                  <w:tcW w:w="833" w:type="pct"/>
                  <w:noWrap w:val="0"/>
                  <w:vAlign w:val="top"/>
                </w:tcPr>
                <w:p w14:paraId="4C5DF728">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36.72</w:t>
                  </w:r>
                </w:p>
              </w:tc>
              <w:tc>
                <w:tcPr>
                  <w:tcW w:w="833" w:type="pct"/>
                  <w:noWrap w:val="0"/>
                  <w:vAlign w:val="top"/>
                </w:tcPr>
                <w:p w14:paraId="06A4F052">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15.63</w:t>
                  </w:r>
                </w:p>
              </w:tc>
              <w:tc>
                <w:tcPr>
                  <w:tcW w:w="833" w:type="pct"/>
                  <w:noWrap w:val="0"/>
                  <w:vAlign w:val="top"/>
                </w:tcPr>
                <w:p w14:paraId="7D2360A1">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9.38</w:t>
                  </w:r>
                </w:p>
              </w:tc>
              <w:tc>
                <w:tcPr>
                  <w:tcW w:w="833" w:type="pct"/>
                  <w:noWrap w:val="0"/>
                  <w:vAlign w:val="top"/>
                </w:tcPr>
                <w:p w14:paraId="165BBFF3">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100.00</w:t>
                  </w:r>
                </w:p>
              </w:tc>
            </w:tr>
          </w:tbl>
          <w:p w14:paraId="2B135DFF">
            <w:pPr>
              <w:pStyle w:val="9"/>
              <w:keepNext w:val="0"/>
              <w:keepLines w:val="0"/>
              <w:pageBreakBefore w:val="0"/>
              <w:widowControl w:val="0"/>
              <w:kinsoku/>
              <w:wordWrap/>
              <w:overflowPunct/>
              <w:topLinePunct w:val="0"/>
              <w:autoSpaceDE/>
              <w:autoSpaceDN/>
              <w:bidi w:val="0"/>
              <w:adjustRightInd/>
              <w:spacing w:line="480" w:lineRule="exact"/>
              <w:ind w:firstLine="480" w:firstLineChars="200"/>
              <w:textAlignment w:val="auto"/>
              <w:rPr>
                <w:rFonts w:hint="default" w:ascii="Times New Roman" w:hAnsi="Times New Roman" w:eastAsia="宋体" w:cs="Times New Roman"/>
                <w:snapToGrid w:val="0"/>
                <w:color w:val="auto"/>
                <w:sz w:val="24"/>
                <w:szCs w:val="24"/>
              </w:rPr>
            </w:pPr>
            <w:r>
              <w:rPr>
                <w:rFonts w:hint="eastAsia" w:ascii="Times New Roman" w:hAnsi="Times New Roman" w:eastAsia="仿宋" w:cstheme="minorBidi"/>
                <w:color w:val="auto"/>
                <w:kern w:val="0"/>
                <w:sz w:val="24"/>
                <w:szCs w:val="22"/>
                <w:highlight w:val="none"/>
                <w:lang w:val="en-US" w:eastAsia="zh-CN" w:bidi="ar-SA"/>
              </w:rPr>
              <w:t>植物科内属组成中，含属数小于6个科117科，占总数的91.41%，其中仅包含1属的科有70科，占54.69%。据统计，含有大于10属的科有5科，占3.91%，从大到小依次为：菊科40属，禾本科34属，蔷薇科18属，豆科18属，唇形科13属，大戟科10属，伞形科9属，百合科8属，茜草科7属，十字花科6属。</w:t>
            </w:r>
          </w:p>
          <w:p w14:paraId="3A9CDAEC">
            <w:pPr>
              <w:keepNext w:val="0"/>
              <w:keepLines w:val="0"/>
              <w:pageBreakBefore w:val="0"/>
              <w:kinsoku/>
              <w:wordWrap/>
              <w:overflowPunct/>
              <w:topLinePunct w:val="0"/>
              <w:autoSpaceDE/>
              <w:autoSpaceDN/>
              <w:bidi w:val="0"/>
              <w:adjustRightInd/>
              <w:snapToGrid/>
              <w:spacing w:before="120" w:after="120" w:line="240" w:lineRule="auto"/>
              <w:ind w:firstLine="0" w:firstLineChars="0"/>
              <w:jc w:val="center"/>
              <w:textAlignment w:val="auto"/>
              <w:rPr>
                <w:rFonts w:hint="eastAsia" w:ascii="Times New Roman" w:hAnsi="Times New Roman" w:eastAsia="宋体" w:cs="Times New Roman"/>
                <w:b/>
                <w:bCs/>
                <w:snapToGrid w:val="0"/>
                <w:color w:val="auto"/>
                <w:sz w:val="24"/>
                <w:szCs w:val="24"/>
                <w:lang w:val="en-US" w:eastAsia="zh-CN" w:bidi="ar-SA"/>
              </w:rPr>
            </w:pPr>
            <w:r>
              <w:rPr>
                <w:rFonts w:hint="eastAsia" w:ascii="Times New Roman" w:hAnsi="Times New Roman" w:eastAsia="宋体" w:cs="Times New Roman"/>
                <w:b/>
                <w:bCs/>
                <w:snapToGrid w:val="0"/>
                <w:color w:val="auto"/>
                <w:sz w:val="24"/>
                <w:szCs w:val="24"/>
                <w:lang w:val="en-US" w:eastAsia="zh-CN" w:bidi="ar-SA"/>
              </w:rPr>
              <w:t>表</w:t>
            </w:r>
            <w:r>
              <w:rPr>
                <w:rFonts w:hint="eastAsia" w:eastAsia="宋体" w:cs="Times New Roman"/>
                <w:b/>
                <w:bCs/>
                <w:snapToGrid w:val="0"/>
                <w:color w:val="auto"/>
                <w:sz w:val="24"/>
                <w:szCs w:val="24"/>
                <w:lang w:val="en-US" w:eastAsia="zh-CN" w:bidi="ar-SA"/>
              </w:rPr>
              <w:t xml:space="preserve">3-12 </w:t>
            </w:r>
            <w:r>
              <w:rPr>
                <w:rFonts w:hint="eastAsia" w:ascii="Times New Roman" w:hAnsi="Times New Roman" w:eastAsia="宋体" w:cs="Times New Roman"/>
                <w:b/>
                <w:bCs/>
                <w:snapToGrid w:val="0"/>
                <w:color w:val="auto"/>
                <w:sz w:val="24"/>
                <w:szCs w:val="24"/>
                <w:lang w:val="en-US" w:eastAsia="zh-CN" w:bidi="ar-SA"/>
              </w:rPr>
              <w:t>项目评价区域植物科内属的组成</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1515"/>
              <w:gridCol w:w="1518"/>
              <w:gridCol w:w="1518"/>
              <w:gridCol w:w="1518"/>
              <w:gridCol w:w="1518"/>
            </w:tblGrid>
            <w:tr w14:paraId="2513F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trPr>
              <w:tc>
                <w:tcPr>
                  <w:tcW w:w="832" w:type="pct"/>
                  <w:noWrap w:val="0"/>
                  <w:vAlign w:val="top"/>
                </w:tcPr>
                <w:p w14:paraId="02537A9B">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科内属数</w:t>
                  </w:r>
                </w:p>
              </w:tc>
              <w:tc>
                <w:tcPr>
                  <w:tcW w:w="832" w:type="pct"/>
                  <w:noWrap w:val="0"/>
                  <w:vAlign w:val="top"/>
                </w:tcPr>
                <w:p w14:paraId="3B5E00A9">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1</w:t>
                  </w:r>
                </w:p>
              </w:tc>
              <w:tc>
                <w:tcPr>
                  <w:tcW w:w="833" w:type="pct"/>
                  <w:noWrap w:val="0"/>
                  <w:vAlign w:val="top"/>
                </w:tcPr>
                <w:p w14:paraId="0E7B67F3">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2~5</w:t>
                  </w:r>
                </w:p>
              </w:tc>
              <w:tc>
                <w:tcPr>
                  <w:tcW w:w="833" w:type="pct"/>
                  <w:noWrap w:val="0"/>
                  <w:vAlign w:val="top"/>
                </w:tcPr>
                <w:p w14:paraId="51E187A2">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6~10</w:t>
                  </w:r>
                </w:p>
              </w:tc>
              <w:tc>
                <w:tcPr>
                  <w:tcW w:w="833" w:type="pct"/>
                  <w:noWrap w:val="0"/>
                  <w:vAlign w:val="top"/>
                </w:tcPr>
                <w:p w14:paraId="39CDAD9A">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＞10</w:t>
                  </w:r>
                </w:p>
              </w:tc>
              <w:tc>
                <w:tcPr>
                  <w:tcW w:w="833" w:type="pct"/>
                  <w:noWrap w:val="0"/>
                  <w:vAlign w:val="top"/>
                </w:tcPr>
                <w:p w14:paraId="20BE4407">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合计</w:t>
                  </w:r>
                </w:p>
              </w:tc>
            </w:tr>
            <w:tr w14:paraId="137CC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noWrap w:val="0"/>
                  <w:vAlign w:val="top"/>
                </w:tcPr>
                <w:p w14:paraId="514BD8C6">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属数</w:t>
                  </w:r>
                </w:p>
              </w:tc>
              <w:tc>
                <w:tcPr>
                  <w:tcW w:w="832" w:type="pct"/>
                  <w:noWrap w:val="0"/>
                  <w:vAlign w:val="top"/>
                </w:tcPr>
                <w:p w14:paraId="4D55447C">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70</w:t>
                  </w:r>
                </w:p>
              </w:tc>
              <w:tc>
                <w:tcPr>
                  <w:tcW w:w="833" w:type="pct"/>
                  <w:noWrap w:val="0"/>
                  <w:vAlign w:val="top"/>
                </w:tcPr>
                <w:p w14:paraId="7C354F35">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47</w:t>
                  </w:r>
                </w:p>
              </w:tc>
              <w:tc>
                <w:tcPr>
                  <w:tcW w:w="833" w:type="pct"/>
                  <w:noWrap w:val="0"/>
                  <w:vAlign w:val="top"/>
                </w:tcPr>
                <w:p w14:paraId="2C4F81E0">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w:t>
                  </w:r>
                </w:p>
              </w:tc>
              <w:tc>
                <w:tcPr>
                  <w:tcW w:w="833" w:type="pct"/>
                  <w:noWrap w:val="0"/>
                  <w:vAlign w:val="top"/>
                </w:tcPr>
                <w:p w14:paraId="34EE471A">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w:t>
                  </w:r>
                </w:p>
              </w:tc>
              <w:tc>
                <w:tcPr>
                  <w:tcW w:w="833" w:type="pct"/>
                  <w:noWrap w:val="0"/>
                  <w:vAlign w:val="top"/>
                </w:tcPr>
                <w:p w14:paraId="630F43A5">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128</w:t>
                  </w:r>
                </w:p>
              </w:tc>
            </w:tr>
            <w:tr w14:paraId="583A0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noWrap w:val="0"/>
                  <w:vAlign w:val="top"/>
                </w:tcPr>
                <w:p w14:paraId="7798429D">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占比/%</w:t>
                  </w:r>
                </w:p>
              </w:tc>
              <w:tc>
                <w:tcPr>
                  <w:tcW w:w="832" w:type="pct"/>
                  <w:noWrap w:val="0"/>
                  <w:vAlign w:val="top"/>
                </w:tcPr>
                <w:p w14:paraId="54B66AC8">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54.69</w:t>
                  </w:r>
                </w:p>
              </w:tc>
              <w:tc>
                <w:tcPr>
                  <w:tcW w:w="833" w:type="pct"/>
                  <w:noWrap w:val="0"/>
                  <w:vAlign w:val="top"/>
                </w:tcPr>
                <w:p w14:paraId="631B173E">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36.72</w:t>
                  </w:r>
                </w:p>
              </w:tc>
              <w:tc>
                <w:tcPr>
                  <w:tcW w:w="833" w:type="pct"/>
                  <w:noWrap w:val="0"/>
                  <w:vAlign w:val="top"/>
                </w:tcPr>
                <w:p w14:paraId="4214ADD5">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4.69</w:t>
                  </w:r>
                </w:p>
              </w:tc>
              <w:tc>
                <w:tcPr>
                  <w:tcW w:w="833" w:type="pct"/>
                  <w:noWrap w:val="0"/>
                  <w:vAlign w:val="top"/>
                </w:tcPr>
                <w:p w14:paraId="299C1381">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3.91</w:t>
                  </w:r>
                </w:p>
              </w:tc>
              <w:tc>
                <w:tcPr>
                  <w:tcW w:w="833" w:type="pct"/>
                  <w:noWrap w:val="0"/>
                  <w:vAlign w:val="top"/>
                </w:tcPr>
                <w:p w14:paraId="62EE0922">
                  <w:pPr>
                    <w:keepNext w:val="0"/>
                    <w:keepLines w:val="0"/>
                    <w:pageBreakBefore w:val="0"/>
                    <w:widowControl/>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100.00</w:t>
                  </w:r>
                </w:p>
              </w:tc>
            </w:tr>
          </w:tbl>
          <w:p w14:paraId="49B36B4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区域植物种类中，禾本科、菊科、蔷薇科、豆科为优势科，科属优势明显，以上4科分别占区域维管束植物种数、属数的28.48%和27.78%。</w:t>
            </w:r>
          </w:p>
          <w:p w14:paraId="62459DD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所有调查植物获得物种中，被子植物共576种，隶属115科361属，其中木兰纲植物95科295属493种，百合纲20科66属83种；裸子植物23种，属7科16属；蕨类植物12种，属7科10属。各类型植物占比见图</w:t>
            </w:r>
            <w:r>
              <w:rPr>
                <w:rFonts w:hint="eastAsia" w:eastAsia="仿宋"/>
                <w:color w:val="auto"/>
                <w:kern w:val="0"/>
                <w:sz w:val="24"/>
                <w:highlight w:val="none"/>
                <w:lang w:val="en-US" w:eastAsia="zh-CN"/>
              </w:rPr>
              <w:t>3-7</w:t>
            </w:r>
            <w:r>
              <w:rPr>
                <w:rFonts w:hint="eastAsia" w:ascii="Times New Roman" w:hAnsi="Times New Roman" w:eastAsia="仿宋"/>
                <w:color w:val="auto"/>
                <w:kern w:val="0"/>
                <w:sz w:val="24"/>
                <w:highlight w:val="none"/>
                <w:lang w:val="en-US" w:eastAsia="zh-CN"/>
              </w:rPr>
              <w:t>。</w:t>
            </w:r>
          </w:p>
          <w:p w14:paraId="762A48B4">
            <w:pPr>
              <w:pStyle w:val="9"/>
              <w:spacing w:before="120"/>
              <w:jc w:val="center"/>
              <w:rPr>
                <w:rFonts w:eastAsia="华文仿宋"/>
                <w:snapToGrid w:val="0"/>
                <w:color w:val="auto"/>
                <w:sz w:val="28"/>
              </w:rPr>
            </w:pPr>
            <w:r>
              <w:rPr>
                <w:color w:val="auto"/>
              </w:rPr>
              <w:drawing>
                <wp:inline distT="0" distB="0" distL="114300" distR="114300">
                  <wp:extent cx="4056380" cy="2888615"/>
                  <wp:effectExtent l="0" t="0" r="1270" b="6985"/>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49"/>
                          <a:stretch>
                            <a:fillRect/>
                          </a:stretch>
                        </pic:blipFill>
                        <pic:spPr>
                          <a:xfrm>
                            <a:off x="0" y="0"/>
                            <a:ext cx="4056380" cy="2888615"/>
                          </a:xfrm>
                          <a:prstGeom prst="rect">
                            <a:avLst/>
                          </a:prstGeom>
                          <a:noFill/>
                          <a:ln>
                            <a:noFill/>
                          </a:ln>
                        </pic:spPr>
                      </pic:pic>
                    </a:graphicData>
                  </a:graphic>
                </wp:inline>
              </w:drawing>
            </w:r>
          </w:p>
          <w:p w14:paraId="67DEEC4D">
            <w:pPr>
              <w:pStyle w:val="9"/>
              <w:keepNext w:val="0"/>
              <w:keepLines w:val="0"/>
              <w:pageBreakBefore w:val="0"/>
              <w:widowControl w:val="0"/>
              <w:kinsoku/>
              <w:wordWrap/>
              <w:overflowPunct/>
              <w:topLinePunct w:val="0"/>
              <w:autoSpaceDE/>
              <w:autoSpaceDN/>
              <w:bidi w:val="0"/>
              <w:adjustRightInd/>
              <w:snapToGrid/>
              <w:spacing w:before="120" w:line="500" w:lineRule="exact"/>
              <w:ind w:firstLine="0" w:firstLineChars="0"/>
              <w:jc w:val="center"/>
              <w:textAlignment w:val="auto"/>
              <w:rPr>
                <w:rFonts w:hint="default" w:ascii="Times New Roman" w:hAnsi="Times New Roman" w:eastAsia="宋体" w:cs="Times New Roman"/>
                <w:snapToGrid w:val="0"/>
                <w:color w:val="auto"/>
                <w:sz w:val="28"/>
              </w:rPr>
            </w:pPr>
            <w:r>
              <w:rPr>
                <w:rFonts w:hint="default" w:ascii="Times New Roman" w:hAnsi="Times New Roman" w:eastAsia="宋体" w:cs="Times New Roman"/>
                <w:b/>
                <w:color w:val="auto"/>
                <w:sz w:val="24"/>
                <w:szCs w:val="22"/>
              </w:rPr>
              <w:t>图</w:t>
            </w:r>
            <w:r>
              <w:rPr>
                <w:rFonts w:hint="eastAsia" w:eastAsia="宋体" w:cs="Times New Roman"/>
                <w:b/>
                <w:color w:val="auto"/>
                <w:sz w:val="24"/>
                <w:szCs w:val="22"/>
                <w:lang w:val="en-US" w:eastAsia="zh-CN"/>
              </w:rPr>
              <w:t>3-7 区域</w:t>
            </w:r>
            <w:r>
              <w:rPr>
                <w:rFonts w:hint="default" w:ascii="Times New Roman" w:hAnsi="Times New Roman" w:eastAsia="宋体" w:cs="Times New Roman"/>
                <w:b/>
                <w:color w:val="auto"/>
                <w:sz w:val="24"/>
                <w:szCs w:val="22"/>
              </w:rPr>
              <w:t>植物种类组成</w:t>
            </w:r>
          </w:p>
          <w:p w14:paraId="3443C083">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植物生活型即植物对综合生境条件长期适应在外观上表现出来的生长类型，具体分类如乔木、灌木、草本、藤本、垫状植物等。本次调查陆生维管束植物中，乔木、灌木、草本、藤本、蕨、竹类、竹子比例分别为25.20%、16.53%、49.75%、4.91%、1.96%、1.64%。总体而言，区域内草本植物物种较为丰富，而藤本、蕨类等占比相对较少，均为常见种。</w:t>
            </w:r>
          </w:p>
          <w:tbl>
            <w:tblPr>
              <w:tblStyle w:val="2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58"/>
              <w:gridCol w:w="4558"/>
            </w:tblGrid>
            <w:tr w14:paraId="5E564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3604579E">
                  <w:pPr>
                    <w:pStyle w:val="9"/>
                    <w:spacing w:before="120"/>
                    <w:jc w:val="center"/>
                    <w:rPr>
                      <w:rFonts w:eastAsia="华文仿宋"/>
                      <w:snapToGrid w:val="0"/>
                      <w:color w:val="auto"/>
                      <w:szCs w:val="21"/>
                    </w:rPr>
                  </w:pPr>
                  <w:r>
                    <w:rPr>
                      <w:color w:val="auto"/>
                      <w:szCs w:val="21"/>
                    </w:rPr>
                    <w:drawing>
                      <wp:inline distT="0" distB="0" distL="114300" distR="114300">
                        <wp:extent cx="2576195" cy="1781175"/>
                        <wp:effectExtent l="0" t="0" r="9525" b="14605"/>
                        <wp:docPr id="30" name="图片 7" descr="茶Camellia sin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descr="茶Camellia sinensis"/>
                                <pic:cNvPicPr>
                                  <a:picLocks noChangeAspect="1"/>
                                </pic:cNvPicPr>
                              </pic:nvPicPr>
                              <pic:blipFill>
                                <a:blip r:embed="rId50"/>
                                <a:stretch>
                                  <a:fillRect/>
                                </a:stretch>
                              </pic:blipFill>
                              <pic:spPr>
                                <a:xfrm rot="5400000">
                                  <a:off x="0" y="0"/>
                                  <a:ext cx="2576195" cy="1781175"/>
                                </a:xfrm>
                                <a:prstGeom prst="rect">
                                  <a:avLst/>
                                </a:prstGeom>
                                <a:noFill/>
                                <a:ln>
                                  <a:noFill/>
                                </a:ln>
                              </pic:spPr>
                            </pic:pic>
                          </a:graphicData>
                        </a:graphic>
                      </wp:inline>
                    </w:drawing>
                  </w:r>
                </w:p>
              </w:tc>
              <w:tc>
                <w:tcPr>
                  <w:tcW w:w="2500" w:type="pct"/>
                  <w:noWrap w:val="0"/>
                  <w:vAlign w:val="top"/>
                </w:tcPr>
                <w:p w14:paraId="376F6FCE">
                  <w:pPr>
                    <w:pStyle w:val="9"/>
                    <w:spacing w:before="120"/>
                    <w:jc w:val="center"/>
                    <w:rPr>
                      <w:rFonts w:eastAsia="华文仿宋"/>
                      <w:snapToGrid w:val="0"/>
                      <w:color w:val="auto"/>
                      <w:szCs w:val="21"/>
                    </w:rPr>
                  </w:pPr>
                  <w:r>
                    <w:rPr>
                      <w:color w:val="auto"/>
                      <w:szCs w:val="21"/>
                    </w:rPr>
                    <w:drawing>
                      <wp:inline distT="0" distB="0" distL="114300" distR="114300">
                        <wp:extent cx="2659380" cy="1795780"/>
                        <wp:effectExtent l="0" t="0" r="13970" b="7620"/>
                        <wp:docPr id="31" name="图片 8" descr="构树（Broussonetia papyri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descr="构树（Broussonetia papyrifera）"/>
                                <pic:cNvPicPr>
                                  <a:picLocks noChangeAspect="1"/>
                                </pic:cNvPicPr>
                              </pic:nvPicPr>
                              <pic:blipFill>
                                <a:blip r:embed="rId51"/>
                                <a:stretch>
                                  <a:fillRect/>
                                </a:stretch>
                              </pic:blipFill>
                              <pic:spPr>
                                <a:xfrm rot="5400000">
                                  <a:off x="0" y="0"/>
                                  <a:ext cx="2659380" cy="1795780"/>
                                </a:xfrm>
                                <a:prstGeom prst="rect">
                                  <a:avLst/>
                                </a:prstGeom>
                                <a:noFill/>
                                <a:ln>
                                  <a:noFill/>
                                </a:ln>
                              </pic:spPr>
                            </pic:pic>
                          </a:graphicData>
                        </a:graphic>
                      </wp:inline>
                    </w:drawing>
                  </w:r>
                </w:p>
              </w:tc>
            </w:tr>
            <w:tr w14:paraId="019652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5A311C32">
                  <w:pPr>
                    <w:pStyle w:val="9"/>
                    <w:spacing w:before="120"/>
                    <w:jc w:val="center"/>
                    <w:rPr>
                      <w:rFonts w:hint="default" w:ascii="Times New Roman" w:hAnsi="Times New Roman" w:eastAsia="仿宋" w:cstheme="minorBidi"/>
                      <w:color w:val="auto"/>
                      <w:kern w:val="0"/>
                      <w:sz w:val="24"/>
                      <w:szCs w:val="22"/>
                      <w:highlight w:val="none"/>
                      <w:lang w:val="en-US" w:eastAsia="zh-CN" w:bidi="ar-SA"/>
                    </w:rPr>
                  </w:pPr>
                  <w:r>
                    <w:rPr>
                      <w:rFonts w:hint="default" w:ascii="Times New Roman" w:hAnsi="Times New Roman" w:eastAsia="仿宋" w:cstheme="minorBidi"/>
                      <w:color w:val="auto"/>
                      <w:kern w:val="0"/>
                      <w:sz w:val="24"/>
                      <w:szCs w:val="22"/>
                      <w:highlight w:val="none"/>
                      <w:lang w:val="en-US" w:eastAsia="zh-CN" w:bidi="ar-SA"/>
                    </w:rPr>
                    <w:t>茶</w:t>
                  </w:r>
                </w:p>
              </w:tc>
              <w:tc>
                <w:tcPr>
                  <w:tcW w:w="2500" w:type="pct"/>
                  <w:noWrap w:val="0"/>
                  <w:vAlign w:val="top"/>
                </w:tcPr>
                <w:p w14:paraId="53A03AF7">
                  <w:pPr>
                    <w:pStyle w:val="9"/>
                    <w:spacing w:before="120"/>
                    <w:jc w:val="center"/>
                    <w:rPr>
                      <w:rFonts w:hint="default" w:ascii="Times New Roman" w:hAnsi="Times New Roman" w:eastAsia="仿宋" w:cstheme="minorBidi"/>
                      <w:color w:val="auto"/>
                      <w:kern w:val="0"/>
                      <w:sz w:val="24"/>
                      <w:szCs w:val="22"/>
                      <w:highlight w:val="none"/>
                      <w:lang w:val="en-US" w:eastAsia="zh-CN" w:bidi="ar-SA"/>
                    </w:rPr>
                  </w:pPr>
                  <w:r>
                    <w:rPr>
                      <w:rFonts w:hint="default" w:ascii="Times New Roman" w:hAnsi="Times New Roman" w:eastAsia="仿宋" w:cstheme="minorBidi"/>
                      <w:color w:val="auto"/>
                      <w:kern w:val="0"/>
                      <w:sz w:val="24"/>
                      <w:szCs w:val="22"/>
                      <w:highlight w:val="none"/>
                      <w:lang w:val="en-US" w:eastAsia="zh-CN" w:bidi="ar-SA"/>
                    </w:rPr>
                    <w:t>构树</w:t>
                  </w:r>
                </w:p>
              </w:tc>
            </w:tr>
            <w:tr w14:paraId="4135A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4F56AEF1">
                  <w:pPr>
                    <w:pStyle w:val="9"/>
                    <w:spacing w:before="120"/>
                    <w:jc w:val="center"/>
                    <w:rPr>
                      <w:rFonts w:eastAsia="华文仿宋"/>
                      <w:snapToGrid w:val="0"/>
                      <w:color w:val="auto"/>
                      <w:szCs w:val="21"/>
                    </w:rPr>
                  </w:pPr>
                  <w:r>
                    <w:rPr>
                      <w:color w:val="auto"/>
                      <w:szCs w:val="21"/>
                    </w:rPr>
                    <w:drawing>
                      <wp:inline distT="0" distB="0" distL="114300" distR="114300">
                        <wp:extent cx="2344420" cy="1572895"/>
                        <wp:effectExtent l="0" t="0" r="8255" b="17780"/>
                        <wp:docPr id="32" name="图片 9" descr="白檀（Symplocos panicu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descr="白檀（Symplocos paniculata）"/>
                                <pic:cNvPicPr>
                                  <a:picLocks noChangeAspect="1"/>
                                </pic:cNvPicPr>
                              </pic:nvPicPr>
                              <pic:blipFill>
                                <a:blip r:embed="rId52"/>
                                <a:stretch>
                                  <a:fillRect/>
                                </a:stretch>
                              </pic:blipFill>
                              <pic:spPr>
                                <a:xfrm rot="5400000">
                                  <a:off x="0" y="0"/>
                                  <a:ext cx="2344420" cy="1572895"/>
                                </a:xfrm>
                                <a:prstGeom prst="rect">
                                  <a:avLst/>
                                </a:prstGeom>
                                <a:noFill/>
                                <a:ln>
                                  <a:noFill/>
                                </a:ln>
                              </pic:spPr>
                            </pic:pic>
                          </a:graphicData>
                        </a:graphic>
                      </wp:inline>
                    </w:drawing>
                  </w:r>
                  <w:r>
                    <w:rPr>
                      <w:rFonts w:eastAsia="华文仿宋"/>
                      <w:snapToGrid w:val="0"/>
                      <w:color w:val="auto"/>
                      <w:szCs w:val="21"/>
                    </w:rPr>
                    <w:t xml:space="preserve"> </w:t>
                  </w:r>
                </w:p>
              </w:tc>
              <w:tc>
                <w:tcPr>
                  <w:tcW w:w="2500" w:type="pct"/>
                  <w:noWrap w:val="0"/>
                  <w:vAlign w:val="top"/>
                </w:tcPr>
                <w:p w14:paraId="34CDDF91">
                  <w:pPr>
                    <w:pStyle w:val="9"/>
                    <w:spacing w:before="120"/>
                    <w:jc w:val="center"/>
                    <w:rPr>
                      <w:rFonts w:eastAsia="华文仿宋"/>
                      <w:snapToGrid w:val="0"/>
                      <w:color w:val="auto"/>
                      <w:szCs w:val="21"/>
                    </w:rPr>
                  </w:pPr>
                  <w:r>
                    <w:rPr>
                      <w:color w:val="auto"/>
                      <w:szCs w:val="21"/>
                    </w:rPr>
                    <w:drawing>
                      <wp:inline distT="0" distB="0" distL="114300" distR="114300">
                        <wp:extent cx="2271395" cy="1424305"/>
                        <wp:effectExtent l="0" t="0" r="4445" b="14605"/>
                        <wp:docPr id="33" name="图片 10" descr="刚竹属（Phyllostach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descr="刚竹属（Phyllostachys）"/>
                                <pic:cNvPicPr>
                                  <a:picLocks noChangeAspect="1"/>
                                </pic:cNvPicPr>
                              </pic:nvPicPr>
                              <pic:blipFill>
                                <a:blip r:embed="rId53"/>
                                <a:stretch>
                                  <a:fillRect/>
                                </a:stretch>
                              </pic:blipFill>
                              <pic:spPr>
                                <a:xfrm rot="5400000">
                                  <a:off x="0" y="0"/>
                                  <a:ext cx="2271395" cy="1424305"/>
                                </a:xfrm>
                                <a:prstGeom prst="rect">
                                  <a:avLst/>
                                </a:prstGeom>
                                <a:noFill/>
                                <a:ln>
                                  <a:noFill/>
                                </a:ln>
                              </pic:spPr>
                            </pic:pic>
                          </a:graphicData>
                        </a:graphic>
                      </wp:inline>
                    </w:drawing>
                  </w:r>
                </w:p>
              </w:tc>
            </w:tr>
            <w:tr w14:paraId="5BE3F7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0254A21B">
                  <w:pPr>
                    <w:pStyle w:val="9"/>
                    <w:spacing w:before="120"/>
                    <w:jc w:val="center"/>
                    <w:rPr>
                      <w:rFonts w:hint="default"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白檀</w:t>
                  </w:r>
                </w:p>
              </w:tc>
              <w:tc>
                <w:tcPr>
                  <w:tcW w:w="2500" w:type="pct"/>
                  <w:noWrap w:val="0"/>
                  <w:vAlign w:val="top"/>
                </w:tcPr>
                <w:p w14:paraId="5534C995">
                  <w:pPr>
                    <w:pStyle w:val="9"/>
                    <w:spacing w:before="120"/>
                    <w:jc w:val="center"/>
                    <w:rPr>
                      <w:rFonts w:hint="default"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刚竹</w:t>
                  </w:r>
                </w:p>
              </w:tc>
            </w:tr>
            <w:tr w14:paraId="555948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5622ACA0">
                  <w:pPr>
                    <w:pStyle w:val="9"/>
                    <w:spacing w:before="120"/>
                    <w:jc w:val="center"/>
                    <w:rPr>
                      <w:rFonts w:eastAsia="华文仿宋"/>
                      <w:snapToGrid w:val="0"/>
                      <w:color w:val="auto"/>
                      <w:szCs w:val="21"/>
                    </w:rPr>
                  </w:pPr>
                  <w:r>
                    <w:rPr>
                      <w:color w:val="auto"/>
                      <w:szCs w:val="21"/>
                    </w:rPr>
                    <w:drawing>
                      <wp:inline distT="0" distB="0" distL="114300" distR="114300">
                        <wp:extent cx="1466850" cy="1948815"/>
                        <wp:effectExtent l="0" t="0" r="0" b="13335"/>
                        <wp:docPr id="42" name="图片 11" descr="2019_05_20_17_43_09_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descr="2019_05_20_17_43_09_555"/>
                                <pic:cNvPicPr>
                                  <a:picLocks noChangeAspect="1"/>
                                </pic:cNvPicPr>
                              </pic:nvPicPr>
                              <pic:blipFill>
                                <a:blip r:embed="rId54"/>
                                <a:stretch>
                                  <a:fillRect/>
                                </a:stretch>
                              </pic:blipFill>
                              <pic:spPr>
                                <a:xfrm>
                                  <a:off x="0" y="0"/>
                                  <a:ext cx="1466850" cy="1948815"/>
                                </a:xfrm>
                                <a:prstGeom prst="rect">
                                  <a:avLst/>
                                </a:prstGeom>
                                <a:noFill/>
                                <a:ln>
                                  <a:noFill/>
                                </a:ln>
                              </pic:spPr>
                            </pic:pic>
                          </a:graphicData>
                        </a:graphic>
                      </wp:inline>
                    </w:drawing>
                  </w:r>
                </w:p>
              </w:tc>
              <w:tc>
                <w:tcPr>
                  <w:tcW w:w="2500" w:type="pct"/>
                  <w:noWrap w:val="0"/>
                  <w:vAlign w:val="top"/>
                </w:tcPr>
                <w:p w14:paraId="1CEDF4C2">
                  <w:pPr>
                    <w:pStyle w:val="9"/>
                    <w:spacing w:before="120"/>
                    <w:jc w:val="center"/>
                    <w:rPr>
                      <w:rFonts w:eastAsia="华文仿宋"/>
                      <w:color w:val="auto"/>
                      <w:szCs w:val="21"/>
                    </w:rPr>
                  </w:pPr>
                  <w:r>
                    <w:rPr>
                      <w:color w:val="auto"/>
                      <w:szCs w:val="21"/>
                    </w:rPr>
                    <w:drawing>
                      <wp:inline distT="0" distB="0" distL="114300" distR="114300">
                        <wp:extent cx="1533525" cy="2045970"/>
                        <wp:effectExtent l="0" t="0" r="9525" b="11430"/>
                        <wp:docPr id="51" name="图片 12" descr="2019_05_20_17_43_45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descr="2019_05_20_17_43_45_326"/>
                                <pic:cNvPicPr>
                                  <a:picLocks noChangeAspect="1"/>
                                </pic:cNvPicPr>
                              </pic:nvPicPr>
                              <pic:blipFill>
                                <a:blip r:embed="rId55"/>
                                <a:stretch>
                                  <a:fillRect/>
                                </a:stretch>
                              </pic:blipFill>
                              <pic:spPr>
                                <a:xfrm>
                                  <a:off x="0" y="0"/>
                                  <a:ext cx="1533525" cy="2045970"/>
                                </a:xfrm>
                                <a:prstGeom prst="rect">
                                  <a:avLst/>
                                </a:prstGeom>
                                <a:noFill/>
                                <a:ln>
                                  <a:noFill/>
                                </a:ln>
                              </pic:spPr>
                            </pic:pic>
                          </a:graphicData>
                        </a:graphic>
                      </wp:inline>
                    </w:drawing>
                  </w:r>
                </w:p>
              </w:tc>
            </w:tr>
            <w:tr w14:paraId="6C7F6A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019ABDD1">
                  <w:pPr>
                    <w:pStyle w:val="9"/>
                    <w:spacing w:before="120"/>
                    <w:jc w:val="center"/>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葎草</w:t>
                  </w:r>
                </w:p>
              </w:tc>
              <w:tc>
                <w:tcPr>
                  <w:tcW w:w="2500" w:type="pct"/>
                  <w:noWrap w:val="0"/>
                  <w:vAlign w:val="top"/>
                </w:tcPr>
                <w:p w14:paraId="1A0BB752">
                  <w:pPr>
                    <w:pStyle w:val="9"/>
                    <w:spacing w:before="120"/>
                    <w:jc w:val="center"/>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桑</w:t>
                  </w:r>
                </w:p>
              </w:tc>
            </w:tr>
          </w:tbl>
          <w:p w14:paraId="4A802038">
            <w:pPr>
              <w:pStyle w:val="9"/>
              <w:spacing w:before="120" w:line="240" w:lineRule="auto"/>
              <w:ind w:firstLine="482" w:firstLineChars="200"/>
              <w:jc w:val="center"/>
              <w:rPr>
                <w:rFonts w:hint="default" w:ascii="Times New Roman" w:hAnsi="Times New Roman" w:eastAsia="仿宋" w:cstheme="minorBidi"/>
                <w:b/>
                <w:bCs/>
                <w:color w:val="auto"/>
                <w:kern w:val="0"/>
                <w:sz w:val="24"/>
                <w:szCs w:val="22"/>
                <w:highlight w:val="none"/>
                <w:lang w:val="en-US" w:eastAsia="zh-CN" w:bidi="ar-SA"/>
              </w:rPr>
            </w:pPr>
            <w:r>
              <w:rPr>
                <w:rFonts w:hint="eastAsia" w:ascii="Times New Roman" w:hAnsi="Times New Roman" w:eastAsia="仿宋" w:cstheme="minorBidi"/>
                <w:b/>
                <w:bCs/>
                <w:color w:val="auto"/>
                <w:kern w:val="0"/>
                <w:sz w:val="24"/>
                <w:szCs w:val="22"/>
                <w:highlight w:val="none"/>
                <w:lang w:val="en-US" w:eastAsia="zh-CN" w:bidi="ar-SA"/>
              </w:rPr>
              <w:t>图</w:t>
            </w:r>
            <w:r>
              <w:rPr>
                <w:rFonts w:hint="eastAsia" w:eastAsia="仿宋" w:cstheme="minorBidi"/>
                <w:b/>
                <w:bCs/>
                <w:color w:val="auto"/>
                <w:kern w:val="0"/>
                <w:sz w:val="24"/>
                <w:szCs w:val="22"/>
                <w:highlight w:val="none"/>
                <w:lang w:val="en-US" w:eastAsia="zh-CN" w:bidi="ar-SA"/>
              </w:rPr>
              <w:t>3-8</w:t>
            </w:r>
            <w:r>
              <w:rPr>
                <w:rFonts w:hint="eastAsia" w:ascii="Times New Roman" w:hAnsi="Times New Roman" w:eastAsia="仿宋" w:cstheme="minorBidi"/>
                <w:b/>
                <w:bCs/>
                <w:color w:val="auto"/>
                <w:kern w:val="0"/>
                <w:sz w:val="24"/>
                <w:szCs w:val="22"/>
                <w:highlight w:val="none"/>
                <w:lang w:val="en-US" w:eastAsia="zh-CN" w:bidi="ar-SA"/>
              </w:rPr>
              <w:t xml:space="preserve"> 沿线主要植被</w:t>
            </w:r>
          </w:p>
          <w:p w14:paraId="1A371B7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w:t>
            </w:r>
            <w:r>
              <w:rPr>
                <w:rFonts w:hint="eastAsia" w:eastAsia="仿宋"/>
                <w:color w:val="auto"/>
                <w:kern w:val="0"/>
                <w:sz w:val="24"/>
                <w:highlight w:val="none"/>
                <w:lang w:val="en-US" w:eastAsia="zh-CN"/>
              </w:rPr>
              <w:t>2</w:t>
            </w:r>
            <w:r>
              <w:rPr>
                <w:rFonts w:hint="eastAsia" w:ascii="Times New Roman" w:hAnsi="Times New Roman" w:eastAsia="仿宋"/>
                <w:color w:val="auto"/>
                <w:kern w:val="0"/>
                <w:sz w:val="24"/>
                <w:highlight w:val="none"/>
                <w:lang w:val="en-US" w:eastAsia="zh-CN"/>
              </w:rPr>
              <w:t>）名木古树和珍稀植物资源</w:t>
            </w:r>
          </w:p>
          <w:p w14:paraId="70D4C0DE">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经现场踏勘、调查走访，并查阅沿线林业部门提供的古树名录，</w:t>
            </w:r>
            <w:r>
              <w:rPr>
                <w:rFonts w:hint="eastAsia" w:ascii="Times New Roman" w:hAnsi="Times New Roman" w:eastAsia="仿宋"/>
                <w:b/>
                <w:bCs/>
                <w:color w:val="auto"/>
                <w:kern w:val="0"/>
                <w:sz w:val="24"/>
                <w:highlight w:val="none"/>
                <w:lang w:val="en-US" w:eastAsia="zh-CN"/>
              </w:rPr>
              <w:t>本工程评价范围内均为常见植物，未发现有名木古树和珍稀植物资源</w:t>
            </w:r>
            <w:r>
              <w:rPr>
                <w:rFonts w:hint="eastAsia" w:ascii="Times New Roman" w:hAnsi="Times New Roman" w:eastAsia="仿宋"/>
                <w:color w:val="auto"/>
                <w:kern w:val="0"/>
                <w:sz w:val="24"/>
                <w:highlight w:val="none"/>
                <w:lang w:val="en-US" w:eastAsia="zh-CN"/>
              </w:rPr>
              <w:t>。</w:t>
            </w:r>
          </w:p>
          <w:p w14:paraId="19FBB6C7">
            <w:pPr>
              <w:spacing w:before="120" w:after="120"/>
              <w:jc w:val="center"/>
              <w:rPr>
                <w:color w:val="auto"/>
              </w:rPr>
            </w:pPr>
            <w:r>
              <w:rPr>
                <w:color w:val="auto"/>
              </w:rPr>
              <w:drawing>
                <wp:inline distT="0" distB="0" distL="114300" distR="114300">
                  <wp:extent cx="4518025" cy="3894455"/>
                  <wp:effectExtent l="0" t="0" r="15875" b="10795"/>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56"/>
                          <a:stretch>
                            <a:fillRect/>
                          </a:stretch>
                        </pic:blipFill>
                        <pic:spPr>
                          <a:xfrm>
                            <a:off x="0" y="0"/>
                            <a:ext cx="4518025" cy="3894455"/>
                          </a:xfrm>
                          <a:prstGeom prst="rect">
                            <a:avLst/>
                          </a:prstGeom>
                          <a:noFill/>
                          <a:ln>
                            <a:noFill/>
                          </a:ln>
                        </pic:spPr>
                      </pic:pic>
                    </a:graphicData>
                  </a:graphic>
                </wp:inline>
              </w:drawing>
            </w:r>
          </w:p>
          <w:p w14:paraId="580D062B">
            <w:pPr>
              <w:pStyle w:val="9"/>
              <w:spacing w:before="120" w:line="240" w:lineRule="auto"/>
              <w:ind w:left="0" w:leftChars="0" w:firstLine="0" w:firstLineChars="0"/>
              <w:jc w:val="center"/>
              <w:rPr>
                <w:rFonts w:hint="default" w:ascii="Times New Roman" w:hAnsi="Times New Roman" w:eastAsia="仿宋" w:cstheme="minorBidi"/>
                <w:b/>
                <w:bCs/>
                <w:color w:val="auto"/>
                <w:kern w:val="0"/>
                <w:sz w:val="24"/>
                <w:szCs w:val="22"/>
                <w:highlight w:val="none"/>
                <w:lang w:val="en-US" w:eastAsia="zh-CN" w:bidi="ar-SA"/>
              </w:rPr>
            </w:pPr>
            <w:r>
              <w:rPr>
                <w:rFonts w:hint="default" w:ascii="Times New Roman" w:hAnsi="Times New Roman" w:eastAsia="仿宋" w:cstheme="minorBidi"/>
                <w:b/>
                <w:bCs/>
                <w:color w:val="auto"/>
                <w:kern w:val="0"/>
                <w:sz w:val="24"/>
                <w:szCs w:val="22"/>
                <w:highlight w:val="none"/>
                <w:lang w:val="en-US" w:eastAsia="zh-CN" w:bidi="ar-SA"/>
              </w:rPr>
              <w:t>图</w:t>
            </w:r>
            <w:r>
              <w:rPr>
                <w:rFonts w:hint="eastAsia" w:eastAsia="仿宋" w:cstheme="minorBidi"/>
                <w:b/>
                <w:bCs/>
                <w:color w:val="auto"/>
                <w:kern w:val="0"/>
                <w:sz w:val="24"/>
                <w:szCs w:val="22"/>
                <w:highlight w:val="none"/>
                <w:lang w:val="en-US" w:eastAsia="zh-CN" w:bidi="ar-SA"/>
              </w:rPr>
              <w:t>3-9</w:t>
            </w:r>
            <w:r>
              <w:rPr>
                <w:rFonts w:hint="default" w:ascii="Times New Roman" w:hAnsi="Times New Roman" w:eastAsia="仿宋" w:cstheme="minorBidi"/>
                <w:b/>
                <w:bCs/>
                <w:color w:val="auto"/>
                <w:kern w:val="0"/>
                <w:sz w:val="24"/>
                <w:szCs w:val="22"/>
                <w:highlight w:val="none"/>
                <w:lang w:val="en-US" w:eastAsia="zh-CN" w:bidi="ar-SA"/>
              </w:rPr>
              <w:t xml:space="preserve"> 江苏省地带性植被区划图</w:t>
            </w:r>
          </w:p>
          <w:p w14:paraId="47A4CB3A">
            <w:pPr>
              <w:pStyle w:val="9"/>
              <w:spacing w:before="120" w:line="240" w:lineRule="auto"/>
              <w:ind w:left="0" w:leftChars="0" w:firstLine="0" w:firstLineChars="0"/>
              <w:jc w:val="center"/>
              <w:rPr>
                <w:rFonts w:hint="default" w:ascii="Times New Roman" w:hAnsi="Times New Roman" w:eastAsia="仿宋" w:cstheme="minorBidi"/>
                <w:b/>
                <w:bCs/>
                <w:color w:val="auto"/>
                <w:kern w:val="0"/>
                <w:sz w:val="24"/>
                <w:szCs w:val="22"/>
                <w:highlight w:val="none"/>
                <w:lang w:val="en-US" w:eastAsia="zh-CN" w:bidi="ar-SA"/>
              </w:rPr>
            </w:pPr>
            <w:r>
              <w:rPr>
                <w:rFonts w:hint="default" w:ascii="Times New Roman" w:hAnsi="Times New Roman" w:eastAsia="仿宋" w:cstheme="minorBidi"/>
                <w:b/>
                <w:bCs/>
                <w:color w:val="auto"/>
                <w:kern w:val="0"/>
                <w:sz w:val="24"/>
                <w:szCs w:val="22"/>
                <w:highlight w:val="none"/>
                <w:lang w:val="en-US" w:eastAsia="zh-CN" w:bidi="ar-SA"/>
              </w:rPr>
              <w:t>（Ⅰ.暖温带落叶阔叶林带；Ⅱ.北亚热带落叶与常绿混交林带；Ⅲ.中亚热带常绿阔叶林带）</w:t>
            </w:r>
          </w:p>
          <w:p w14:paraId="1C83E8D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w:t>
            </w:r>
            <w:r>
              <w:rPr>
                <w:rFonts w:hint="eastAsia" w:eastAsia="仿宋"/>
                <w:color w:val="auto"/>
                <w:kern w:val="0"/>
                <w:sz w:val="24"/>
                <w:highlight w:val="none"/>
                <w:lang w:val="en-US" w:eastAsia="zh-CN"/>
              </w:rPr>
              <w:t>3</w:t>
            </w:r>
            <w:r>
              <w:rPr>
                <w:rFonts w:hint="eastAsia" w:ascii="Times New Roman" w:hAnsi="Times New Roman" w:eastAsia="仿宋"/>
                <w:color w:val="auto"/>
                <w:kern w:val="0"/>
                <w:sz w:val="24"/>
                <w:highlight w:val="none"/>
                <w:lang w:val="en-US" w:eastAsia="zh-CN"/>
              </w:rPr>
              <w:t>）陆生动物资源现状调查</w:t>
            </w:r>
          </w:p>
          <w:p w14:paraId="5871AA6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物种的分布及其丰富度与地形、植被、食物资源、气候等密切相关。动物从它生活的环境中取得生存所必要的物质和空间，如水、食物、隐蔽地和繁殖场所等。每一种动物都有它所需要的特定的栖息环境。</w:t>
            </w:r>
          </w:p>
          <w:p w14:paraId="7818BEF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评价区气候较为温和，生境类型较多，但由于区域范围较小及周边城市化快速发展，区域哺乳动物种类并不丰富。范围内主要陆生动物为鸟类（鸟类组成中，雀形目种类最多，其次为鹅形相、鸻形组等）；爬行动物主要为蛇类，未观察到省级爬行保护动物或国家级重点野生保护爬行动物及蛙类两栖动物及常规哺乳动物兔形目（草兔）、啮齿目黑腹绒鼠、大仓鼠、食虫目刺猬等。</w:t>
            </w:r>
          </w:p>
          <w:p w14:paraId="14C72A16">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eastAsia" w:ascii="Times New Roman" w:hAnsi="Times New Roman" w:eastAsia="仿宋"/>
                <w:b/>
                <w:bCs/>
                <w:color w:val="auto"/>
                <w:kern w:val="0"/>
                <w:sz w:val="24"/>
                <w:highlight w:val="none"/>
                <w:lang w:val="en-US" w:eastAsia="zh-CN"/>
              </w:rPr>
            </w:pPr>
            <w:r>
              <w:rPr>
                <w:rFonts w:hint="eastAsia" w:ascii="Times New Roman" w:hAnsi="Times New Roman" w:eastAsia="仿宋"/>
                <w:b/>
                <w:bCs/>
                <w:color w:val="auto"/>
                <w:kern w:val="0"/>
                <w:sz w:val="24"/>
                <w:highlight w:val="none"/>
                <w:lang w:val="en-US" w:eastAsia="zh-CN"/>
              </w:rPr>
              <w:t>本项目评价范围内未发现濒危或受保护动物资源。</w:t>
            </w:r>
          </w:p>
          <w:p w14:paraId="5E7CD05B">
            <w:pPr>
              <w:keepNext w:val="0"/>
              <w:keepLines w:val="0"/>
              <w:pageBreakBefore w:val="0"/>
              <w:widowControl w:val="0"/>
              <w:kinsoku/>
              <w:wordWrap/>
              <w:overflowPunct/>
              <w:topLinePunct w:val="0"/>
              <w:autoSpaceDE/>
              <w:autoSpaceDN/>
              <w:bidi w:val="0"/>
              <w:adjustRightInd/>
              <w:snapToGrid w:val="0"/>
              <w:spacing w:line="480" w:lineRule="exact"/>
              <w:ind w:firstLine="482" w:firstLineChars="200"/>
              <w:textAlignment w:val="auto"/>
              <w:rPr>
                <w:rFonts w:hint="eastAsia" w:ascii="Times New Roman" w:hAnsi="Times New Roman" w:eastAsia="宋体" w:cs="Times New Roman"/>
                <w:b/>
                <w:bCs/>
                <w:color w:val="auto"/>
              </w:rPr>
            </w:pPr>
          </w:p>
          <w:tbl>
            <w:tblPr>
              <w:tblStyle w:val="2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58"/>
              <w:gridCol w:w="4558"/>
            </w:tblGrid>
            <w:tr w14:paraId="226B3B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500" w:type="pct"/>
                  <w:noWrap w:val="0"/>
                  <w:vAlign w:val="top"/>
                </w:tcPr>
                <w:p w14:paraId="1B2A95BE">
                  <w:pPr>
                    <w:pStyle w:val="9"/>
                    <w:spacing w:before="120"/>
                    <w:jc w:val="center"/>
                    <w:rPr>
                      <w:rFonts w:eastAsia="华文仿宋"/>
                      <w:snapToGrid w:val="0"/>
                      <w:color w:val="auto"/>
                      <w:szCs w:val="21"/>
                    </w:rPr>
                  </w:pPr>
                  <w:r>
                    <w:rPr>
                      <w:color w:val="auto"/>
                    </w:rPr>
                    <w:drawing>
                      <wp:inline distT="0" distB="0" distL="114300" distR="114300">
                        <wp:extent cx="1913255" cy="1235075"/>
                        <wp:effectExtent l="0" t="0" r="10795" b="3175"/>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57"/>
                                <a:stretch>
                                  <a:fillRect/>
                                </a:stretch>
                              </pic:blipFill>
                              <pic:spPr>
                                <a:xfrm>
                                  <a:off x="0" y="0"/>
                                  <a:ext cx="1913255" cy="1235075"/>
                                </a:xfrm>
                                <a:prstGeom prst="rect">
                                  <a:avLst/>
                                </a:prstGeom>
                                <a:noFill/>
                                <a:ln>
                                  <a:noFill/>
                                </a:ln>
                              </pic:spPr>
                            </pic:pic>
                          </a:graphicData>
                        </a:graphic>
                      </wp:inline>
                    </w:drawing>
                  </w:r>
                </w:p>
              </w:tc>
              <w:tc>
                <w:tcPr>
                  <w:tcW w:w="2500" w:type="pct"/>
                  <w:noWrap w:val="0"/>
                  <w:vAlign w:val="top"/>
                </w:tcPr>
                <w:p w14:paraId="6B68C2C9">
                  <w:pPr>
                    <w:pStyle w:val="9"/>
                    <w:spacing w:before="120"/>
                    <w:jc w:val="center"/>
                    <w:rPr>
                      <w:rFonts w:eastAsia="华文仿宋"/>
                      <w:snapToGrid w:val="0"/>
                      <w:color w:val="auto"/>
                      <w:szCs w:val="21"/>
                    </w:rPr>
                  </w:pPr>
                  <w:r>
                    <w:rPr>
                      <w:color w:val="auto"/>
                    </w:rPr>
                    <w:drawing>
                      <wp:inline distT="0" distB="0" distL="114300" distR="114300">
                        <wp:extent cx="1743710" cy="1170940"/>
                        <wp:effectExtent l="0" t="0" r="8890" b="10160"/>
                        <wp:docPr id="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
                                <pic:cNvPicPr>
                                  <a:picLocks noChangeAspect="1"/>
                                </pic:cNvPicPr>
                              </pic:nvPicPr>
                              <pic:blipFill>
                                <a:blip r:embed="rId58"/>
                                <a:stretch>
                                  <a:fillRect/>
                                </a:stretch>
                              </pic:blipFill>
                              <pic:spPr>
                                <a:xfrm>
                                  <a:off x="0" y="0"/>
                                  <a:ext cx="1743710" cy="1170940"/>
                                </a:xfrm>
                                <a:prstGeom prst="rect">
                                  <a:avLst/>
                                </a:prstGeom>
                                <a:noFill/>
                                <a:ln>
                                  <a:noFill/>
                                </a:ln>
                              </pic:spPr>
                            </pic:pic>
                          </a:graphicData>
                        </a:graphic>
                      </wp:inline>
                    </w:drawing>
                  </w:r>
                </w:p>
              </w:tc>
            </w:tr>
            <w:tr w14:paraId="1FE45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2974E020">
                  <w:pPr>
                    <w:pStyle w:val="9"/>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草兔</w:t>
                  </w:r>
                </w:p>
              </w:tc>
              <w:tc>
                <w:tcPr>
                  <w:tcW w:w="2500" w:type="pct"/>
                  <w:noWrap w:val="0"/>
                  <w:vAlign w:val="top"/>
                </w:tcPr>
                <w:p w14:paraId="39ADAC51">
                  <w:pPr>
                    <w:pStyle w:val="9"/>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刺猬</w:t>
                  </w:r>
                </w:p>
              </w:tc>
            </w:tr>
          </w:tbl>
          <w:p w14:paraId="4D1327C0">
            <w:pPr>
              <w:spacing w:before="120" w:after="120" w:line="240" w:lineRule="auto"/>
              <w:jc w:val="center"/>
              <w:rPr>
                <w:rFonts w:hint="default" w:ascii="Times New Roman" w:hAnsi="Times New Roman" w:eastAsia="宋体" w:cs="Times New Roman"/>
                <w:b/>
                <w:color w:val="auto"/>
                <w:sz w:val="24"/>
                <w:szCs w:val="24"/>
              </w:rPr>
            </w:pPr>
            <w:r>
              <w:rPr>
                <w:rFonts w:hint="default" w:ascii="Times New Roman" w:hAnsi="Times New Roman" w:eastAsia="仿宋"/>
                <w:b/>
                <w:bCs/>
                <w:color w:val="auto"/>
                <w:kern w:val="0"/>
                <w:sz w:val="24"/>
                <w:highlight w:val="none"/>
                <w:lang w:val="en-US" w:eastAsia="zh-CN"/>
              </w:rPr>
              <w:t>图</w:t>
            </w:r>
            <w:r>
              <w:rPr>
                <w:rFonts w:hint="eastAsia" w:eastAsia="仿宋"/>
                <w:b/>
                <w:bCs/>
                <w:color w:val="auto"/>
                <w:kern w:val="0"/>
                <w:sz w:val="24"/>
                <w:highlight w:val="none"/>
                <w:lang w:val="en-US" w:eastAsia="zh-CN"/>
              </w:rPr>
              <w:t>3-10</w:t>
            </w:r>
            <w:r>
              <w:rPr>
                <w:rFonts w:hint="default" w:ascii="Times New Roman" w:hAnsi="Times New Roman" w:eastAsia="仿宋"/>
                <w:b/>
                <w:bCs/>
                <w:color w:val="auto"/>
                <w:kern w:val="0"/>
                <w:sz w:val="24"/>
                <w:highlight w:val="none"/>
                <w:lang w:val="en-US" w:eastAsia="zh-CN"/>
              </w:rPr>
              <w:t xml:space="preserve"> 区域内常见动物</w:t>
            </w:r>
          </w:p>
          <w:p w14:paraId="2B0959E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w:t>
            </w:r>
            <w:r>
              <w:rPr>
                <w:rFonts w:hint="eastAsia" w:eastAsia="仿宋"/>
                <w:color w:val="auto"/>
                <w:kern w:val="0"/>
                <w:sz w:val="24"/>
                <w:highlight w:val="none"/>
                <w:lang w:val="en-US" w:eastAsia="zh-CN"/>
              </w:rPr>
              <w:t>4</w:t>
            </w:r>
            <w:r>
              <w:rPr>
                <w:rFonts w:hint="eastAsia" w:ascii="Times New Roman" w:hAnsi="Times New Roman" w:eastAsia="仿宋"/>
                <w:color w:val="auto"/>
                <w:kern w:val="0"/>
                <w:sz w:val="24"/>
                <w:highlight w:val="none"/>
                <w:lang w:val="en-US" w:eastAsia="zh-CN"/>
              </w:rPr>
              <w:t>）水生生物资源现状调查</w:t>
            </w:r>
          </w:p>
          <w:p w14:paraId="14C89D1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eastAsia="仿宋" w:cs="Times New Roman"/>
                <w:color w:val="auto"/>
                <w:kern w:val="0"/>
                <w:sz w:val="24"/>
                <w:highlight w:val="none"/>
                <w:lang w:val="en-US" w:eastAsia="zh-CN"/>
              </w:rPr>
              <w:t>①</w:t>
            </w:r>
            <w:r>
              <w:rPr>
                <w:rFonts w:hint="eastAsia" w:ascii="Times New Roman" w:hAnsi="Times New Roman" w:eastAsia="仿宋"/>
                <w:color w:val="auto"/>
                <w:kern w:val="0"/>
                <w:sz w:val="24"/>
                <w:highlight w:val="none"/>
                <w:lang w:val="en-US" w:eastAsia="zh-CN"/>
              </w:rPr>
              <w:t>区域内水生生物资源</w:t>
            </w:r>
          </w:p>
          <w:p w14:paraId="60DDE6B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根据本次调查和相关资料初步统计，区域内水生生物鱼类、底栖生物、藻类等均为常见种。</w:t>
            </w:r>
          </w:p>
          <w:p w14:paraId="76C592EB">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区域内鱼类资源合计63种，属8目15科45属。其中，鲤形目共计40种，隶属于2科28属；其次为鲈形目10种，5科7属；十足目为5种，隶属于3科5属；鲇形目为5种，隶属于2科2属；胡瓜鱼目为4种，隶属于2科4属；颌针鱼目、鲱形目、合鳃鱼目、龟鳖目和鳗鲡目最少，只有1种。</w:t>
            </w:r>
          </w:p>
          <w:p w14:paraId="6A0F3FC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区域内底栖生物资源合计32种。定量调查环节动物、软体动物和节肢动物3门15属21种，其中软体动物门种类数最多，为13属16种，占底栖动物总种数的50.00%，其次为环节动物有6属10种，占底栖动物总种数的31.25%；节肢动物有6属6种，占底栖动物总种数的18.75%。</w:t>
            </w:r>
          </w:p>
          <w:p w14:paraId="070E6DF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区域内浮游植物资源合计7门72属180种。其中绿藻门种类最多，为36属91种，占浮游植物总种数的50.56%，其次为硅藻门13属40种，占20.22%；蓝藻门，共计11属23种，占12.78%；裸藻门4属16种，占8.89%；金藻门3属4种，占2.22%；甲藻门3属3种，占1.67%；隐藻门2属3种，占1.67%。</w:t>
            </w:r>
          </w:p>
          <w:p w14:paraId="140EE3F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区域内水生维管束植物资源合计87种，属39科56属，其中禾本科和菊科占绝大多数，物种数分别为21和15种。在这些植物中除乌蔹梅为草质藤本外，其他植物皆为草本植物。</w:t>
            </w:r>
          </w:p>
          <w:tbl>
            <w:tblPr>
              <w:tblStyle w:val="2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58"/>
              <w:gridCol w:w="4558"/>
            </w:tblGrid>
            <w:tr w14:paraId="2AAD7F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42132DB8">
                  <w:pPr>
                    <w:pStyle w:val="9"/>
                    <w:spacing w:before="120"/>
                    <w:jc w:val="center"/>
                    <w:rPr>
                      <w:rFonts w:eastAsia="华文仿宋"/>
                      <w:snapToGrid w:val="0"/>
                      <w:color w:val="auto"/>
                    </w:rPr>
                  </w:pPr>
                  <w:r>
                    <w:rPr>
                      <w:color w:val="auto"/>
                      <w:szCs w:val="21"/>
                    </w:rPr>
                    <w:drawing>
                      <wp:inline distT="0" distB="0" distL="114300" distR="114300">
                        <wp:extent cx="2124075" cy="2829560"/>
                        <wp:effectExtent l="0" t="0" r="9525" b="8890"/>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59"/>
                                <a:stretch>
                                  <a:fillRect/>
                                </a:stretch>
                              </pic:blipFill>
                              <pic:spPr>
                                <a:xfrm>
                                  <a:off x="0" y="0"/>
                                  <a:ext cx="2124075" cy="2829560"/>
                                </a:xfrm>
                                <a:prstGeom prst="rect">
                                  <a:avLst/>
                                </a:prstGeom>
                                <a:noFill/>
                                <a:ln>
                                  <a:noFill/>
                                </a:ln>
                              </pic:spPr>
                            </pic:pic>
                          </a:graphicData>
                        </a:graphic>
                      </wp:inline>
                    </w:drawing>
                  </w:r>
                </w:p>
              </w:tc>
              <w:tc>
                <w:tcPr>
                  <w:tcW w:w="2500" w:type="pct"/>
                  <w:noWrap w:val="0"/>
                  <w:vAlign w:val="top"/>
                </w:tcPr>
                <w:p w14:paraId="723F50D4">
                  <w:pPr>
                    <w:pStyle w:val="9"/>
                    <w:spacing w:before="120"/>
                    <w:jc w:val="center"/>
                    <w:rPr>
                      <w:rFonts w:eastAsia="华文仿宋"/>
                      <w:snapToGrid w:val="0"/>
                      <w:color w:val="auto"/>
                    </w:rPr>
                  </w:pPr>
                  <w:r>
                    <w:rPr>
                      <w:color w:val="auto"/>
                      <w:szCs w:val="21"/>
                    </w:rPr>
                    <w:drawing>
                      <wp:inline distT="0" distB="0" distL="114300" distR="114300">
                        <wp:extent cx="2120265" cy="2829560"/>
                        <wp:effectExtent l="0" t="0" r="13335" b="8890"/>
                        <wp:docPr id="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7"/>
                                <pic:cNvPicPr>
                                  <a:picLocks noChangeAspect="1"/>
                                </pic:cNvPicPr>
                              </pic:nvPicPr>
                              <pic:blipFill>
                                <a:blip r:embed="rId60"/>
                                <a:stretch>
                                  <a:fillRect/>
                                </a:stretch>
                              </pic:blipFill>
                              <pic:spPr>
                                <a:xfrm>
                                  <a:off x="0" y="0"/>
                                  <a:ext cx="2120265" cy="2829560"/>
                                </a:xfrm>
                                <a:prstGeom prst="rect">
                                  <a:avLst/>
                                </a:prstGeom>
                                <a:noFill/>
                                <a:ln>
                                  <a:noFill/>
                                </a:ln>
                              </pic:spPr>
                            </pic:pic>
                          </a:graphicData>
                        </a:graphic>
                      </wp:inline>
                    </w:drawing>
                  </w:r>
                </w:p>
              </w:tc>
            </w:tr>
            <w:tr w14:paraId="1D41D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7A70DF5D">
                  <w:pPr>
                    <w:pStyle w:val="9"/>
                    <w:spacing w:before="120"/>
                    <w:jc w:val="center"/>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乌鳢</w:t>
                  </w:r>
                </w:p>
              </w:tc>
              <w:tc>
                <w:tcPr>
                  <w:tcW w:w="2500" w:type="pct"/>
                  <w:noWrap w:val="0"/>
                  <w:vAlign w:val="top"/>
                </w:tcPr>
                <w:p w14:paraId="336CD240">
                  <w:pPr>
                    <w:pStyle w:val="9"/>
                    <w:spacing w:before="120"/>
                    <w:jc w:val="center"/>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鳜鱼</w:t>
                  </w:r>
                </w:p>
              </w:tc>
            </w:tr>
            <w:tr w14:paraId="0D3CE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344768D4">
                  <w:pPr>
                    <w:pStyle w:val="9"/>
                    <w:spacing w:before="120"/>
                    <w:jc w:val="center"/>
                    <w:rPr>
                      <w:rFonts w:eastAsia="华文仿宋"/>
                      <w:snapToGrid w:val="0"/>
                      <w:color w:val="auto"/>
                    </w:rPr>
                  </w:pPr>
                  <w:r>
                    <w:rPr>
                      <w:rFonts w:eastAsia="华文仿宋"/>
                      <w:color w:val="auto"/>
                    </w:rPr>
                    <w:drawing>
                      <wp:inline distT="0" distB="0" distL="114300" distR="114300">
                        <wp:extent cx="2140585" cy="1604010"/>
                        <wp:effectExtent l="0" t="0" r="12065" b="15240"/>
                        <wp:docPr id="6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8"/>
                                <pic:cNvPicPr>
                                  <a:picLocks noChangeAspect="1"/>
                                </pic:cNvPicPr>
                              </pic:nvPicPr>
                              <pic:blipFill>
                                <a:blip r:embed="rId61"/>
                                <a:stretch>
                                  <a:fillRect/>
                                </a:stretch>
                              </pic:blipFill>
                              <pic:spPr>
                                <a:xfrm>
                                  <a:off x="0" y="0"/>
                                  <a:ext cx="2140585" cy="1604010"/>
                                </a:xfrm>
                                <a:prstGeom prst="rect">
                                  <a:avLst/>
                                </a:prstGeom>
                                <a:noFill/>
                                <a:ln>
                                  <a:noFill/>
                                </a:ln>
                              </pic:spPr>
                            </pic:pic>
                          </a:graphicData>
                        </a:graphic>
                      </wp:inline>
                    </w:drawing>
                  </w:r>
                </w:p>
              </w:tc>
              <w:tc>
                <w:tcPr>
                  <w:tcW w:w="2500" w:type="pct"/>
                  <w:noWrap w:val="0"/>
                  <w:vAlign w:val="top"/>
                </w:tcPr>
                <w:p w14:paraId="3D1FA2CD">
                  <w:pPr>
                    <w:pStyle w:val="9"/>
                    <w:spacing w:before="120"/>
                    <w:jc w:val="center"/>
                    <w:rPr>
                      <w:rFonts w:eastAsia="华文仿宋"/>
                      <w:snapToGrid w:val="0"/>
                      <w:color w:val="auto"/>
                    </w:rPr>
                  </w:pPr>
                  <w:r>
                    <w:rPr>
                      <w:color w:val="auto"/>
                      <w:szCs w:val="21"/>
                    </w:rPr>
                    <w:drawing>
                      <wp:inline distT="0" distB="0" distL="114300" distR="114300">
                        <wp:extent cx="2085975" cy="1561465"/>
                        <wp:effectExtent l="0" t="0" r="9525" b="635"/>
                        <wp:docPr id="6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9"/>
                                <pic:cNvPicPr>
                                  <a:picLocks noChangeAspect="1"/>
                                </pic:cNvPicPr>
                              </pic:nvPicPr>
                              <pic:blipFill>
                                <a:blip r:embed="rId62"/>
                                <a:stretch>
                                  <a:fillRect/>
                                </a:stretch>
                              </pic:blipFill>
                              <pic:spPr>
                                <a:xfrm>
                                  <a:off x="0" y="0"/>
                                  <a:ext cx="2085975" cy="1561465"/>
                                </a:xfrm>
                                <a:prstGeom prst="rect">
                                  <a:avLst/>
                                </a:prstGeom>
                                <a:noFill/>
                                <a:ln>
                                  <a:noFill/>
                                </a:ln>
                              </pic:spPr>
                            </pic:pic>
                          </a:graphicData>
                        </a:graphic>
                      </wp:inline>
                    </w:drawing>
                  </w:r>
                </w:p>
              </w:tc>
            </w:tr>
            <w:tr w14:paraId="19DB1B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32CBD3E2">
                  <w:pPr>
                    <w:pStyle w:val="9"/>
                    <w:spacing w:before="120"/>
                    <w:jc w:val="center"/>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鲤鱼</w:t>
                  </w:r>
                </w:p>
              </w:tc>
              <w:tc>
                <w:tcPr>
                  <w:tcW w:w="2500" w:type="pct"/>
                  <w:noWrap w:val="0"/>
                  <w:vAlign w:val="top"/>
                </w:tcPr>
                <w:p w14:paraId="1B948FDF">
                  <w:pPr>
                    <w:pStyle w:val="9"/>
                    <w:spacing w:before="120"/>
                    <w:jc w:val="center"/>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鳙鱼</w:t>
                  </w:r>
                </w:p>
              </w:tc>
            </w:tr>
            <w:tr w14:paraId="0C2FC3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48F743EF">
                  <w:pPr>
                    <w:pStyle w:val="9"/>
                    <w:spacing w:before="120"/>
                    <w:jc w:val="center"/>
                    <w:rPr>
                      <w:rFonts w:eastAsia="华文仿宋"/>
                      <w:snapToGrid w:val="0"/>
                      <w:color w:val="auto"/>
                    </w:rPr>
                  </w:pPr>
                  <w:r>
                    <w:rPr>
                      <w:rFonts w:eastAsia="华文仿宋"/>
                      <w:snapToGrid w:val="0"/>
                      <w:color w:val="auto"/>
                    </w:rPr>
                    <w:drawing>
                      <wp:inline distT="0" distB="0" distL="114300" distR="114300">
                        <wp:extent cx="2129790" cy="1417955"/>
                        <wp:effectExtent l="0" t="0" r="3810" b="10795"/>
                        <wp:docPr id="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
                                <pic:cNvPicPr>
                                  <a:picLocks noChangeAspect="1"/>
                                </pic:cNvPicPr>
                              </pic:nvPicPr>
                              <pic:blipFill>
                                <a:blip r:embed="rId63"/>
                                <a:stretch>
                                  <a:fillRect/>
                                </a:stretch>
                              </pic:blipFill>
                              <pic:spPr>
                                <a:xfrm>
                                  <a:off x="0" y="0"/>
                                  <a:ext cx="2129790" cy="1417955"/>
                                </a:xfrm>
                                <a:prstGeom prst="rect">
                                  <a:avLst/>
                                </a:prstGeom>
                                <a:noFill/>
                                <a:ln>
                                  <a:noFill/>
                                </a:ln>
                              </pic:spPr>
                            </pic:pic>
                          </a:graphicData>
                        </a:graphic>
                      </wp:inline>
                    </w:drawing>
                  </w:r>
                </w:p>
              </w:tc>
              <w:tc>
                <w:tcPr>
                  <w:tcW w:w="2500" w:type="pct"/>
                  <w:noWrap w:val="0"/>
                  <w:vAlign w:val="top"/>
                </w:tcPr>
                <w:p w14:paraId="53373704">
                  <w:pPr>
                    <w:pStyle w:val="9"/>
                    <w:spacing w:before="120"/>
                    <w:jc w:val="center"/>
                    <w:rPr>
                      <w:rFonts w:eastAsia="华文仿宋"/>
                      <w:snapToGrid w:val="0"/>
                      <w:color w:val="auto"/>
                    </w:rPr>
                  </w:pPr>
                  <w:r>
                    <w:rPr>
                      <w:color w:val="auto"/>
                      <w:szCs w:val="21"/>
                    </w:rPr>
                    <w:drawing>
                      <wp:inline distT="0" distB="0" distL="114300" distR="114300">
                        <wp:extent cx="1945640" cy="1459230"/>
                        <wp:effectExtent l="0" t="0" r="16510" b="7620"/>
                        <wp:docPr id="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pic:cNvPicPr>
                                  <a:picLocks noChangeAspect="1"/>
                                </pic:cNvPicPr>
                              </pic:nvPicPr>
                              <pic:blipFill>
                                <a:blip r:embed="rId64"/>
                                <a:stretch>
                                  <a:fillRect/>
                                </a:stretch>
                              </pic:blipFill>
                              <pic:spPr>
                                <a:xfrm>
                                  <a:off x="0" y="0"/>
                                  <a:ext cx="1945640" cy="1459230"/>
                                </a:xfrm>
                                <a:prstGeom prst="rect">
                                  <a:avLst/>
                                </a:prstGeom>
                                <a:noFill/>
                                <a:ln>
                                  <a:noFill/>
                                </a:ln>
                              </pic:spPr>
                            </pic:pic>
                          </a:graphicData>
                        </a:graphic>
                      </wp:inline>
                    </w:drawing>
                  </w:r>
                </w:p>
              </w:tc>
            </w:tr>
            <w:tr w14:paraId="3CDB91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noWrap w:val="0"/>
                  <w:vAlign w:val="top"/>
                </w:tcPr>
                <w:p w14:paraId="57751039">
                  <w:pPr>
                    <w:pStyle w:val="9"/>
                    <w:spacing w:before="120"/>
                    <w:jc w:val="center"/>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鲢鱼</w:t>
                  </w:r>
                </w:p>
              </w:tc>
              <w:tc>
                <w:tcPr>
                  <w:tcW w:w="2500" w:type="pct"/>
                  <w:noWrap w:val="0"/>
                  <w:vAlign w:val="top"/>
                </w:tcPr>
                <w:p w14:paraId="38CCA995">
                  <w:pPr>
                    <w:pStyle w:val="9"/>
                    <w:spacing w:before="120"/>
                    <w:jc w:val="center"/>
                    <w:rPr>
                      <w:rFonts w:hint="eastAsia" w:ascii="Times New Roman" w:hAnsi="Times New Roman" w:eastAsia="仿宋" w:cstheme="minorBidi"/>
                      <w:color w:val="auto"/>
                      <w:kern w:val="0"/>
                      <w:sz w:val="24"/>
                      <w:szCs w:val="22"/>
                      <w:highlight w:val="none"/>
                      <w:lang w:val="en-US" w:eastAsia="zh-CN" w:bidi="ar-SA"/>
                    </w:rPr>
                  </w:pPr>
                  <w:r>
                    <w:rPr>
                      <w:rFonts w:hint="eastAsia" w:ascii="Times New Roman" w:hAnsi="Times New Roman" w:eastAsia="仿宋" w:cstheme="minorBidi"/>
                      <w:color w:val="auto"/>
                      <w:kern w:val="0"/>
                      <w:sz w:val="24"/>
                      <w:szCs w:val="22"/>
                      <w:highlight w:val="none"/>
                      <w:lang w:val="en-US" w:eastAsia="zh-CN" w:bidi="ar-SA"/>
                    </w:rPr>
                    <w:t>青鱼</w:t>
                  </w:r>
                </w:p>
              </w:tc>
            </w:tr>
          </w:tbl>
          <w:p w14:paraId="7C8FC7EB">
            <w:pPr>
              <w:pStyle w:val="9"/>
              <w:spacing w:before="120"/>
              <w:jc w:val="center"/>
              <w:rPr>
                <w:rFonts w:hint="default" w:ascii="Times New Roman" w:hAnsi="Times New Roman" w:eastAsia="仿宋" w:cstheme="minorBidi"/>
                <w:b/>
                <w:bCs/>
                <w:color w:val="auto"/>
                <w:kern w:val="0"/>
                <w:sz w:val="24"/>
                <w:szCs w:val="22"/>
                <w:highlight w:val="none"/>
                <w:lang w:val="en-US" w:eastAsia="zh-CN" w:bidi="ar-SA"/>
              </w:rPr>
            </w:pPr>
            <w:r>
              <w:rPr>
                <w:rFonts w:hint="default" w:ascii="Times New Roman" w:hAnsi="Times New Roman" w:eastAsia="仿宋" w:cstheme="minorBidi"/>
                <w:b/>
                <w:bCs/>
                <w:color w:val="auto"/>
                <w:kern w:val="0"/>
                <w:sz w:val="24"/>
                <w:szCs w:val="22"/>
                <w:highlight w:val="none"/>
                <w:lang w:val="en-US" w:eastAsia="zh-CN" w:bidi="ar-SA"/>
              </w:rPr>
              <w:t>图</w:t>
            </w:r>
            <w:r>
              <w:rPr>
                <w:rFonts w:hint="eastAsia" w:eastAsia="仿宋" w:cstheme="minorBidi"/>
                <w:b/>
                <w:bCs/>
                <w:color w:val="auto"/>
                <w:kern w:val="0"/>
                <w:sz w:val="24"/>
                <w:szCs w:val="22"/>
                <w:highlight w:val="none"/>
                <w:lang w:val="en-US" w:eastAsia="zh-CN" w:bidi="ar-SA"/>
              </w:rPr>
              <w:t>3-11</w:t>
            </w:r>
            <w:r>
              <w:rPr>
                <w:rFonts w:hint="default" w:ascii="Times New Roman" w:hAnsi="Times New Roman" w:eastAsia="仿宋" w:cstheme="minorBidi"/>
                <w:b/>
                <w:bCs/>
                <w:color w:val="auto"/>
                <w:kern w:val="0"/>
                <w:sz w:val="24"/>
                <w:szCs w:val="22"/>
                <w:highlight w:val="none"/>
                <w:lang w:val="en-US" w:eastAsia="zh-CN" w:bidi="ar-SA"/>
              </w:rPr>
              <w:t xml:space="preserve"> </w:t>
            </w:r>
            <w:r>
              <w:rPr>
                <w:rFonts w:hint="eastAsia" w:eastAsia="仿宋" w:cstheme="minorBidi"/>
                <w:b/>
                <w:bCs/>
                <w:color w:val="auto"/>
                <w:kern w:val="0"/>
                <w:sz w:val="24"/>
                <w:szCs w:val="22"/>
                <w:highlight w:val="none"/>
                <w:lang w:val="en-US" w:eastAsia="zh-CN" w:bidi="ar-SA"/>
              </w:rPr>
              <w:t>区域</w:t>
            </w:r>
            <w:r>
              <w:rPr>
                <w:rFonts w:hint="default" w:ascii="Times New Roman" w:hAnsi="Times New Roman" w:eastAsia="仿宋" w:cstheme="minorBidi"/>
                <w:b/>
                <w:bCs/>
                <w:color w:val="auto"/>
                <w:kern w:val="0"/>
                <w:sz w:val="24"/>
                <w:szCs w:val="22"/>
                <w:highlight w:val="none"/>
                <w:lang w:val="en-US" w:eastAsia="zh-CN" w:bidi="ar-SA"/>
              </w:rPr>
              <w:t>鱼类分布类型</w:t>
            </w:r>
          </w:p>
          <w:p w14:paraId="0BBE7339">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olor w:val="auto"/>
                <w:kern w:val="0"/>
                <w:sz w:val="24"/>
                <w:highlight w:val="none"/>
                <w:lang w:val="en-US" w:eastAsia="zh-CN"/>
              </w:rPr>
            </w:pPr>
            <w:r>
              <w:rPr>
                <w:rFonts w:hint="default" w:ascii="Times New Roman" w:hAnsi="Times New Roman" w:cs="Times New Roman"/>
                <w:color w:val="auto"/>
                <w:lang w:eastAsia="zh-CN"/>
              </w:rPr>
              <w:t>②</w:t>
            </w:r>
            <w:r>
              <w:rPr>
                <w:rFonts w:hint="eastAsia" w:ascii="Times New Roman" w:hAnsi="Times New Roman" w:eastAsia="仿宋"/>
                <w:color w:val="auto"/>
                <w:kern w:val="0"/>
                <w:sz w:val="24"/>
                <w:highlight w:val="none"/>
                <w:lang w:val="en-US" w:eastAsia="zh-CN"/>
              </w:rPr>
              <w:t>长荡湖水域水生生物资源</w:t>
            </w:r>
          </w:p>
          <w:p w14:paraId="797F188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根据《常州市金坛区和溧阳市如意桥新建工程</w:t>
            </w:r>
            <w:r>
              <w:rPr>
                <w:rFonts w:hint="eastAsia" w:eastAsia="仿宋"/>
                <w:color w:val="auto"/>
                <w:kern w:val="0"/>
                <w:sz w:val="24"/>
                <w:highlight w:val="none"/>
                <w:lang w:val="en-US" w:eastAsia="zh-CN"/>
              </w:rPr>
              <w:t>项目</w:t>
            </w:r>
            <w:r>
              <w:rPr>
                <w:rFonts w:hint="eastAsia" w:ascii="Times New Roman" w:hAnsi="Times New Roman" w:eastAsia="仿宋"/>
                <w:color w:val="auto"/>
                <w:kern w:val="0"/>
                <w:sz w:val="24"/>
                <w:highlight w:val="none"/>
                <w:lang w:val="en-US" w:eastAsia="zh-CN"/>
              </w:rPr>
              <w:t>对长荡湖渔业资源影响评价报告》中2024年5月对长荡湖水域调查：</w:t>
            </w:r>
          </w:p>
          <w:p w14:paraId="454F8FB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长荡湖水域浮游植物的采样调查鉴定出蓝藻门(Cyanophyta)、硅藻门(Bacillariophyta)、裸藻门(Euglenophyta)、绿藻门(Chlorophyta)和黄藻门(Xanthophyta)共5门67属146（包括变种和变型）。其中硅藻门种类最多，为58种，占浮游植物种类总数的39.73%；其次为绿藻门46种，占浮游植物种类总数的31.51%；蓝藻门23种，占浮游植物种类总数的15.75%；裸藻门17种，占浮游植物种类总数的11.64%；黄藻门均为2种，占浮游植物种类总数的1.37%。</w:t>
            </w:r>
          </w:p>
          <w:p w14:paraId="496CFFD7">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浮游动物的采样调查鉴定出原生动物(Protozoa)、轮虫类(Rotifera)、枝角类(Cladocera)和桡足类(Copep oda)共4类41种，其中以原生动物最多，为18种，占浮游动物总种数 的43.90%；其次为轮虫类，为9种，占浮游动物总种数的21.95%；枝角类7种，占浮游动物总种数的17.07%；桡足类7种，占游动物总种数的17.07%。</w:t>
            </w:r>
          </w:p>
          <w:p w14:paraId="5EF3F643">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底栖动物3类19种，其中环节动物(Annelida)7种，占底栖动物总种类的36.84%；软体动物(Mollusca)2种，占底栖动物总种类的10.53%；节肢动物(Arthropoda)10种，占底栖动物总种类的52.63%。</w:t>
            </w:r>
          </w:p>
          <w:p w14:paraId="173ACF7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渔业生物共计29种，分别隶属于5目6科25属，其中鱼类27种，甲壳类2种，鲤形目最多，为21种，占物种总数的72.41%；鲈形目3种，占比10.34%；鲇形目和甲壳类各2种，占比6.90%；鲱形目1种，各占物种总数的3.45%。</w:t>
            </w:r>
          </w:p>
          <w:p w14:paraId="23A077F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eastAsia="仿宋"/>
                <w:color w:val="auto"/>
                <w:kern w:val="0"/>
                <w:sz w:val="24"/>
                <w:highlight w:val="none"/>
                <w:lang w:val="en-US" w:eastAsia="zh-CN"/>
              </w:rPr>
              <w:t>本项目建设区域与长荡湖之间存在土埂围挡</w:t>
            </w:r>
            <w:r>
              <w:rPr>
                <w:rFonts w:hint="eastAsia" w:ascii="Times New Roman" w:hAnsi="Times New Roman" w:eastAsia="仿宋"/>
                <w:color w:val="auto"/>
                <w:kern w:val="0"/>
                <w:sz w:val="24"/>
                <w:highlight w:val="none"/>
                <w:lang w:val="en-US" w:eastAsia="zh-CN"/>
              </w:rPr>
              <w:t>，</w:t>
            </w:r>
            <w:r>
              <w:rPr>
                <w:rFonts w:hint="eastAsia" w:eastAsia="仿宋"/>
                <w:color w:val="auto"/>
                <w:kern w:val="0"/>
                <w:sz w:val="24"/>
                <w:highlight w:val="none"/>
                <w:lang w:val="en-US" w:eastAsia="zh-CN"/>
              </w:rPr>
              <w:t>鱼类资源相对较少，繁殖、</w:t>
            </w:r>
            <w:r>
              <w:rPr>
                <w:rFonts w:hint="eastAsia" w:ascii="Times New Roman" w:hAnsi="Times New Roman" w:eastAsia="仿宋"/>
                <w:color w:val="auto"/>
                <w:kern w:val="0"/>
                <w:sz w:val="24"/>
                <w:highlight w:val="none"/>
                <w:lang w:val="en-US" w:eastAsia="zh-CN"/>
              </w:rPr>
              <w:t>索饵、洄游</w:t>
            </w:r>
            <w:r>
              <w:rPr>
                <w:rFonts w:hint="eastAsia" w:eastAsia="仿宋"/>
                <w:color w:val="auto"/>
                <w:kern w:val="0"/>
                <w:sz w:val="24"/>
                <w:highlight w:val="none"/>
                <w:lang w:val="en-US" w:eastAsia="zh-CN"/>
              </w:rPr>
              <w:t>联通度不高</w:t>
            </w:r>
            <w:r>
              <w:rPr>
                <w:rFonts w:hint="eastAsia" w:ascii="Times New Roman" w:hAnsi="Times New Roman" w:eastAsia="仿宋"/>
                <w:color w:val="auto"/>
                <w:kern w:val="0"/>
                <w:sz w:val="24"/>
                <w:highlight w:val="none"/>
                <w:lang w:val="en-US" w:eastAsia="zh-CN"/>
              </w:rPr>
              <w:t>。</w:t>
            </w:r>
          </w:p>
          <w:p w14:paraId="17A3E0E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长荡湖水域部分鱼类产粘性卵，繁殖期在4-7月，主要有鲤、鲫等。这些鱼类繁殖需要砾石、砂石底质和水草环境，鱼类产卵后，受精卵或入砾石缝中，或粘附沙砾上，或埋藏于沙砾中，或粘附于水生高等植物体上，在湖水良好的溶氧环境中顺利孵化。鲤、鲫等产粘性卵鱼类的产卵场，水生植物是他们的重要产卵基质。产沉性卵鱼类产卵场一般对所需环境条件要求不高。一般的砂、砾石底质，水流较缓但能保持一定流速的河滩均适宜其产卵。其产卵活动对水位涨落、流速改变没有特别需要。产沉性卵鱼类产卵场主要位于长荡湖岸线边滩 处。长荡湖内分布的大大小小的洲滩，水草丰茂、水流较缓，部分岸线水草与卵石夹杂分布，为产沉性卵鱼类提供适宜的场地。</w:t>
            </w:r>
          </w:p>
          <w:p w14:paraId="5AD6C11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同时部分岸线有植被覆盖分布，也分布有水草，为鱼类、底栖和浮游生物提供了丰富的食物。鳜属、鳢属、鲌属、鲇科鱼类等以鱼类为食鱼类的索饵场，随其生活习性及摄食鱼群的分布而分布。鲤、鲫等杂食性鱼类索饵场的环境基本特征是缓流或静水，长荡湖内大大小小的洲滩，水草丰茂、水流较缓，部分岸线水草与卵石夹杂分布，水深0-0.5m，这些有砾石、礁石、沙质岸边，易于躲避敌害，同时，这些地方小型饵料丰富，敌害生物少，有利于幼鱼的存活。保护区部分堤岸植被覆盖率高，适宜作为鱼类的索饵区域。</w:t>
            </w:r>
          </w:p>
          <w:p w14:paraId="33ABB79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长荡湖地处北亚热带与中亚热带的过渡地带，属北亚热带湿润季风性气候，气候具有明显的季风特征，四季分明。调查水域处于良好状态。该水域水生生物资源丰富，特定的水域资源条件为定居性鱼类提供了产卵场、索饵场、育幼场等优良生境，每年4月水位上升，至7、8月水位最高，9月水位开始下降，11、12月进入枯水期，次年1、2月水位最低。历年最高水位4.62米。</w:t>
            </w:r>
          </w:p>
          <w:p w14:paraId="67963132">
            <w:pPr>
              <w:pStyle w:val="9"/>
              <w:rPr>
                <w:rFonts w:hint="default"/>
                <w:lang w:val="en-US" w:eastAsia="zh-CN"/>
              </w:rPr>
            </w:pPr>
            <w:r>
              <w:rPr>
                <w:rFonts w:hint="eastAsia" w:eastAsia="仿宋"/>
                <w:b w:val="0"/>
                <w:bCs w:val="0"/>
                <w:color w:val="auto"/>
                <w:kern w:val="0"/>
                <w:sz w:val="24"/>
                <w:highlight w:val="none"/>
                <w:lang w:val="en-US" w:eastAsia="zh-CN"/>
              </w:rPr>
              <w:t>由现状单位努力捕获量可知，长荡湖区域渔业资源平均生物量约为15t/km</w:t>
            </w:r>
            <w:r>
              <w:rPr>
                <w:rFonts w:hint="eastAsia" w:eastAsia="仿宋"/>
                <w:b w:val="0"/>
                <w:bCs w:val="0"/>
                <w:color w:val="auto"/>
                <w:kern w:val="0"/>
                <w:sz w:val="24"/>
                <w:highlight w:val="none"/>
                <w:vertAlign w:val="superscript"/>
                <w:lang w:val="en-US" w:eastAsia="zh-CN"/>
              </w:rPr>
              <w:t>2</w:t>
            </w:r>
            <w:r>
              <w:rPr>
                <w:rFonts w:hint="eastAsia" w:ascii="Times New Roman" w:hAnsi="Times New Roman" w:eastAsia="仿宋"/>
                <w:color w:val="auto"/>
                <w:kern w:val="0"/>
                <w:sz w:val="24"/>
                <w:highlight w:val="none"/>
                <w:lang w:val="en-US" w:eastAsia="zh-CN"/>
              </w:rPr>
              <w:t>。</w:t>
            </w:r>
          </w:p>
          <w:p w14:paraId="6000699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lang w:val="en-US" w:eastAsia="zh-CN"/>
              </w:rPr>
            </w:pPr>
            <w:r>
              <w:rPr>
                <w:rFonts w:hint="eastAsia" w:ascii="Times New Roman" w:hAnsi="Times New Roman" w:eastAsia="仿宋"/>
                <w:color w:val="auto"/>
                <w:kern w:val="0"/>
                <w:sz w:val="24"/>
                <w:highlight w:val="none"/>
                <w:lang w:val="en-US" w:eastAsia="zh-CN"/>
              </w:rPr>
              <w:t>总体来说，调查水域为鲤、鲫、刀鲚等鱼类提供了繁殖、索饵场所，同时也为鲤、鲫等产粘性卵的鱼类提供了可完成整个生活史的良好的栖息条件。调查水域管理部门具备较好管理设施设备条件和从事渔业资源管理经验和技术条件，对</w:t>
            </w:r>
            <w:r>
              <w:rPr>
                <w:rFonts w:hint="eastAsia" w:eastAsia="仿宋"/>
                <w:b w:val="0"/>
                <w:bCs w:val="0"/>
                <w:color w:val="auto"/>
                <w:kern w:val="0"/>
                <w:sz w:val="24"/>
                <w:highlight w:val="none"/>
                <w:lang w:val="en-US" w:eastAsia="zh-CN"/>
              </w:rPr>
              <w:t>长荡湖国家级水产种质资源保护区青虾种质资源保护较好，避免了种质性状退化；同时保护区内为其他生物提供良好的栖息环境。</w:t>
            </w:r>
          </w:p>
        </w:tc>
      </w:tr>
      <w:tr w14:paraId="1BAAAE8C">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4517" w:hRule="atLeast"/>
          <w:jc w:val="center"/>
        </w:trPr>
        <w:tc>
          <w:tcPr>
            <w:tcW w:w="486" w:type="dxa"/>
            <w:tcBorders>
              <w:top w:val="single" w:color="auto" w:sz="4" w:space="0"/>
              <w:bottom w:val="single" w:color="auto" w:sz="4" w:space="0"/>
            </w:tcBorders>
            <w:vAlign w:val="center"/>
          </w:tcPr>
          <w:p w14:paraId="36BEC485">
            <w:pPr>
              <w:pStyle w:val="30"/>
              <w:jc w:val="center"/>
              <w:rPr>
                <w:rFonts w:hint="eastAsia"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项目相关原有生态环境问题</w:t>
            </w:r>
          </w:p>
        </w:tc>
        <w:tc>
          <w:tcPr>
            <w:tcW w:w="8379" w:type="dxa"/>
            <w:tcBorders>
              <w:top w:val="single" w:color="auto" w:sz="4" w:space="0"/>
              <w:bottom w:val="single" w:color="auto" w:sz="4" w:space="0"/>
            </w:tcBorders>
            <w:vAlign w:val="center"/>
          </w:tcPr>
          <w:p w14:paraId="667A5627">
            <w:pPr>
              <w:pStyle w:val="30"/>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w:t>
            </w:r>
          </w:p>
        </w:tc>
      </w:tr>
      <w:tr w14:paraId="5B0A1A4A">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jc w:val="center"/>
        </w:trPr>
        <w:tc>
          <w:tcPr>
            <w:tcW w:w="486" w:type="dxa"/>
            <w:tcBorders>
              <w:top w:val="single" w:color="auto" w:sz="4" w:space="0"/>
              <w:bottom w:val="single" w:color="auto" w:sz="4" w:space="0"/>
            </w:tcBorders>
            <w:vAlign w:val="center"/>
          </w:tcPr>
          <w:p w14:paraId="556BB26B">
            <w:pPr>
              <w:pStyle w:val="30"/>
              <w:jc w:val="center"/>
              <w:rPr>
                <w:rFonts w:hint="eastAsia" w:ascii="仿宋" w:hAnsi="仿宋" w:eastAsia="仿宋" w:cs="仿宋"/>
                <w:color w:val="auto"/>
                <w:sz w:val="21"/>
                <w:szCs w:val="21"/>
                <w:highlight w:val="none"/>
                <w:vertAlign w:val="baseline"/>
                <w:lang w:val="en-US" w:eastAsia="zh-CN"/>
              </w:rPr>
            </w:pPr>
          </w:p>
          <w:p w14:paraId="7D2D2F28">
            <w:pPr>
              <w:pStyle w:val="30"/>
              <w:jc w:val="center"/>
              <w:rPr>
                <w:rFonts w:hint="default"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生态环境保护目标</w:t>
            </w:r>
          </w:p>
        </w:tc>
        <w:tc>
          <w:tcPr>
            <w:tcW w:w="8379" w:type="dxa"/>
            <w:tcBorders>
              <w:top w:val="single" w:color="auto" w:sz="4" w:space="0"/>
              <w:bottom w:val="single" w:color="auto" w:sz="4" w:space="0"/>
            </w:tcBorders>
            <w:vAlign w:val="top"/>
          </w:tcPr>
          <w:p w14:paraId="51A01D4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eastAsia="仿宋"/>
                <w:color w:val="auto"/>
                <w:kern w:val="0"/>
                <w:sz w:val="24"/>
                <w:highlight w:val="none"/>
                <w:lang w:val="en-US" w:eastAsia="zh-CN"/>
              </w:rPr>
            </w:pPr>
            <w:r>
              <w:rPr>
                <w:rFonts w:hint="eastAsia" w:eastAsia="仿宋"/>
                <w:color w:val="auto"/>
                <w:kern w:val="0"/>
                <w:sz w:val="24"/>
                <w:highlight w:val="none"/>
                <w:lang w:val="en-US" w:eastAsia="zh-CN"/>
              </w:rPr>
              <w:t>1、大气保护环境目标</w:t>
            </w:r>
          </w:p>
          <w:p w14:paraId="20913D69">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本项目500m范围内大气环境保护目标见下表。</w:t>
            </w:r>
          </w:p>
          <w:p w14:paraId="3811B0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lang w:val="en-US" w:eastAsia="zh-CN"/>
              </w:rPr>
            </w:pPr>
            <w:r>
              <w:rPr>
                <w:rFonts w:hint="default" w:eastAsia="仿宋"/>
                <w:b/>
                <w:color w:val="auto"/>
                <w:sz w:val="24"/>
                <w:highlight w:val="none"/>
              </w:rPr>
              <w:t>表3-</w:t>
            </w:r>
            <w:r>
              <w:rPr>
                <w:rFonts w:hint="eastAsia" w:eastAsia="仿宋"/>
                <w:b/>
                <w:color w:val="auto"/>
                <w:sz w:val="24"/>
                <w:highlight w:val="none"/>
                <w:lang w:val="en-US" w:eastAsia="zh-CN"/>
              </w:rPr>
              <w:t>13 大气环境保护目标</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1661"/>
              <w:gridCol w:w="556"/>
              <w:gridCol w:w="596"/>
              <w:gridCol w:w="767"/>
              <w:gridCol w:w="813"/>
              <w:gridCol w:w="781"/>
              <w:gridCol w:w="2286"/>
              <w:gridCol w:w="914"/>
            </w:tblGrid>
            <w:tr w14:paraId="08B19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399" w:type="pct"/>
                  <w:vMerge w:val="restart"/>
                  <w:vAlign w:val="center"/>
                </w:tcPr>
                <w:p w14:paraId="42C8B84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环境要素</w:t>
                  </w:r>
                </w:p>
              </w:tc>
              <w:tc>
                <w:tcPr>
                  <w:tcW w:w="912" w:type="pct"/>
                  <w:vMerge w:val="restart"/>
                  <w:vAlign w:val="center"/>
                </w:tcPr>
                <w:p w14:paraId="3C3B4AF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保护对象</w:t>
                  </w:r>
                </w:p>
                <w:p w14:paraId="2F332F0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名称</w:t>
                  </w:r>
                </w:p>
              </w:tc>
              <w:tc>
                <w:tcPr>
                  <w:tcW w:w="632" w:type="pct"/>
                  <w:gridSpan w:val="2"/>
                  <w:vAlign w:val="center"/>
                </w:tcPr>
                <w:p w14:paraId="32D1A19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坐标</w:t>
                  </w:r>
                </w:p>
              </w:tc>
              <w:tc>
                <w:tcPr>
                  <w:tcW w:w="421" w:type="pct"/>
                  <w:vMerge w:val="restart"/>
                  <w:vAlign w:val="center"/>
                </w:tcPr>
                <w:p w14:paraId="720D1F4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相对方位</w:t>
                  </w:r>
                </w:p>
              </w:tc>
              <w:tc>
                <w:tcPr>
                  <w:tcW w:w="446" w:type="pct"/>
                  <w:vMerge w:val="restart"/>
                  <w:vAlign w:val="center"/>
                </w:tcPr>
                <w:p w14:paraId="7538ED0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仿宋" w:cs="Times New Roman"/>
                      <w:b/>
                      <w:bCs/>
                      <w:color w:val="auto"/>
                      <w:sz w:val="21"/>
                      <w:szCs w:val="21"/>
                      <w:highlight w:val="none"/>
                      <w:lang w:val="en-US" w:eastAsia="zh-CN"/>
                    </w:rPr>
                  </w:pPr>
                  <w:r>
                    <w:rPr>
                      <w:rFonts w:hint="eastAsia" w:eastAsia="仿宋" w:cs="Times New Roman"/>
                      <w:b/>
                      <w:bCs/>
                      <w:color w:val="auto"/>
                      <w:sz w:val="21"/>
                      <w:szCs w:val="21"/>
                      <w:highlight w:val="none"/>
                      <w:lang w:val="en-US" w:eastAsia="zh-CN"/>
                    </w:rPr>
                    <w:t>相对距离（m）</w:t>
                  </w:r>
                </w:p>
              </w:tc>
              <w:tc>
                <w:tcPr>
                  <w:tcW w:w="429" w:type="pct"/>
                  <w:vMerge w:val="restart"/>
                  <w:vAlign w:val="center"/>
                </w:tcPr>
                <w:p w14:paraId="41A335D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保护对象</w:t>
                  </w:r>
                </w:p>
              </w:tc>
              <w:tc>
                <w:tcPr>
                  <w:tcW w:w="1255" w:type="pct"/>
                  <w:vMerge w:val="restart"/>
                  <w:vAlign w:val="center"/>
                </w:tcPr>
                <w:p w14:paraId="05A73FC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环境功能区</w:t>
                  </w:r>
                </w:p>
              </w:tc>
              <w:tc>
                <w:tcPr>
                  <w:tcW w:w="502" w:type="pct"/>
                  <w:vMerge w:val="restart"/>
                  <w:vAlign w:val="center"/>
                </w:tcPr>
                <w:p w14:paraId="447FD67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Times New Roman" w:hAnsi="Times New Roman" w:eastAsia="仿宋" w:cs="Times New Roman"/>
                      <w:b/>
                      <w:bCs/>
                      <w:color w:val="auto"/>
                      <w:sz w:val="21"/>
                      <w:szCs w:val="21"/>
                      <w:highlight w:val="none"/>
                      <w:lang w:eastAsia="zh-CN"/>
                    </w:rPr>
                  </w:pPr>
                  <w:r>
                    <w:rPr>
                      <w:rFonts w:hint="default" w:ascii="Times New Roman" w:hAnsi="Times New Roman" w:eastAsia="仿宋" w:cs="Times New Roman"/>
                      <w:b/>
                      <w:bCs/>
                      <w:color w:val="auto"/>
                      <w:sz w:val="21"/>
                      <w:szCs w:val="21"/>
                      <w:highlight w:val="none"/>
                    </w:rPr>
                    <w:t>规模</w:t>
                  </w:r>
                  <w:r>
                    <w:rPr>
                      <w:rFonts w:hint="eastAsia" w:eastAsia="仿宋" w:cs="Times New Roman"/>
                      <w:b/>
                      <w:bCs/>
                      <w:color w:val="auto"/>
                      <w:sz w:val="21"/>
                      <w:szCs w:val="21"/>
                      <w:highlight w:val="none"/>
                      <w:lang w:eastAsia="zh-CN"/>
                    </w:rPr>
                    <w:t>（人）</w:t>
                  </w:r>
                </w:p>
              </w:tc>
            </w:tr>
            <w:tr w14:paraId="6D5A2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399" w:type="pct"/>
                  <w:vMerge w:val="continue"/>
                  <w:vAlign w:val="center"/>
                </w:tcPr>
                <w:p w14:paraId="04BD9043">
                  <w:pPr>
                    <w:pStyle w:val="30"/>
                    <w:keepNext w:val="0"/>
                    <w:keepLines w:val="0"/>
                    <w:pageBreakBefore w:val="0"/>
                    <w:kinsoku/>
                    <w:wordWrap/>
                    <w:overflowPunct/>
                    <w:topLinePunct w:val="0"/>
                    <w:bidi w:val="0"/>
                    <w:adjustRightInd w:val="0"/>
                    <w:snapToGrid/>
                    <w:spacing w:line="360" w:lineRule="auto"/>
                    <w:jc w:val="center"/>
                    <w:textAlignment w:val="auto"/>
                    <w:rPr>
                      <w:rFonts w:hint="default" w:ascii="Times New Roman" w:hAnsi="Times New Roman" w:eastAsia="仿宋" w:cs="Times New Roman"/>
                      <w:color w:val="auto"/>
                      <w:sz w:val="21"/>
                      <w:szCs w:val="21"/>
                      <w:highlight w:val="none"/>
                    </w:rPr>
                  </w:pPr>
                </w:p>
              </w:tc>
              <w:tc>
                <w:tcPr>
                  <w:tcW w:w="912" w:type="pct"/>
                  <w:vMerge w:val="continue"/>
                  <w:vAlign w:val="center"/>
                </w:tcPr>
                <w:p w14:paraId="112A091C">
                  <w:pPr>
                    <w:pStyle w:val="30"/>
                    <w:keepNext w:val="0"/>
                    <w:keepLines w:val="0"/>
                    <w:pageBreakBefore w:val="0"/>
                    <w:kinsoku/>
                    <w:wordWrap/>
                    <w:overflowPunct/>
                    <w:topLinePunct w:val="0"/>
                    <w:bidi w:val="0"/>
                    <w:adjustRightInd w:val="0"/>
                    <w:snapToGrid/>
                    <w:spacing w:line="360" w:lineRule="auto"/>
                    <w:jc w:val="center"/>
                    <w:textAlignment w:val="auto"/>
                    <w:rPr>
                      <w:rFonts w:hint="default" w:ascii="Times New Roman" w:hAnsi="Times New Roman" w:eastAsia="仿宋" w:cs="Times New Roman"/>
                      <w:color w:val="auto"/>
                      <w:sz w:val="21"/>
                      <w:szCs w:val="21"/>
                      <w:highlight w:val="none"/>
                    </w:rPr>
                  </w:pPr>
                </w:p>
              </w:tc>
              <w:tc>
                <w:tcPr>
                  <w:tcW w:w="305" w:type="pct"/>
                  <w:vAlign w:val="center"/>
                </w:tcPr>
                <w:p w14:paraId="73F18868">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X</w:t>
                  </w:r>
                </w:p>
              </w:tc>
              <w:tc>
                <w:tcPr>
                  <w:tcW w:w="327" w:type="pct"/>
                  <w:vAlign w:val="center"/>
                </w:tcPr>
                <w:p w14:paraId="3C0A3F52">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sz w:val="21"/>
                      <w:szCs w:val="21"/>
                      <w:highlight w:val="none"/>
                      <w:lang w:val="en-US" w:eastAsia="zh-CN"/>
                    </w:rPr>
                  </w:pPr>
                  <w:r>
                    <w:rPr>
                      <w:rFonts w:hint="eastAsia" w:ascii="Times New Roman" w:hAnsi="Times New Roman" w:eastAsia="仿宋" w:cs="Times New Roman"/>
                      <w:b/>
                      <w:bCs/>
                      <w:color w:val="auto"/>
                      <w:sz w:val="21"/>
                      <w:szCs w:val="21"/>
                      <w:highlight w:val="none"/>
                      <w:lang w:val="en-US" w:eastAsia="zh-CN"/>
                    </w:rPr>
                    <w:t>Y</w:t>
                  </w:r>
                </w:p>
              </w:tc>
              <w:tc>
                <w:tcPr>
                  <w:tcW w:w="421" w:type="pct"/>
                  <w:vMerge w:val="continue"/>
                  <w:vAlign w:val="center"/>
                </w:tcPr>
                <w:p w14:paraId="21FD4D3A">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仿宋" w:cs="Times New Roman"/>
                      <w:b/>
                      <w:bCs/>
                      <w:color w:val="auto"/>
                      <w:sz w:val="21"/>
                      <w:szCs w:val="21"/>
                      <w:highlight w:val="none"/>
                      <w:lang w:val="en-US" w:eastAsia="zh-CN"/>
                    </w:rPr>
                  </w:pPr>
                </w:p>
              </w:tc>
              <w:tc>
                <w:tcPr>
                  <w:tcW w:w="446" w:type="pct"/>
                  <w:vMerge w:val="continue"/>
                  <w:vAlign w:val="center"/>
                </w:tcPr>
                <w:p w14:paraId="6BA579B9">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仿宋" w:cs="Times New Roman"/>
                      <w:b/>
                      <w:bCs/>
                      <w:color w:val="auto"/>
                      <w:sz w:val="21"/>
                      <w:szCs w:val="21"/>
                      <w:highlight w:val="none"/>
                      <w:lang w:val="en-US" w:eastAsia="zh-CN"/>
                    </w:rPr>
                  </w:pPr>
                </w:p>
              </w:tc>
              <w:tc>
                <w:tcPr>
                  <w:tcW w:w="429" w:type="pct"/>
                  <w:vMerge w:val="continue"/>
                  <w:vAlign w:val="center"/>
                </w:tcPr>
                <w:p w14:paraId="3CFDE1F8">
                  <w:pPr>
                    <w:pStyle w:val="30"/>
                    <w:keepNext w:val="0"/>
                    <w:keepLines w:val="0"/>
                    <w:pageBreakBefore w:val="0"/>
                    <w:kinsoku/>
                    <w:wordWrap/>
                    <w:overflowPunct/>
                    <w:topLinePunct w:val="0"/>
                    <w:bidi w:val="0"/>
                    <w:adjustRightInd w:val="0"/>
                    <w:snapToGrid/>
                    <w:spacing w:line="360" w:lineRule="auto"/>
                    <w:jc w:val="center"/>
                    <w:textAlignment w:val="auto"/>
                    <w:rPr>
                      <w:rFonts w:hint="default" w:ascii="Times New Roman" w:hAnsi="Times New Roman" w:eastAsia="仿宋" w:cs="Times New Roman"/>
                      <w:color w:val="auto"/>
                      <w:sz w:val="21"/>
                      <w:szCs w:val="21"/>
                      <w:highlight w:val="none"/>
                    </w:rPr>
                  </w:pPr>
                </w:p>
              </w:tc>
              <w:tc>
                <w:tcPr>
                  <w:tcW w:w="1255" w:type="pct"/>
                  <w:vMerge w:val="continue"/>
                  <w:vAlign w:val="center"/>
                </w:tcPr>
                <w:p w14:paraId="1904DC54">
                  <w:pPr>
                    <w:pStyle w:val="30"/>
                    <w:keepNext w:val="0"/>
                    <w:keepLines w:val="0"/>
                    <w:pageBreakBefore w:val="0"/>
                    <w:kinsoku/>
                    <w:wordWrap/>
                    <w:overflowPunct/>
                    <w:topLinePunct w:val="0"/>
                    <w:bidi w:val="0"/>
                    <w:adjustRightInd w:val="0"/>
                    <w:snapToGrid/>
                    <w:spacing w:line="360" w:lineRule="auto"/>
                    <w:jc w:val="center"/>
                    <w:textAlignment w:val="auto"/>
                    <w:rPr>
                      <w:rFonts w:hint="default" w:ascii="Times New Roman" w:hAnsi="Times New Roman" w:eastAsia="仿宋" w:cs="Times New Roman"/>
                      <w:color w:val="auto"/>
                      <w:sz w:val="21"/>
                      <w:szCs w:val="21"/>
                      <w:highlight w:val="none"/>
                    </w:rPr>
                  </w:pPr>
                </w:p>
              </w:tc>
              <w:tc>
                <w:tcPr>
                  <w:tcW w:w="502" w:type="pct"/>
                  <w:vMerge w:val="continue"/>
                  <w:vAlign w:val="center"/>
                </w:tcPr>
                <w:p w14:paraId="15D0633F">
                  <w:pPr>
                    <w:pStyle w:val="30"/>
                    <w:keepNext w:val="0"/>
                    <w:keepLines w:val="0"/>
                    <w:pageBreakBefore w:val="0"/>
                    <w:kinsoku/>
                    <w:wordWrap/>
                    <w:overflowPunct/>
                    <w:topLinePunct w:val="0"/>
                    <w:bidi w:val="0"/>
                    <w:adjustRightInd w:val="0"/>
                    <w:snapToGrid/>
                    <w:spacing w:line="360" w:lineRule="auto"/>
                    <w:jc w:val="center"/>
                    <w:textAlignment w:val="auto"/>
                    <w:rPr>
                      <w:rFonts w:hint="default" w:ascii="Times New Roman" w:hAnsi="Times New Roman" w:eastAsia="仿宋" w:cs="Times New Roman"/>
                      <w:color w:val="auto"/>
                      <w:sz w:val="21"/>
                      <w:szCs w:val="21"/>
                      <w:highlight w:val="none"/>
                    </w:rPr>
                  </w:pPr>
                </w:p>
              </w:tc>
            </w:tr>
            <w:tr w14:paraId="131C0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4" w:hRule="atLeast"/>
                <w:jc w:val="center"/>
              </w:trPr>
              <w:tc>
                <w:tcPr>
                  <w:tcW w:w="399" w:type="pct"/>
                  <w:vMerge w:val="continue"/>
                  <w:vAlign w:val="center"/>
                </w:tcPr>
                <w:p w14:paraId="4E7B93F1">
                  <w:pPr>
                    <w:pStyle w:val="30"/>
                    <w:keepNext w:val="0"/>
                    <w:keepLines w:val="0"/>
                    <w:pageBreakBefore w:val="0"/>
                    <w:widowControl w:val="0"/>
                    <w:kinsoku w:val="0"/>
                    <w:wordWrap/>
                    <w:overflowPunct w:val="0"/>
                    <w:topLinePunct w:val="0"/>
                    <w:autoSpaceDE w:val="0"/>
                    <w:autoSpaceDN w:val="0"/>
                    <w:bidi w:val="0"/>
                    <w:adjustRightInd w:val="0"/>
                    <w:snapToGrid w:val="0"/>
                    <w:spacing w:line="360" w:lineRule="auto"/>
                    <w:jc w:val="center"/>
                    <w:textAlignment w:val="auto"/>
                    <w:rPr>
                      <w:rFonts w:hint="default" w:ascii="Times New Roman" w:hAnsi="Times New Roman" w:eastAsia="仿宋" w:cs="Times New Roman"/>
                      <w:color w:val="auto"/>
                      <w:sz w:val="21"/>
                      <w:szCs w:val="21"/>
                      <w:highlight w:val="none"/>
                      <w:lang w:val="en-US" w:eastAsia="zh-CN"/>
                    </w:rPr>
                  </w:pPr>
                </w:p>
              </w:tc>
              <w:tc>
                <w:tcPr>
                  <w:tcW w:w="912" w:type="pct"/>
                  <w:vAlign w:val="center"/>
                </w:tcPr>
                <w:p w14:paraId="6FBC73F3">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仿宋" w:cs="Times New Roman"/>
                      <w:color w:val="auto"/>
                      <w:kern w:val="2"/>
                      <w:sz w:val="21"/>
                      <w:szCs w:val="21"/>
                      <w:highlight w:val="none"/>
                      <w:lang w:val="en-US" w:eastAsia="zh-CN" w:bidi="ar-SA"/>
                    </w:rPr>
                  </w:pPr>
                  <w:r>
                    <w:rPr>
                      <w:rFonts w:hint="eastAsia" w:eastAsia="仿宋" w:cs="Times New Roman"/>
                      <w:color w:val="auto"/>
                      <w:sz w:val="21"/>
                      <w:szCs w:val="21"/>
                      <w:highlight w:val="none"/>
                      <w:lang w:val="en-US" w:eastAsia="zh-CN"/>
                    </w:rPr>
                    <w:t>河海大学长荡湖校区</w:t>
                  </w:r>
                </w:p>
              </w:tc>
              <w:tc>
                <w:tcPr>
                  <w:tcW w:w="305" w:type="pct"/>
                  <w:vAlign w:val="center"/>
                </w:tcPr>
                <w:p w14:paraId="13A12586">
                  <w:pPr>
                    <w:pStyle w:val="30"/>
                    <w:keepNext w:val="0"/>
                    <w:keepLines w:val="0"/>
                    <w:pageBreakBefore w:val="0"/>
                    <w:kinsoku/>
                    <w:wordWrap/>
                    <w:overflowPunct/>
                    <w:topLinePunct w:val="0"/>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0</w:t>
                  </w:r>
                </w:p>
              </w:tc>
              <w:tc>
                <w:tcPr>
                  <w:tcW w:w="327" w:type="pct"/>
                  <w:vAlign w:val="center"/>
                </w:tcPr>
                <w:p w14:paraId="28355F5D">
                  <w:pPr>
                    <w:pStyle w:val="30"/>
                    <w:keepNext w:val="0"/>
                    <w:keepLines w:val="0"/>
                    <w:pageBreakBefore w:val="0"/>
                    <w:kinsoku/>
                    <w:wordWrap/>
                    <w:overflowPunct/>
                    <w:topLinePunct w:val="0"/>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200</w:t>
                  </w:r>
                </w:p>
              </w:tc>
              <w:tc>
                <w:tcPr>
                  <w:tcW w:w="421" w:type="pct"/>
                  <w:vAlign w:val="center"/>
                </w:tcPr>
                <w:p w14:paraId="36D76CEF">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仿宋" w:cs="Times New Roman"/>
                      <w:color w:val="auto"/>
                      <w:sz w:val="21"/>
                      <w:szCs w:val="21"/>
                      <w:highlight w:val="none"/>
                      <w:lang w:val="en-US" w:eastAsia="zh-CN"/>
                    </w:rPr>
                  </w:pPr>
                  <w:r>
                    <w:rPr>
                      <w:rFonts w:hint="eastAsia" w:eastAsia="仿宋" w:cs="Times New Roman"/>
                      <w:color w:val="auto"/>
                      <w:kern w:val="2"/>
                      <w:sz w:val="21"/>
                      <w:szCs w:val="21"/>
                      <w:highlight w:val="none"/>
                      <w:lang w:val="en-US" w:eastAsia="zh-CN" w:bidi="ar-SA"/>
                    </w:rPr>
                    <w:t>N</w:t>
                  </w:r>
                </w:p>
              </w:tc>
              <w:tc>
                <w:tcPr>
                  <w:tcW w:w="446" w:type="pct"/>
                  <w:vAlign w:val="center"/>
                </w:tcPr>
                <w:p w14:paraId="6EBA12EB">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eastAsia="仿宋" w:cs="Times New Roman"/>
                      <w:color w:val="auto"/>
                      <w:kern w:val="2"/>
                      <w:sz w:val="21"/>
                      <w:szCs w:val="21"/>
                      <w:highlight w:val="none"/>
                      <w:lang w:val="en-US" w:eastAsia="zh-CN" w:bidi="ar-SA"/>
                    </w:rPr>
                  </w:pPr>
                  <w:r>
                    <w:rPr>
                      <w:rFonts w:hint="eastAsia" w:eastAsia="仿宋" w:cs="Times New Roman"/>
                      <w:color w:val="auto"/>
                      <w:kern w:val="2"/>
                      <w:sz w:val="21"/>
                      <w:szCs w:val="21"/>
                      <w:highlight w:val="none"/>
                      <w:lang w:val="en-US" w:eastAsia="zh-CN" w:bidi="ar-SA"/>
                    </w:rPr>
                    <w:t>200</w:t>
                  </w:r>
                </w:p>
              </w:tc>
              <w:tc>
                <w:tcPr>
                  <w:tcW w:w="429" w:type="pct"/>
                  <w:vAlign w:val="center"/>
                </w:tcPr>
                <w:p w14:paraId="6F0FCE73">
                  <w:pPr>
                    <w:pStyle w:val="30"/>
                    <w:keepNext w:val="0"/>
                    <w:keepLines w:val="0"/>
                    <w:pageBreakBefore w:val="0"/>
                    <w:kinsoku/>
                    <w:wordWrap/>
                    <w:overflowPunct/>
                    <w:topLinePunct w:val="0"/>
                    <w:bidi w:val="0"/>
                    <w:adjustRightInd w:val="0"/>
                    <w:snapToGrid/>
                    <w:spacing w:line="240" w:lineRule="auto"/>
                    <w:jc w:val="center"/>
                    <w:textAlignment w:val="auto"/>
                    <w:rPr>
                      <w:rFonts w:hint="default" w:ascii="Times New Roman" w:hAnsi="Times New Roman" w:eastAsia="仿宋" w:cs="Times New Roman"/>
                      <w:color w:val="auto"/>
                      <w:sz w:val="21"/>
                      <w:szCs w:val="21"/>
                      <w:highlight w:val="none"/>
                      <w:lang w:val="en-US" w:eastAsia="zh-CN" w:bidi="ar-SA"/>
                    </w:rPr>
                  </w:pPr>
                  <w:r>
                    <w:rPr>
                      <w:rFonts w:hint="eastAsia" w:ascii="Times New Roman" w:hAnsi="Times New Roman" w:eastAsia="仿宋" w:cs="Times New Roman"/>
                      <w:color w:val="auto"/>
                      <w:sz w:val="21"/>
                      <w:szCs w:val="21"/>
                      <w:highlight w:val="none"/>
                      <w:lang w:val="en-US" w:eastAsia="zh-CN" w:bidi="ar-SA"/>
                    </w:rPr>
                    <w:t>学校</w:t>
                  </w:r>
                </w:p>
              </w:tc>
              <w:tc>
                <w:tcPr>
                  <w:tcW w:w="1255" w:type="pct"/>
                  <w:vMerge w:val="continue"/>
                  <w:vAlign w:val="center"/>
                </w:tcPr>
                <w:p w14:paraId="3D678782">
                  <w:pPr>
                    <w:pStyle w:val="30"/>
                    <w:keepNext w:val="0"/>
                    <w:keepLines w:val="0"/>
                    <w:pageBreakBefore w:val="0"/>
                    <w:kinsoku/>
                    <w:wordWrap/>
                    <w:overflowPunct/>
                    <w:topLinePunct w:val="0"/>
                    <w:bidi w:val="0"/>
                    <w:adjustRightInd w:val="0"/>
                    <w:snapToGrid/>
                    <w:spacing w:line="240" w:lineRule="auto"/>
                    <w:jc w:val="center"/>
                    <w:textAlignment w:val="auto"/>
                    <w:rPr>
                      <w:rFonts w:hint="eastAsia" w:ascii="Times New Roman" w:hAnsi="Times New Roman" w:eastAsia="仿宋" w:cs="Times New Roman"/>
                      <w:color w:val="auto"/>
                      <w:sz w:val="21"/>
                      <w:szCs w:val="21"/>
                      <w:highlight w:val="none"/>
                      <w:lang w:val="en-US" w:eastAsia="zh-CN" w:bidi="ar-SA"/>
                    </w:rPr>
                  </w:pPr>
                </w:p>
              </w:tc>
              <w:tc>
                <w:tcPr>
                  <w:tcW w:w="502" w:type="pct"/>
                  <w:vAlign w:val="center"/>
                </w:tcPr>
                <w:p w14:paraId="02F5B7F0">
                  <w:pPr>
                    <w:keepNext w:val="0"/>
                    <w:keepLines w:val="0"/>
                    <w:pageBreakBefore w:val="0"/>
                    <w:widowControl/>
                    <w:kinsoku/>
                    <w:wordWrap/>
                    <w:overflowPunct/>
                    <w:topLinePunct w:val="0"/>
                    <w:bidi w:val="0"/>
                    <w:adjustRightInd w:val="0"/>
                    <w:snapToGrid/>
                    <w:spacing w:line="240" w:lineRule="auto"/>
                    <w:ind w:firstLine="0" w:firstLineChars="0"/>
                    <w:jc w:val="center"/>
                    <w:textAlignment w:val="auto"/>
                    <w:rPr>
                      <w:rFonts w:hint="default" w:ascii="Times New Roman" w:hAnsi="Times New Roman" w:eastAsia="仿宋" w:cs="Times New Roman"/>
                      <w:color w:val="auto"/>
                      <w:kern w:val="2"/>
                      <w:sz w:val="21"/>
                      <w:szCs w:val="21"/>
                      <w:highlight w:val="none"/>
                      <w:lang w:val="en-US" w:eastAsia="zh-CN" w:bidi="ar-SA"/>
                    </w:rPr>
                  </w:pPr>
                  <w:r>
                    <w:rPr>
                      <w:rFonts w:hint="eastAsia" w:eastAsia="仿宋" w:cs="Times New Roman"/>
                      <w:color w:val="auto"/>
                      <w:kern w:val="2"/>
                      <w:sz w:val="21"/>
                      <w:szCs w:val="21"/>
                      <w:highlight w:val="none"/>
                      <w:lang w:val="en-US" w:eastAsia="zh-CN" w:bidi="ar-SA"/>
                    </w:rPr>
                    <w:t>22000</w:t>
                  </w:r>
                </w:p>
              </w:tc>
            </w:tr>
          </w:tbl>
          <w:p w14:paraId="261919F4">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0" w:firstLineChars="0"/>
              <w:textAlignment w:val="auto"/>
              <w:rPr>
                <w:rFonts w:hint="default" w:eastAsia="仿宋"/>
                <w:b/>
                <w:bCs/>
                <w:color w:val="auto"/>
                <w:kern w:val="0"/>
                <w:sz w:val="21"/>
                <w:szCs w:val="21"/>
                <w:highlight w:val="none"/>
                <w:lang w:val="en-US" w:eastAsia="zh-CN"/>
              </w:rPr>
            </w:pPr>
            <w:r>
              <w:rPr>
                <w:rFonts w:hint="eastAsia" w:eastAsia="仿宋"/>
                <w:b/>
                <w:bCs/>
                <w:color w:val="auto"/>
                <w:kern w:val="0"/>
                <w:sz w:val="21"/>
                <w:szCs w:val="21"/>
                <w:highlight w:val="none"/>
                <w:lang w:val="en-US" w:eastAsia="zh-CN"/>
              </w:rPr>
              <w:t>*由于本项目保护目标均靠近工程区东部，故以最东侧桥墩位置（119.576944673°N，31.670385618°E）作为坐标原点。</w:t>
            </w:r>
          </w:p>
          <w:p w14:paraId="239DCF8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2、声环境保护目标</w:t>
            </w:r>
          </w:p>
          <w:p w14:paraId="00CD96DA">
            <w:pPr>
              <w:keepNext w:val="0"/>
              <w:keepLines w:val="0"/>
              <w:suppressLineNumbers w:val="0"/>
              <w:spacing w:before="0" w:beforeAutospacing="0" w:after="0" w:afterAutospacing="0" w:line="240" w:lineRule="auto"/>
              <w:ind w:left="0" w:leftChars="0" w:right="0" w:firstLine="480" w:firstLineChars="200"/>
              <w:jc w:val="both"/>
              <w:rPr>
                <w:rFonts w:hint="default" w:eastAsia="宋体" w:cs="Times New Roman"/>
                <w:b/>
                <w:bCs/>
                <w:color w:val="auto"/>
                <w:highlight w:val="none"/>
              </w:rPr>
            </w:pPr>
            <w:r>
              <w:rPr>
                <w:rFonts w:hint="eastAsia" w:ascii="Times New Roman" w:hAnsi="Times New Roman" w:eastAsia="仿宋"/>
                <w:color w:val="auto"/>
                <w:kern w:val="0"/>
                <w:sz w:val="24"/>
                <w:highlight w:val="none"/>
                <w:lang w:val="en-US" w:eastAsia="zh-CN"/>
              </w:rPr>
              <w:t>本项目50米范围内</w:t>
            </w:r>
            <w:r>
              <w:rPr>
                <w:rFonts w:hint="eastAsia" w:eastAsia="仿宋"/>
                <w:color w:val="auto"/>
                <w:kern w:val="0"/>
                <w:sz w:val="24"/>
                <w:highlight w:val="none"/>
                <w:lang w:val="en-US" w:eastAsia="zh-CN"/>
              </w:rPr>
              <w:t>无</w:t>
            </w:r>
            <w:r>
              <w:rPr>
                <w:rFonts w:hint="eastAsia" w:ascii="Times New Roman" w:hAnsi="Times New Roman" w:eastAsia="仿宋"/>
                <w:color w:val="auto"/>
                <w:kern w:val="0"/>
                <w:sz w:val="24"/>
                <w:highlight w:val="none"/>
                <w:lang w:val="en-US" w:eastAsia="zh-CN"/>
              </w:rPr>
              <w:t>声环境保护目标</w:t>
            </w:r>
            <w:r>
              <w:rPr>
                <w:rFonts w:hint="eastAsia" w:eastAsia="仿宋"/>
                <w:color w:val="auto"/>
                <w:kern w:val="0"/>
                <w:sz w:val="24"/>
                <w:highlight w:val="none"/>
                <w:lang w:val="en-US" w:eastAsia="zh-CN"/>
              </w:rPr>
              <w:t>。</w:t>
            </w:r>
          </w:p>
          <w:p w14:paraId="700A408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3、地下水环境保护目标</w:t>
            </w:r>
          </w:p>
          <w:p w14:paraId="5099A0B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eastAsia="仿宋"/>
                <w:color w:val="auto"/>
                <w:kern w:val="0"/>
                <w:sz w:val="24"/>
                <w:highlight w:val="none"/>
                <w:lang w:val="en-US" w:eastAsia="zh-CN"/>
              </w:rPr>
            </w:pPr>
            <w:r>
              <w:rPr>
                <w:rFonts w:hint="eastAsia" w:eastAsia="仿宋"/>
                <w:color w:val="auto"/>
                <w:kern w:val="0"/>
                <w:sz w:val="24"/>
                <w:highlight w:val="none"/>
                <w:lang w:val="en-US" w:eastAsia="zh-CN"/>
              </w:rPr>
              <w:t>本项目500米范围内无地下水集中式饮用水水源和热水、矿泉水、温泉等特殊地下水资源。</w:t>
            </w:r>
          </w:p>
          <w:p w14:paraId="12091E8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CN"/>
              </w:rPr>
              <w:t>4、水环境保护目标</w:t>
            </w:r>
          </w:p>
          <w:p w14:paraId="06F18EE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eastAsia="仿宋"/>
                <w:color w:val="auto"/>
                <w:kern w:val="0"/>
                <w:sz w:val="24"/>
                <w:highlight w:val="none"/>
                <w:lang w:val="en-US" w:eastAsia="zh-CN"/>
              </w:rPr>
            </w:pPr>
            <w:r>
              <w:rPr>
                <w:rFonts w:hint="eastAsia" w:eastAsia="仿宋"/>
                <w:color w:val="auto"/>
                <w:kern w:val="0"/>
                <w:sz w:val="24"/>
                <w:highlight w:val="none"/>
                <w:lang w:val="en-US" w:eastAsia="zh-CN"/>
              </w:rPr>
              <w:t>本项目位于长荡湖水厂水源地北西方向2.2km处，属于水源地准保护区。</w:t>
            </w:r>
          </w:p>
          <w:p w14:paraId="3F555AEA">
            <w:pPr>
              <w:keepNext w:val="0"/>
              <w:keepLines w:val="0"/>
              <w:suppressLineNumbers w:val="0"/>
              <w:autoSpaceDE w:val="0"/>
              <w:autoSpaceDN w:val="0"/>
              <w:spacing w:before="0" w:beforeAutospacing="0" w:after="0" w:afterAutospacing="0" w:line="440" w:lineRule="exact"/>
              <w:ind w:left="0" w:leftChars="0" w:right="0" w:firstLine="0" w:firstLineChars="0"/>
              <w:jc w:val="center"/>
              <w:rPr>
                <w:rFonts w:hint="default" w:eastAsia="仿宋"/>
                <w:b/>
                <w:bCs/>
                <w:color w:val="auto"/>
                <w:kern w:val="0"/>
                <w:sz w:val="24"/>
                <w:highlight w:val="none"/>
                <w:lang w:val="en-US" w:eastAsia="zh-CN"/>
              </w:rPr>
            </w:pPr>
            <w:r>
              <w:rPr>
                <w:rFonts w:hint="eastAsia" w:eastAsia="仿宋"/>
                <w:b/>
                <w:bCs/>
                <w:color w:val="auto"/>
                <w:kern w:val="0"/>
                <w:sz w:val="24"/>
                <w:highlight w:val="none"/>
                <w:lang w:val="en-US" w:eastAsia="zh-CN"/>
              </w:rPr>
              <w:t>表3-14 水环境保护目标</w:t>
            </w:r>
          </w:p>
          <w:tbl>
            <w:tblPr>
              <w:tblStyle w:val="2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706"/>
              <w:gridCol w:w="1735"/>
              <w:gridCol w:w="976"/>
              <w:gridCol w:w="1423"/>
              <w:gridCol w:w="1383"/>
              <w:gridCol w:w="2874"/>
            </w:tblGrid>
            <w:tr w14:paraId="36B18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jc w:val="center"/>
              </w:trPr>
              <w:tc>
                <w:tcPr>
                  <w:tcW w:w="388" w:type="pct"/>
                  <w:shd w:val="clear" w:color="auto" w:fill="auto"/>
                  <w:vAlign w:val="center"/>
                </w:tcPr>
                <w:p w14:paraId="2523FE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仿宋" w:cs="Times New Roman"/>
                      <w:b/>
                      <w:bCs/>
                      <w:color w:val="auto"/>
                      <w:kern w:val="2"/>
                      <w:sz w:val="21"/>
                      <w:szCs w:val="21"/>
                      <w:highlight w:val="none"/>
                      <w:lang w:val="en-US" w:eastAsia="zh-CN" w:bidi="ar-SA"/>
                    </w:rPr>
                  </w:pPr>
                  <w:r>
                    <w:rPr>
                      <w:rFonts w:hint="eastAsia" w:eastAsia="仿宋" w:cs="Times New Roman"/>
                      <w:b/>
                      <w:bCs/>
                      <w:color w:val="auto"/>
                      <w:sz w:val="21"/>
                      <w:szCs w:val="21"/>
                      <w:highlight w:val="none"/>
                      <w:lang w:val="en-US" w:eastAsia="zh-CN"/>
                    </w:rPr>
                    <w:t>环境要素</w:t>
                  </w:r>
                </w:p>
              </w:tc>
              <w:tc>
                <w:tcPr>
                  <w:tcW w:w="953" w:type="pct"/>
                  <w:shd w:val="clear" w:color="auto" w:fill="auto"/>
                  <w:vAlign w:val="center"/>
                </w:tcPr>
                <w:p w14:paraId="257150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仿宋" w:cs="Times New Roman"/>
                      <w:b/>
                      <w:bCs/>
                      <w:color w:val="auto"/>
                      <w:kern w:val="2"/>
                      <w:sz w:val="21"/>
                      <w:szCs w:val="21"/>
                      <w:highlight w:val="none"/>
                      <w:lang w:val="en-US" w:eastAsia="zh-CN" w:bidi="ar-SA"/>
                    </w:rPr>
                  </w:pPr>
                  <w:r>
                    <w:rPr>
                      <w:rFonts w:hint="default" w:ascii="Times New Roman" w:hAnsi="Times New Roman" w:eastAsia="仿宋" w:cs="Times New Roman"/>
                      <w:b/>
                      <w:bCs/>
                      <w:color w:val="auto"/>
                      <w:kern w:val="0"/>
                      <w:sz w:val="21"/>
                      <w:szCs w:val="21"/>
                      <w:highlight w:val="none"/>
                      <w:lang w:bidi="ar"/>
                    </w:rPr>
                    <w:t>保护对象名称</w:t>
                  </w:r>
                </w:p>
              </w:tc>
              <w:tc>
                <w:tcPr>
                  <w:tcW w:w="536" w:type="pct"/>
                  <w:shd w:val="clear" w:color="auto" w:fill="auto"/>
                  <w:vAlign w:val="center"/>
                </w:tcPr>
                <w:p w14:paraId="630AC5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仿宋" w:cs="Times New Roman"/>
                      <w:b/>
                      <w:bCs/>
                      <w:color w:val="auto"/>
                      <w:kern w:val="2"/>
                      <w:sz w:val="21"/>
                      <w:szCs w:val="21"/>
                      <w:highlight w:val="none"/>
                      <w:lang w:val="en-US" w:eastAsia="zh-CN" w:bidi="ar-SA"/>
                    </w:rPr>
                  </w:pPr>
                  <w:r>
                    <w:rPr>
                      <w:rFonts w:hint="eastAsia" w:eastAsia="仿宋" w:cs="Times New Roman"/>
                      <w:b/>
                      <w:bCs/>
                      <w:color w:val="auto"/>
                      <w:sz w:val="21"/>
                      <w:szCs w:val="21"/>
                      <w:highlight w:val="none"/>
                      <w:lang w:val="en-US" w:eastAsia="zh-CN"/>
                    </w:rPr>
                    <w:t>方位</w:t>
                  </w:r>
                </w:p>
              </w:tc>
              <w:tc>
                <w:tcPr>
                  <w:tcW w:w="782" w:type="pct"/>
                  <w:shd w:val="clear" w:color="auto" w:fill="auto"/>
                  <w:vAlign w:val="center"/>
                </w:tcPr>
                <w:p w14:paraId="1FB2D56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仿宋" w:cs="Times New Roman"/>
                      <w:b/>
                      <w:bCs/>
                      <w:color w:val="auto"/>
                      <w:kern w:val="2"/>
                      <w:sz w:val="21"/>
                      <w:szCs w:val="21"/>
                      <w:highlight w:val="none"/>
                      <w:lang w:val="en-US" w:eastAsia="zh-CN" w:bidi="ar-SA"/>
                    </w:rPr>
                  </w:pPr>
                  <w:r>
                    <w:rPr>
                      <w:rFonts w:hint="eastAsia" w:eastAsia="仿宋" w:cs="Times New Roman"/>
                      <w:b/>
                      <w:bCs/>
                      <w:color w:val="auto"/>
                      <w:kern w:val="0"/>
                      <w:sz w:val="21"/>
                      <w:szCs w:val="21"/>
                      <w:highlight w:val="none"/>
                      <w:lang w:val="en-US" w:eastAsia="zh-CN" w:bidi="ar"/>
                    </w:rPr>
                    <w:t>距项目最近距离（m）</w:t>
                  </w:r>
                </w:p>
              </w:tc>
              <w:tc>
                <w:tcPr>
                  <w:tcW w:w="760" w:type="pct"/>
                  <w:shd w:val="clear" w:color="auto" w:fill="auto"/>
                  <w:vAlign w:val="center"/>
                </w:tcPr>
                <w:p w14:paraId="69F77D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仿宋" w:cs="Times New Roman"/>
                      <w:b/>
                      <w:bCs/>
                      <w:color w:val="auto"/>
                      <w:kern w:val="2"/>
                      <w:sz w:val="21"/>
                      <w:szCs w:val="21"/>
                      <w:highlight w:val="none"/>
                      <w:lang w:val="en-US" w:eastAsia="zh-CN" w:bidi="ar-SA"/>
                    </w:rPr>
                  </w:pPr>
                  <w:r>
                    <w:rPr>
                      <w:rFonts w:hint="default" w:ascii="Times New Roman" w:hAnsi="Times New Roman" w:eastAsia="仿宋" w:cs="Times New Roman"/>
                      <w:b/>
                      <w:bCs/>
                      <w:color w:val="auto"/>
                      <w:kern w:val="0"/>
                      <w:sz w:val="21"/>
                      <w:szCs w:val="21"/>
                      <w:highlight w:val="none"/>
                      <w:lang w:bidi="ar"/>
                    </w:rPr>
                    <w:t>规模</w:t>
                  </w:r>
                  <w:r>
                    <w:rPr>
                      <w:rFonts w:hint="eastAsia" w:eastAsia="仿宋" w:cs="Times New Roman"/>
                      <w:b/>
                      <w:bCs/>
                      <w:color w:val="auto"/>
                      <w:kern w:val="0"/>
                      <w:sz w:val="21"/>
                      <w:szCs w:val="21"/>
                      <w:highlight w:val="none"/>
                      <w:lang w:eastAsia="zh-CN" w:bidi="ar"/>
                    </w:rPr>
                    <w:t>（</w:t>
                  </w:r>
                  <w:r>
                    <w:rPr>
                      <w:rFonts w:hint="eastAsia" w:eastAsia="仿宋" w:cs="Times New Roman"/>
                      <w:b/>
                      <w:bCs/>
                      <w:color w:val="auto"/>
                      <w:kern w:val="0"/>
                      <w:sz w:val="21"/>
                      <w:szCs w:val="21"/>
                      <w:highlight w:val="none"/>
                      <w:lang w:val="en-US" w:eastAsia="zh-CN" w:bidi="ar"/>
                    </w:rPr>
                    <w:t>km</w:t>
                  </w:r>
                  <w:r>
                    <w:rPr>
                      <w:rFonts w:hint="eastAsia" w:eastAsia="仿宋" w:cs="Times New Roman"/>
                      <w:b/>
                      <w:bCs/>
                      <w:color w:val="auto"/>
                      <w:kern w:val="0"/>
                      <w:sz w:val="21"/>
                      <w:szCs w:val="21"/>
                      <w:highlight w:val="none"/>
                      <w:vertAlign w:val="superscript"/>
                      <w:lang w:val="en-US" w:eastAsia="zh-CN" w:bidi="ar"/>
                    </w:rPr>
                    <w:t>2</w:t>
                  </w:r>
                  <w:r>
                    <w:rPr>
                      <w:rFonts w:hint="eastAsia" w:eastAsia="仿宋" w:cs="Times New Roman"/>
                      <w:b/>
                      <w:bCs/>
                      <w:color w:val="auto"/>
                      <w:kern w:val="0"/>
                      <w:sz w:val="21"/>
                      <w:szCs w:val="21"/>
                      <w:highlight w:val="none"/>
                      <w:lang w:eastAsia="zh-CN" w:bidi="ar"/>
                    </w:rPr>
                    <w:t>）</w:t>
                  </w:r>
                </w:p>
              </w:tc>
              <w:tc>
                <w:tcPr>
                  <w:tcW w:w="1579" w:type="pct"/>
                  <w:shd w:val="clear" w:color="auto" w:fill="auto"/>
                  <w:vAlign w:val="center"/>
                </w:tcPr>
                <w:p w14:paraId="03E9F7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仿宋" w:cs="Times New Roman"/>
                      <w:b/>
                      <w:bCs/>
                      <w:color w:val="auto"/>
                      <w:kern w:val="0"/>
                      <w:sz w:val="21"/>
                      <w:szCs w:val="21"/>
                      <w:highlight w:val="none"/>
                      <w:lang w:val="en-US" w:eastAsia="zh-CN" w:bidi="ar"/>
                    </w:rPr>
                  </w:pPr>
                  <w:r>
                    <w:rPr>
                      <w:rFonts w:hint="eastAsia" w:eastAsia="仿宋" w:cs="Times New Roman"/>
                      <w:b/>
                      <w:bCs/>
                      <w:color w:val="auto"/>
                      <w:kern w:val="0"/>
                      <w:sz w:val="21"/>
                      <w:szCs w:val="21"/>
                      <w:highlight w:val="none"/>
                      <w:lang w:val="en-US" w:eastAsia="zh-CN" w:bidi="ar"/>
                    </w:rPr>
                    <w:t>环境功能</w:t>
                  </w:r>
                </w:p>
              </w:tc>
            </w:tr>
            <w:tr w14:paraId="604F6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71" w:hRule="atLeast"/>
                <w:jc w:val="center"/>
              </w:trPr>
              <w:tc>
                <w:tcPr>
                  <w:tcW w:w="388" w:type="pct"/>
                  <w:vMerge w:val="restart"/>
                  <w:vAlign w:val="center"/>
                </w:tcPr>
                <w:p w14:paraId="147F86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eastAsia="仿宋" w:cs="Times New Roman"/>
                      <w:b/>
                      <w:bCs/>
                      <w:color w:val="auto"/>
                      <w:kern w:val="0"/>
                      <w:sz w:val="21"/>
                      <w:szCs w:val="21"/>
                      <w:highlight w:val="none"/>
                      <w:lang w:val="en-US" w:eastAsia="zh-CN" w:bidi="ar"/>
                    </w:rPr>
                  </w:pPr>
                  <w:r>
                    <w:rPr>
                      <w:rFonts w:hint="eastAsia" w:eastAsia="仿宋" w:cs="Times New Roman"/>
                      <w:b w:val="0"/>
                      <w:bCs w:val="0"/>
                      <w:color w:val="auto"/>
                      <w:kern w:val="0"/>
                      <w:sz w:val="21"/>
                      <w:szCs w:val="21"/>
                      <w:highlight w:val="none"/>
                      <w:lang w:val="en-US" w:eastAsia="zh-CN" w:bidi="ar"/>
                    </w:rPr>
                    <w:t>水环境</w:t>
                  </w:r>
                </w:p>
              </w:tc>
              <w:tc>
                <w:tcPr>
                  <w:tcW w:w="953" w:type="pct"/>
                  <w:vAlign w:val="center"/>
                </w:tcPr>
                <w:p w14:paraId="3F9C7F82">
                  <w:pPr>
                    <w:pStyle w:val="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color w:val="auto"/>
                      <w:kern w:val="2"/>
                      <w:sz w:val="21"/>
                      <w:szCs w:val="21"/>
                      <w:lang w:val="en-US" w:eastAsia="zh-CN" w:bidi="ar-SA"/>
                    </w:rPr>
                  </w:pPr>
                  <w:r>
                    <w:rPr>
                      <w:rFonts w:hint="eastAsia" w:ascii="Times New Roman" w:hAnsi="Times New Roman" w:eastAsia="仿宋" w:cs="Times New Roman"/>
                      <w:color w:val="auto"/>
                      <w:kern w:val="2"/>
                      <w:sz w:val="21"/>
                      <w:szCs w:val="21"/>
                      <w:lang w:val="en-US" w:eastAsia="zh-CN" w:bidi="ar-SA"/>
                    </w:rPr>
                    <w:t>长荡湖</w:t>
                  </w:r>
                </w:p>
              </w:tc>
              <w:tc>
                <w:tcPr>
                  <w:tcW w:w="536" w:type="pct"/>
                  <w:vAlign w:val="center"/>
                </w:tcPr>
                <w:p w14:paraId="04BEEB93">
                  <w:pPr>
                    <w:pStyle w:val="7"/>
                    <w:keepNext w:val="0"/>
                    <w:keepLines w:val="0"/>
                    <w:pageBreakBefore w:val="0"/>
                    <w:widowControl/>
                    <w:kinsoku/>
                    <w:wordWrap/>
                    <w:overflowPunct/>
                    <w:topLinePunct w:val="0"/>
                    <w:autoSpaceDE/>
                    <w:autoSpaceDN/>
                    <w:bidi w:val="0"/>
                    <w:adjustRightInd/>
                    <w:snapToGrid/>
                    <w:ind w:firstLine="0" w:firstLineChars="0"/>
                    <w:textAlignment w:val="auto"/>
                    <w:outlineLvl w:val="9"/>
                    <w:rPr>
                      <w:rFonts w:hint="default" w:ascii="Times New Roman" w:hAnsi="Times New Roman" w:eastAsia="仿宋" w:cs="Times New Roman"/>
                      <w:color w:val="auto"/>
                      <w:kern w:val="2"/>
                      <w:sz w:val="21"/>
                      <w:szCs w:val="21"/>
                      <w:lang w:val="en-US" w:eastAsia="zh-CN" w:bidi="ar-SA"/>
                    </w:rPr>
                  </w:pPr>
                  <w:r>
                    <w:rPr>
                      <w:rFonts w:hint="eastAsia" w:eastAsia="仿宋" w:cs="Times New Roman"/>
                      <w:color w:val="auto"/>
                      <w:kern w:val="2"/>
                      <w:sz w:val="21"/>
                      <w:szCs w:val="21"/>
                      <w:lang w:val="en-US" w:eastAsia="zh-CN" w:bidi="ar-SA"/>
                    </w:rPr>
                    <w:t>横跨</w:t>
                  </w:r>
                </w:p>
              </w:tc>
              <w:tc>
                <w:tcPr>
                  <w:tcW w:w="782" w:type="pct"/>
                  <w:vAlign w:val="center"/>
                </w:tcPr>
                <w:p w14:paraId="60804282">
                  <w:pPr>
                    <w:pStyle w:val="7"/>
                    <w:keepNext w:val="0"/>
                    <w:keepLines w:val="0"/>
                    <w:pageBreakBefore w:val="0"/>
                    <w:widowControl/>
                    <w:kinsoku/>
                    <w:wordWrap/>
                    <w:overflowPunct/>
                    <w:topLinePunct w:val="0"/>
                    <w:autoSpaceDE/>
                    <w:autoSpaceDN/>
                    <w:bidi w:val="0"/>
                    <w:adjustRightInd/>
                    <w:snapToGrid/>
                    <w:ind w:firstLine="0" w:firstLineChars="0"/>
                    <w:textAlignment w:val="auto"/>
                    <w:outlineLvl w:val="9"/>
                    <w:rPr>
                      <w:rFonts w:hint="default" w:ascii="Times New Roman" w:hAnsi="Times New Roman" w:eastAsia="仿宋" w:cs="Times New Roman"/>
                      <w:color w:val="auto"/>
                      <w:kern w:val="2"/>
                      <w:sz w:val="21"/>
                      <w:szCs w:val="21"/>
                      <w:lang w:val="en-US" w:eastAsia="zh-CN" w:bidi="ar-SA"/>
                    </w:rPr>
                  </w:pPr>
                  <w:r>
                    <w:rPr>
                      <w:rFonts w:hint="eastAsia" w:eastAsia="仿宋" w:cs="Times New Roman"/>
                      <w:color w:val="auto"/>
                      <w:sz w:val="21"/>
                      <w:szCs w:val="21"/>
                      <w:lang w:val="en-US" w:eastAsia="zh-CN"/>
                    </w:rPr>
                    <w:t>/</w:t>
                  </w:r>
                </w:p>
              </w:tc>
              <w:tc>
                <w:tcPr>
                  <w:tcW w:w="760" w:type="pct"/>
                  <w:vAlign w:val="center"/>
                </w:tcPr>
                <w:p w14:paraId="3AE8F42E">
                  <w:pPr>
                    <w:pStyle w:val="7"/>
                    <w:keepNext w:val="0"/>
                    <w:keepLines w:val="0"/>
                    <w:pageBreakBefore w:val="0"/>
                    <w:widowControl/>
                    <w:kinsoku/>
                    <w:wordWrap/>
                    <w:overflowPunct/>
                    <w:topLinePunct w:val="0"/>
                    <w:autoSpaceDE/>
                    <w:autoSpaceDN/>
                    <w:bidi w:val="0"/>
                    <w:adjustRightInd/>
                    <w:snapToGrid/>
                    <w:ind w:firstLine="0" w:firstLineChars="0"/>
                    <w:textAlignment w:val="auto"/>
                    <w:outlineLvl w:val="9"/>
                    <w:rPr>
                      <w:rFonts w:hint="default" w:ascii="Times New Roman" w:hAnsi="Times New Roman" w:eastAsia="仿宋" w:cs="Times New Roman"/>
                      <w:color w:val="auto"/>
                      <w:kern w:val="2"/>
                      <w:sz w:val="21"/>
                      <w:szCs w:val="21"/>
                      <w:lang w:val="en-US" w:eastAsia="zh-CN" w:bidi="ar-SA"/>
                    </w:rPr>
                  </w:pPr>
                  <w:r>
                    <w:rPr>
                      <w:rFonts w:hint="eastAsia" w:eastAsia="仿宋" w:cs="Times New Roman"/>
                      <w:color w:val="auto"/>
                      <w:kern w:val="2"/>
                      <w:sz w:val="21"/>
                      <w:szCs w:val="21"/>
                      <w:lang w:val="en-US" w:eastAsia="zh-CN" w:bidi="ar-SA"/>
                    </w:rPr>
                    <w:t>85</w:t>
                  </w:r>
                </w:p>
              </w:tc>
              <w:tc>
                <w:tcPr>
                  <w:tcW w:w="1579" w:type="pct"/>
                  <w:vMerge w:val="restart"/>
                  <w:vAlign w:val="center"/>
                </w:tcPr>
                <w:p w14:paraId="619647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仿宋" w:cs="Times New Roman"/>
                      <w:color w:val="auto"/>
                      <w:kern w:val="0"/>
                      <w:sz w:val="21"/>
                      <w:szCs w:val="21"/>
                      <w:highlight w:val="none"/>
                      <w:lang w:val="en-US" w:eastAsia="zh-CN" w:bidi="ar"/>
                    </w:rPr>
                  </w:pPr>
                  <w:r>
                    <w:rPr>
                      <w:rFonts w:hint="default" w:ascii="Times New Roman" w:hAnsi="Times New Roman" w:eastAsia="仿宋" w:cs="Times New Roman"/>
                      <w:color w:val="auto"/>
                      <w:kern w:val="0"/>
                      <w:sz w:val="21"/>
                      <w:szCs w:val="21"/>
                      <w:highlight w:val="none"/>
                      <w:lang w:val="en-US" w:eastAsia="zh-CN" w:bidi="ar"/>
                    </w:rPr>
                    <w:t>《地表水环境质量标准》（GB3838-2002）Ⅲ类水质</w:t>
                  </w:r>
                </w:p>
              </w:tc>
            </w:tr>
            <w:tr w14:paraId="00DB8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71" w:hRule="atLeast"/>
                <w:jc w:val="center"/>
              </w:trPr>
              <w:tc>
                <w:tcPr>
                  <w:tcW w:w="388" w:type="pct"/>
                  <w:vMerge w:val="continue"/>
                  <w:vAlign w:val="center"/>
                </w:tcPr>
                <w:p w14:paraId="626721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eastAsia" w:eastAsia="仿宋" w:cs="Times New Roman"/>
                      <w:b w:val="0"/>
                      <w:bCs w:val="0"/>
                      <w:color w:val="auto"/>
                      <w:kern w:val="0"/>
                      <w:sz w:val="21"/>
                      <w:szCs w:val="21"/>
                      <w:highlight w:val="none"/>
                      <w:lang w:val="en-US" w:eastAsia="zh-CN" w:bidi="ar"/>
                    </w:rPr>
                  </w:pPr>
                </w:p>
              </w:tc>
              <w:tc>
                <w:tcPr>
                  <w:tcW w:w="953" w:type="pct"/>
                  <w:vAlign w:val="center"/>
                </w:tcPr>
                <w:p w14:paraId="712E97E1">
                  <w:pPr>
                    <w:pStyle w:val="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color w:val="auto"/>
                      <w:kern w:val="2"/>
                      <w:sz w:val="21"/>
                      <w:szCs w:val="21"/>
                      <w:lang w:val="en-US" w:eastAsia="zh-CN" w:bidi="ar-SA"/>
                    </w:rPr>
                  </w:pPr>
                  <w:r>
                    <w:rPr>
                      <w:rFonts w:hint="eastAsia" w:ascii="Times New Roman" w:hAnsi="Times New Roman" w:eastAsia="仿宋" w:cs="Times New Roman"/>
                      <w:color w:val="auto"/>
                      <w:kern w:val="2"/>
                      <w:sz w:val="21"/>
                      <w:szCs w:val="21"/>
                      <w:lang w:val="en-US" w:eastAsia="zh-CN" w:bidi="ar-SA"/>
                    </w:rPr>
                    <w:t>长荡湖水厂水源地</w:t>
                  </w:r>
                </w:p>
              </w:tc>
              <w:tc>
                <w:tcPr>
                  <w:tcW w:w="536" w:type="pct"/>
                  <w:vAlign w:val="center"/>
                </w:tcPr>
                <w:p w14:paraId="63902788">
                  <w:pPr>
                    <w:pStyle w:val="7"/>
                    <w:keepNext w:val="0"/>
                    <w:keepLines w:val="0"/>
                    <w:pageBreakBefore w:val="0"/>
                    <w:widowControl/>
                    <w:kinsoku/>
                    <w:wordWrap/>
                    <w:overflowPunct/>
                    <w:topLinePunct w:val="0"/>
                    <w:autoSpaceDE/>
                    <w:autoSpaceDN/>
                    <w:bidi w:val="0"/>
                    <w:adjustRightInd/>
                    <w:snapToGrid/>
                    <w:ind w:firstLine="0" w:firstLineChars="0"/>
                    <w:textAlignment w:val="auto"/>
                    <w:outlineLvl w:val="9"/>
                    <w:rPr>
                      <w:rFonts w:hint="default" w:eastAsia="仿宋" w:cs="Times New Roman"/>
                      <w:color w:val="auto"/>
                      <w:kern w:val="2"/>
                      <w:sz w:val="21"/>
                      <w:szCs w:val="21"/>
                      <w:lang w:val="en-US" w:eastAsia="zh-CN" w:bidi="ar-SA"/>
                    </w:rPr>
                  </w:pPr>
                  <w:r>
                    <w:rPr>
                      <w:rFonts w:hint="eastAsia" w:eastAsia="仿宋" w:cs="Times New Roman"/>
                      <w:color w:val="auto"/>
                      <w:kern w:val="2"/>
                      <w:sz w:val="21"/>
                      <w:szCs w:val="21"/>
                      <w:lang w:val="en-US" w:eastAsia="zh-CN" w:bidi="ar-SA"/>
                    </w:rPr>
                    <w:t>SE</w:t>
                  </w:r>
                </w:p>
              </w:tc>
              <w:tc>
                <w:tcPr>
                  <w:tcW w:w="782" w:type="pct"/>
                  <w:vAlign w:val="center"/>
                </w:tcPr>
                <w:p w14:paraId="1BC84418">
                  <w:pPr>
                    <w:pStyle w:val="7"/>
                    <w:keepNext w:val="0"/>
                    <w:keepLines w:val="0"/>
                    <w:pageBreakBefore w:val="0"/>
                    <w:widowControl/>
                    <w:kinsoku/>
                    <w:wordWrap/>
                    <w:overflowPunct/>
                    <w:topLinePunct w:val="0"/>
                    <w:autoSpaceDE/>
                    <w:autoSpaceDN/>
                    <w:bidi w:val="0"/>
                    <w:adjustRightInd/>
                    <w:snapToGrid/>
                    <w:ind w:firstLine="0" w:firstLineChars="0"/>
                    <w:textAlignment w:val="auto"/>
                    <w:outlineLvl w:val="9"/>
                    <w:rPr>
                      <w:rFonts w:hint="default" w:eastAsia="仿宋" w:cs="Times New Roman"/>
                      <w:color w:val="auto"/>
                      <w:sz w:val="21"/>
                      <w:szCs w:val="21"/>
                      <w:lang w:val="en-US" w:eastAsia="zh-CN"/>
                    </w:rPr>
                  </w:pPr>
                  <w:r>
                    <w:rPr>
                      <w:rFonts w:hint="eastAsia" w:eastAsia="仿宋" w:cs="Times New Roman"/>
                      <w:color w:val="auto"/>
                      <w:sz w:val="21"/>
                      <w:szCs w:val="21"/>
                      <w:lang w:val="en-US" w:eastAsia="zh-CN"/>
                    </w:rPr>
                    <w:t>2200</w:t>
                  </w:r>
                </w:p>
              </w:tc>
              <w:tc>
                <w:tcPr>
                  <w:tcW w:w="760" w:type="pct"/>
                  <w:vAlign w:val="center"/>
                </w:tcPr>
                <w:p w14:paraId="5A9AB34B">
                  <w:pPr>
                    <w:pStyle w:val="7"/>
                    <w:keepNext w:val="0"/>
                    <w:keepLines w:val="0"/>
                    <w:pageBreakBefore w:val="0"/>
                    <w:widowControl/>
                    <w:kinsoku/>
                    <w:wordWrap/>
                    <w:overflowPunct/>
                    <w:topLinePunct w:val="0"/>
                    <w:autoSpaceDE/>
                    <w:autoSpaceDN/>
                    <w:bidi w:val="0"/>
                    <w:adjustRightInd/>
                    <w:snapToGrid/>
                    <w:ind w:firstLine="0" w:firstLineChars="0"/>
                    <w:textAlignment w:val="auto"/>
                    <w:outlineLvl w:val="9"/>
                    <w:rPr>
                      <w:rFonts w:hint="default" w:eastAsia="仿宋" w:cs="Times New Roman"/>
                      <w:color w:val="auto"/>
                      <w:kern w:val="2"/>
                      <w:sz w:val="21"/>
                      <w:szCs w:val="21"/>
                      <w:lang w:val="en-US" w:eastAsia="zh-CN" w:bidi="ar-SA"/>
                    </w:rPr>
                  </w:pPr>
                  <w:r>
                    <w:rPr>
                      <w:rFonts w:hint="eastAsia" w:eastAsia="仿宋" w:cs="Times New Roman"/>
                      <w:color w:val="auto"/>
                      <w:kern w:val="2"/>
                      <w:sz w:val="21"/>
                      <w:szCs w:val="21"/>
                      <w:lang w:val="en-US" w:eastAsia="zh-CN" w:bidi="ar-SA"/>
                    </w:rPr>
                    <w:t>3.14</w:t>
                  </w:r>
                </w:p>
              </w:tc>
              <w:tc>
                <w:tcPr>
                  <w:tcW w:w="1579" w:type="pct"/>
                  <w:vMerge w:val="continue"/>
                  <w:vAlign w:val="center"/>
                </w:tcPr>
                <w:p w14:paraId="0B2AF9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仿宋" w:cs="Times New Roman"/>
                      <w:color w:val="auto"/>
                      <w:kern w:val="0"/>
                      <w:sz w:val="21"/>
                      <w:szCs w:val="21"/>
                      <w:highlight w:val="none"/>
                      <w:lang w:val="en-US" w:eastAsia="zh-CN" w:bidi="ar"/>
                    </w:rPr>
                  </w:pPr>
                </w:p>
              </w:tc>
            </w:tr>
          </w:tbl>
          <w:p w14:paraId="72C7A3DA">
            <w:pPr>
              <w:keepNext w:val="0"/>
              <w:keepLines w:val="0"/>
              <w:pageBreakBefore w:val="0"/>
              <w:widowControl w:val="0"/>
              <w:numPr>
                <w:ilvl w:val="0"/>
                <w:numId w:val="4"/>
              </w:numPr>
              <w:kinsoku/>
              <w:wordWrap/>
              <w:overflowPunct/>
              <w:topLinePunct w:val="0"/>
              <w:autoSpaceDE w:val="0"/>
              <w:autoSpaceDN w:val="0"/>
              <w:bidi w:val="0"/>
              <w:adjustRightInd/>
              <w:snapToGrid/>
              <w:spacing w:line="360" w:lineRule="auto"/>
              <w:ind w:firstLine="480" w:firstLineChars="200"/>
              <w:textAlignment w:val="auto"/>
              <w:rPr>
                <w:rFonts w:hint="eastAsia" w:eastAsia="仿宋"/>
                <w:color w:val="auto"/>
                <w:kern w:val="0"/>
                <w:sz w:val="24"/>
                <w:highlight w:val="none"/>
                <w:lang w:val="en-US" w:eastAsia="zh-CN"/>
              </w:rPr>
            </w:pPr>
            <w:r>
              <w:rPr>
                <w:rFonts w:hint="eastAsia" w:eastAsia="仿宋"/>
                <w:color w:val="auto"/>
                <w:kern w:val="0"/>
                <w:sz w:val="24"/>
                <w:highlight w:val="none"/>
                <w:lang w:val="en-US" w:eastAsia="zh-CN"/>
              </w:rPr>
              <w:t>生态环境保护目标</w:t>
            </w:r>
          </w:p>
          <w:p w14:paraId="01450E8D">
            <w:pPr>
              <w:keepNext w:val="0"/>
              <w:keepLines w:val="0"/>
              <w:suppressLineNumbers w:val="0"/>
              <w:autoSpaceDE w:val="0"/>
              <w:autoSpaceDN w:val="0"/>
              <w:spacing w:before="0" w:beforeAutospacing="0" w:after="0" w:afterAutospacing="0" w:line="440" w:lineRule="exact"/>
              <w:ind w:left="0" w:leftChars="0" w:right="0" w:firstLine="0" w:firstLineChars="0"/>
              <w:jc w:val="center"/>
              <w:rPr>
                <w:rFonts w:hint="default" w:eastAsia="仿宋"/>
                <w:b/>
                <w:bCs/>
                <w:color w:val="auto"/>
                <w:kern w:val="0"/>
                <w:sz w:val="24"/>
                <w:highlight w:val="none"/>
              </w:rPr>
            </w:pPr>
            <w:r>
              <w:rPr>
                <w:rFonts w:hint="default" w:eastAsia="仿宋"/>
                <w:b/>
                <w:bCs/>
                <w:color w:val="auto"/>
                <w:kern w:val="0"/>
                <w:sz w:val="24"/>
                <w:highlight w:val="none"/>
              </w:rPr>
              <w:t>表3</w:t>
            </w:r>
            <w:r>
              <w:rPr>
                <w:rFonts w:hint="eastAsia" w:eastAsia="仿宋"/>
                <w:b/>
                <w:bCs/>
                <w:color w:val="auto"/>
                <w:kern w:val="0"/>
                <w:sz w:val="24"/>
                <w:highlight w:val="none"/>
                <w:lang w:val="en-US" w:eastAsia="zh-CN"/>
              </w:rPr>
              <w:t xml:space="preserve">-15 </w:t>
            </w:r>
            <w:r>
              <w:rPr>
                <w:rFonts w:hint="eastAsia" w:eastAsia="仿宋"/>
                <w:b/>
                <w:bCs/>
                <w:color w:val="auto"/>
                <w:kern w:val="0"/>
                <w:sz w:val="24"/>
                <w:highlight w:val="none"/>
              </w:rPr>
              <w:t>生态</w:t>
            </w:r>
            <w:r>
              <w:rPr>
                <w:rFonts w:hint="default" w:eastAsia="仿宋"/>
                <w:b/>
                <w:bCs/>
                <w:color w:val="auto"/>
                <w:kern w:val="0"/>
                <w:sz w:val="24"/>
                <w:highlight w:val="none"/>
              </w:rPr>
              <w:t>环境保护目标一览表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
              <w:gridCol w:w="2272"/>
              <w:gridCol w:w="993"/>
              <w:gridCol w:w="1656"/>
              <w:gridCol w:w="1618"/>
              <w:gridCol w:w="1734"/>
            </w:tblGrid>
            <w:tr w14:paraId="7DEE9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455" w:type="pct"/>
                  <w:tcBorders>
                    <w:tl2br w:val="nil"/>
                    <w:tr2bl w:val="nil"/>
                  </w:tcBorders>
                  <w:vAlign w:val="center"/>
                </w:tcPr>
                <w:p w14:paraId="5FBDDE81">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环境要素</w:t>
                  </w:r>
                </w:p>
              </w:tc>
              <w:tc>
                <w:tcPr>
                  <w:tcW w:w="1247" w:type="pct"/>
                  <w:tcBorders>
                    <w:tl2br w:val="nil"/>
                    <w:tr2bl w:val="nil"/>
                  </w:tcBorders>
                  <w:vAlign w:val="center"/>
                </w:tcPr>
                <w:p w14:paraId="3FAE74DA">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环境保护目标</w:t>
                  </w:r>
                </w:p>
              </w:tc>
              <w:tc>
                <w:tcPr>
                  <w:tcW w:w="545" w:type="pct"/>
                  <w:tcBorders>
                    <w:tl2br w:val="nil"/>
                    <w:tr2bl w:val="nil"/>
                  </w:tcBorders>
                  <w:vAlign w:val="center"/>
                </w:tcPr>
                <w:p w14:paraId="732F7CAD">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方位</w:t>
                  </w:r>
                </w:p>
              </w:tc>
              <w:tc>
                <w:tcPr>
                  <w:tcW w:w="909" w:type="pct"/>
                  <w:tcBorders>
                    <w:tl2br w:val="nil"/>
                    <w:tr2bl w:val="nil"/>
                  </w:tcBorders>
                  <w:vAlign w:val="center"/>
                </w:tcPr>
                <w:p w14:paraId="09E55078">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距项目最近距离（</w:t>
                  </w:r>
                  <w:r>
                    <w:rPr>
                      <w:rFonts w:hint="default" w:ascii="Times New Roman" w:hAnsi="Times New Roman" w:eastAsia="仿宋" w:cs="Times New Roman"/>
                      <w:b/>
                      <w:bCs/>
                      <w:color w:val="auto"/>
                      <w:sz w:val="21"/>
                      <w:szCs w:val="21"/>
                      <w:highlight w:val="none"/>
                      <w:lang w:val="en-US" w:eastAsia="zh-CN"/>
                    </w:rPr>
                    <w:t>k</w:t>
                  </w:r>
                  <w:r>
                    <w:rPr>
                      <w:rFonts w:hint="default" w:ascii="Times New Roman" w:hAnsi="Times New Roman" w:eastAsia="仿宋" w:cs="Times New Roman"/>
                      <w:b/>
                      <w:bCs/>
                      <w:color w:val="auto"/>
                      <w:sz w:val="21"/>
                      <w:szCs w:val="21"/>
                      <w:highlight w:val="none"/>
                    </w:rPr>
                    <w:t>m）</w:t>
                  </w:r>
                </w:p>
              </w:tc>
              <w:tc>
                <w:tcPr>
                  <w:tcW w:w="888" w:type="pct"/>
                  <w:tcBorders>
                    <w:tl2br w:val="nil"/>
                    <w:tr2bl w:val="nil"/>
                  </w:tcBorders>
                  <w:vAlign w:val="center"/>
                </w:tcPr>
                <w:p w14:paraId="46E38423">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规模</w:t>
                  </w:r>
                </w:p>
                <w:p w14:paraId="00E8198D">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color w:val="auto"/>
                      <w:sz w:val="21"/>
                      <w:szCs w:val="21"/>
                      <w:highlight w:val="none"/>
                      <w:lang w:val="en-US" w:eastAsia="zh-CN"/>
                    </w:rPr>
                  </w:pPr>
                  <w:r>
                    <w:rPr>
                      <w:rFonts w:hint="default" w:ascii="Times New Roman" w:hAnsi="Times New Roman" w:eastAsia="仿宋" w:cs="Times New Roman"/>
                      <w:b/>
                      <w:bCs/>
                      <w:color w:val="auto"/>
                      <w:sz w:val="21"/>
                      <w:szCs w:val="21"/>
                      <w:highlight w:val="none"/>
                      <w:lang w:val="en-US" w:eastAsia="zh-CN"/>
                    </w:rPr>
                    <w:t>（km</w:t>
                  </w:r>
                  <w:r>
                    <w:rPr>
                      <w:rFonts w:hint="default" w:ascii="Times New Roman" w:hAnsi="Times New Roman" w:eastAsia="仿宋" w:cs="Times New Roman"/>
                      <w:b/>
                      <w:bCs/>
                      <w:color w:val="auto"/>
                      <w:sz w:val="21"/>
                      <w:szCs w:val="21"/>
                      <w:highlight w:val="none"/>
                      <w:vertAlign w:val="superscript"/>
                      <w:lang w:val="en-US" w:eastAsia="zh-CN"/>
                    </w:rPr>
                    <w:t>2</w:t>
                  </w:r>
                  <w:r>
                    <w:rPr>
                      <w:rFonts w:hint="default" w:ascii="Times New Roman" w:hAnsi="Times New Roman" w:eastAsia="仿宋" w:cs="Times New Roman"/>
                      <w:b/>
                      <w:bCs/>
                      <w:color w:val="auto"/>
                      <w:sz w:val="21"/>
                      <w:szCs w:val="21"/>
                      <w:highlight w:val="none"/>
                      <w:lang w:val="en-US" w:eastAsia="zh-CN"/>
                    </w:rPr>
                    <w:t>）</w:t>
                  </w:r>
                </w:p>
              </w:tc>
              <w:tc>
                <w:tcPr>
                  <w:tcW w:w="952" w:type="pct"/>
                  <w:tcBorders>
                    <w:tl2br w:val="nil"/>
                    <w:tr2bl w:val="nil"/>
                  </w:tcBorders>
                  <w:vAlign w:val="center"/>
                </w:tcPr>
                <w:p w14:paraId="00BE72B5">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b/>
                      <w:bCs/>
                      <w:color w:val="auto"/>
                      <w:sz w:val="21"/>
                      <w:szCs w:val="21"/>
                      <w:highlight w:val="none"/>
                    </w:rPr>
                  </w:pPr>
                  <w:r>
                    <w:rPr>
                      <w:rFonts w:hint="default" w:ascii="Times New Roman" w:hAnsi="Times New Roman" w:eastAsia="仿宋" w:cs="Times New Roman"/>
                      <w:b/>
                      <w:bCs/>
                      <w:color w:val="auto"/>
                      <w:sz w:val="21"/>
                      <w:szCs w:val="21"/>
                      <w:highlight w:val="none"/>
                    </w:rPr>
                    <w:t>环境功能</w:t>
                  </w:r>
                </w:p>
              </w:tc>
            </w:tr>
            <w:tr w14:paraId="58BC5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455" w:type="pct"/>
                  <w:vMerge w:val="restart"/>
                  <w:tcBorders>
                    <w:tl2br w:val="nil"/>
                    <w:tr2bl w:val="nil"/>
                  </w:tcBorders>
                  <w:vAlign w:val="center"/>
                </w:tcPr>
                <w:p w14:paraId="258A5E2F">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生态环境</w:t>
                  </w:r>
                </w:p>
              </w:tc>
              <w:tc>
                <w:tcPr>
                  <w:tcW w:w="1247" w:type="pct"/>
                  <w:tcBorders>
                    <w:tl2br w:val="nil"/>
                    <w:tr2bl w:val="nil"/>
                  </w:tcBorders>
                  <w:vAlign w:val="center"/>
                </w:tcPr>
                <w:p w14:paraId="01144C7B">
                  <w:pPr>
                    <w:pStyle w:val="7"/>
                    <w:keepNext w:val="0"/>
                    <w:keepLines w:val="0"/>
                    <w:pageBreakBefore w:val="0"/>
                    <w:widowControl w:val="0"/>
                    <w:kinsoku/>
                    <w:wordWrap/>
                    <w:overflowPunct/>
                    <w:topLinePunct w:val="0"/>
                    <w:autoSpaceDE/>
                    <w:autoSpaceDN/>
                    <w:bidi w:val="0"/>
                    <w:adjustRightInd/>
                    <w:snapToGrid w:val="0"/>
                    <w:ind w:firstLine="0" w:firstLineChars="0"/>
                    <w:jc w:val="center"/>
                    <w:textAlignment w:val="auto"/>
                    <w:outlineLvl w:val="9"/>
                    <w:rPr>
                      <w:rFonts w:hint="default" w:ascii="Times New Roman" w:hAnsi="Times New Roman" w:eastAsia="仿宋" w:cs="Times New Roman"/>
                      <w:b w:val="0"/>
                      <w:bCs/>
                      <w:color w:val="auto"/>
                      <w:kern w:val="2"/>
                      <w:sz w:val="21"/>
                      <w:szCs w:val="21"/>
                      <w:highlight w:val="none"/>
                      <w:vertAlign w:val="baseline"/>
                      <w:lang w:val="en-US" w:eastAsia="zh-CN" w:bidi="ar-SA"/>
                    </w:rPr>
                  </w:pPr>
                  <w:r>
                    <w:rPr>
                      <w:rFonts w:hint="default" w:ascii="Times New Roman" w:hAnsi="Times New Roman" w:eastAsia="仿宋" w:cs="Times New Roman"/>
                      <w:color w:val="auto"/>
                      <w:sz w:val="21"/>
                      <w:szCs w:val="21"/>
                    </w:rPr>
                    <w:t>长荡湖重要渔业水域</w:t>
                  </w:r>
                </w:p>
              </w:tc>
              <w:tc>
                <w:tcPr>
                  <w:tcW w:w="545" w:type="pct"/>
                  <w:tcBorders>
                    <w:tl2br w:val="nil"/>
                    <w:tr2bl w:val="nil"/>
                  </w:tcBorders>
                  <w:shd w:val="clear" w:color="auto" w:fill="auto"/>
                  <w:vAlign w:val="center"/>
                </w:tcPr>
                <w:p w14:paraId="324599B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outlineLvl w:val="9"/>
                    <w:rPr>
                      <w:rFonts w:hint="default" w:ascii="Times New Roman" w:hAnsi="Times New Roman" w:eastAsia="仿宋" w:cs="Times New Roman"/>
                      <w:color w:val="auto"/>
                      <w:sz w:val="21"/>
                      <w:szCs w:val="21"/>
                      <w:highlight w:val="none"/>
                      <w:lang w:val="en-US" w:eastAsia="zh-CN"/>
                    </w:rPr>
                  </w:pPr>
                  <w:r>
                    <w:rPr>
                      <w:rFonts w:hint="eastAsia" w:ascii="Times New Roman" w:hAnsi="Times New Roman" w:eastAsia="仿宋" w:cs="Times New Roman"/>
                      <w:color w:val="auto"/>
                      <w:sz w:val="21"/>
                      <w:szCs w:val="21"/>
                      <w:lang w:val="en-US" w:eastAsia="zh-CN"/>
                    </w:rPr>
                    <w:t>横跨</w:t>
                  </w:r>
                </w:p>
              </w:tc>
              <w:tc>
                <w:tcPr>
                  <w:tcW w:w="909" w:type="pct"/>
                  <w:tcBorders>
                    <w:tl2br w:val="nil"/>
                    <w:tr2bl w:val="nil"/>
                  </w:tcBorders>
                  <w:vAlign w:val="center"/>
                </w:tcPr>
                <w:p w14:paraId="4433381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outlineLvl w:val="9"/>
                    <w:rPr>
                      <w:rFonts w:hint="default" w:ascii="Times New Roman" w:hAnsi="Times New Roman"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w:t>
                  </w:r>
                </w:p>
              </w:tc>
              <w:tc>
                <w:tcPr>
                  <w:tcW w:w="888" w:type="pct"/>
                  <w:tcBorders>
                    <w:tl2br w:val="nil"/>
                    <w:tr2bl w:val="nil"/>
                  </w:tcBorders>
                  <w:vAlign w:val="center"/>
                </w:tcPr>
                <w:p w14:paraId="5E721C05">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rPr>
                    <w:t>87.24</w:t>
                  </w:r>
                </w:p>
              </w:tc>
              <w:tc>
                <w:tcPr>
                  <w:tcW w:w="952" w:type="pct"/>
                  <w:tcBorders>
                    <w:tl2br w:val="nil"/>
                    <w:tr2bl w:val="nil"/>
                  </w:tcBorders>
                  <w:vAlign w:val="center"/>
                </w:tcPr>
                <w:p w14:paraId="61242AB8">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color w:val="auto"/>
                      <w:kern w:val="2"/>
                      <w:sz w:val="21"/>
                      <w:szCs w:val="21"/>
                      <w:highlight w:val="none"/>
                      <w:lang w:val="en-US" w:eastAsia="zh-CN" w:bidi="ar-SA"/>
                    </w:rPr>
                  </w:pPr>
                  <w:r>
                    <w:rPr>
                      <w:rFonts w:hint="default" w:ascii="Times New Roman" w:hAnsi="Times New Roman" w:eastAsia="仿宋" w:cs="Times New Roman"/>
                      <w:color w:val="auto"/>
                      <w:sz w:val="21"/>
                      <w:szCs w:val="21"/>
                    </w:rPr>
                    <w:t>渔业资源保护</w:t>
                  </w:r>
                </w:p>
              </w:tc>
            </w:tr>
            <w:tr w14:paraId="186F8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455" w:type="pct"/>
                  <w:vMerge w:val="continue"/>
                  <w:tcBorders>
                    <w:tl2br w:val="nil"/>
                    <w:tr2bl w:val="nil"/>
                  </w:tcBorders>
                  <w:vAlign w:val="center"/>
                </w:tcPr>
                <w:p w14:paraId="7151DE8E">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1"/>
                      <w:szCs w:val="21"/>
                      <w:highlight w:val="none"/>
                    </w:rPr>
                  </w:pPr>
                </w:p>
              </w:tc>
              <w:tc>
                <w:tcPr>
                  <w:tcW w:w="1247" w:type="pct"/>
                  <w:tcBorders>
                    <w:tl2br w:val="nil"/>
                    <w:tr2bl w:val="nil"/>
                  </w:tcBorders>
                  <w:vAlign w:val="center"/>
                </w:tcPr>
                <w:p w14:paraId="7C6F5BEE">
                  <w:pPr>
                    <w:pStyle w:val="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 w:cs="Times New Roman"/>
                      <w:b w:val="0"/>
                      <w:bCs/>
                      <w:color w:val="auto"/>
                      <w:kern w:val="2"/>
                      <w:sz w:val="21"/>
                      <w:szCs w:val="21"/>
                      <w:highlight w:val="none"/>
                      <w:vertAlign w:val="baseline"/>
                      <w:lang w:val="en-US" w:eastAsia="zh-CN" w:bidi="ar-SA"/>
                    </w:rPr>
                  </w:pPr>
                  <w:r>
                    <w:rPr>
                      <w:rFonts w:hint="default" w:ascii="Times New Roman" w:hAnsi="Times New Roman" w:eastAsia="仿宋" w:cs="Times New Roman"/>
                      <w:b w:val="0"/>
                      <w:bCs/>
                      <w:color w:val="auto"/>
                      <w:sz w:val="21"/>
                      <w:szCs w:val="21"/>
                      <w:highlight w:val="none"/>
                      <w:vertAlign w:val="baseline"/>
                      <w:lang w:val="en-US" w:eastAsia="zh-CN"/>
                    </w:rPr>
                    <w:t>长荡湖重要湿地</w:t>
                  </w:r>
                </w:p>
              </w:tc>
              <w:tc>
                <w:tcPr>
                  <w:tcW w:w="545" w:type="pct"/>
                  <w:tcBorders>
                    <w:tl2br w:val="nil"/>
                    <w:tr2bl w:val="nil"/>
                  </w:tcBorders>
                  <w:shd w:val="clear" w:color="auto" w:fill="auto"/>
                  <w:vAlign w:val="center"/>
                </w:tcPr>
                <w:p w14:paraId="5649B229">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S</w:t>
                  </w:r>
                </w:p>
              </w:tc>
              <w:tc>
                <w:tcPr>
                  <w:tcW w:w="909" w:type="pct"/>
                  <w:tcBorders>
                    <w:tl2br w:val="nil"/>
                    <w:tr2bl w:val="nil"/>
                  </w:tcBorders>
                  <w:vAlign w:val="center"/>
                </w:tcPr>
                <w:p w14:paraId="07384CFE">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1"/>
                      <w:szCs w:val="21"/>
                      <w:highlight w:val="none"/>
                      <w:lang w:val="en-US" w:eastAsia="zh-CN"/>
                    </w:rPr>
                  </w:pPr>
                  <w:r>
                    <w:rPr>
                      <w:rFonts w:hint="eastAsia" w:eastAsia="仿宋" w:cs="Times New Roman"/>
                      <w:color w:val="auto"/>
                      <w:sz w:val="21"/>
                      <w:szCs w:val="21"/>
                      <w:highlight w:val="none"/>
                      <w:lang w:val="en-US" w:eastAsia="zh-CN"/>
                    </w:rPr>
                    <w:t>紧邻</w:t>
                  </w:r>
                </w:p>
              </w:tc>
              <w:tc>
                <w:tcPr>
                  <w:tcW w:w="888" w:type="pct"/>
                  <w:tcBorders>
                    <w:tl2br w:val="nil"/>
                    <w:tr2bl w:val="nil"/>
                  </w:tcBorders>
                  <w:vAlign w:val="center"/>
                </w:tcPr>
                <w:p w14:paraId="12A4BCE6">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118.35</w:t>
                  </w:r>
                </w:p>
              </w:tc>
              <w:tc>
                <w:tcPr>
                  <w:tcW w:w="952" w:type="pct"/>
                  <w:tcBorders>
                    <w:tl2br w:val="nil"/>
                    <w:tr2bl w:val="nil"/>
                  </w:tcBorders>
                  <w:vAlign w:val="center"/>
                </w:tcPr>
                <w:p w14:paraId="36429060">
                  <w:pPr>
                    <w:pStyle w:val="7"/>
                    <w:ind w:firstLine="0" w:firstLineChars="0"/>
                    <w:jc w:val="center"/>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1"/>
                      <w:szCs w:val="21"/>
                      <w:highlight w:val="none"/>
                      <w:lang w:val="en-US" w:eastAsia="zh-CN"/>
                    </w:rPr>
                    <w:t>水土保持，</w:t>
                  </w:r>
                  <w:r>
                    <w:rPr>
                      <w:rFonts w:hint="default" w:ascii="Times New Roman" w:hAnsi="Times New Roman" w:eastAsia="仿宋" w:cs="Times New Roman"/>
                      <w:color w:val="auto"/>
                      <w:sz w:val="21"/>
                      <w:szCs w:val="21"/>
                      <w:highlight w:val="none"/>
                      <w:lang w:val="en-US" w:eastAsia="zh-Hans"/>
                    </w:rPr>
                    <w:t>生态系统维护</w:t>
                  </w:r>
                </w:p>
              </w:tc>
            </w:tr>
            <w:tr w14:paraId="70ADF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455" w:type="pct"/>
                  <w:vMerge w:val="continue"/>
                  <w:tcBorders>
                    <w:tl2br w:val="nil"/>
                    <w:tr2bl w:val="nil"/>
                  </w:tcBorders>
                  <w:vAlign w:val="center"/>
                </w:tcPr>
                <w:p w14:paraId="5267FA94">
                  <w:pPr>
                    <w:pStyle w:val="7"/>
                    <w:keepNext w:val="0"/>
                    <w:keepLines w:val="0"/>
                    <w:suppressLineNumbers w:val="0"/>
                    <w:snapToGrid w:val="0"/>
                    <w:spacing w:before="0" w:beforeAutospacing="0" w:after="0" w:afterAutospacing="0"/>
                    <w:ind w:left="0" w:right="0"/>
                    <w:jc w:val="center"/>
                    <w:rPr>
                      <w:rFonts w:hint="default" w:ascii="Times New Roman" w:hAnsi="Times New Roman" w:eastAsia="仿宋" w:cs="Times New Roman"/>
                      <w:color w:val="auto"/>
                      <w:sz w:val="21"/>
                      <w:szCs w:val="21"/>
                      <w:highlight w:val="none"/>
                    </w:rPr>
                  </w:pPr>
                </w:p>
              </w:tc>
              <w:tc>
                <w:tcPr>
                  <w:tcW w:w="1247" w:type="pct"/>
                  <w:tcBorders>
                    <w:tl2br w:val="nil"/>
                    <w:tr2bl w:val="nil"/>
                  </w:tcBorders>
                  <w:vAlign w:val="center"/>
                </w:tcPr>
                <w:p w14:paraId="47B85EF4">
                  <w:pPr>
                    <w:pStyle w:val="7"/>
                    <w:keepNext w:val="0"/>
                    <w:keepLines w:val="0"/>
                    <w:pageBreakBefore w:val="0"/>
                    <w:widowControl w:val="0"/>
                    <w:kinsoku/>
                    <w:wordWrap/>
                    <w:overflowPunct/>
                    <w:topLinePunct w:val="0"/>
                    <w:autoSpaceDE/>
                    <w:autoSpaceDN/>
                    <w:bidi w:val="0"/>
                    <w:adjustRightInd/>
                    <w:snapToGrid w:val="0"/>
                    <w:ind w:firstLine="0" w:firstLineChars="0"/>
                    <w:jc w:val="center"/>
                    <w:textAlignment w:val="auto"/>
                    <w:outlineLvl w:val="9"/>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长荡湖国家级水产种质资源保护区</w:t>
                  </w:r>
                </w:p>
              </w:tc>
              <w:tc>
                <w:tcPr>
                  <w:tcW w:w="545" w:type="pct"/>
                  <w:tcBorders>
                    <w:tl2br w:val="nil"/>
                    <w:tr2bl w:val="nil"/>
                  </w:tcBorders>
                  <w:shd w:val="clear" w:color="auto" w:fill="auto"/>
                  <w:vAlign w:val="center"/>
                </w:tcPr>
                <w:p w14:paraId="144ACDD1">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eastAsia"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S</w:t>
                  </w:r>
                  <w:r>
                    <w:rPr>
                      <w:rFonts w:hint="eastAsia" w:eastAsia="仿宋" w:cs="Times New Roman"/>
                      <w:color w:val="auto"/>
                      <w:sz w:val="21"/>
                      <w:szCs w:val="21"/>
                      <w:lang w:val="en-US" w:eastAsia="zh-CN"/>
                    </w:rPr>
                    <w:t>W</w:t>
                  </w:r>
                </w:p>
              </w:tc>
              <w:tc>
                <w:tcPr>
                  <w:tcW w:w="909" w:type="pct"/>
                  <w:tcBorders>
                    <w:tl2br w:val="nil"/>
                    <w:tr2bl w:val="nil"/>
                  </w:tcBorders>
                  <w:vAlign w:val="center"/>
                </w:tcPr>
                <w:p w14:paraId="3FC7719D">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color w:val="auto"/>
                      <w:kern w:val="2"/>
                      <w:sz w:val="21"/>
                      <w:szCs w:val="21"/>
                      <w:lang w:val="en-US" w:eastAsia="zh-CN" w:bidi="ar-SA"/>
                    </w:rPr>
                  </w:pPr>
                  <w:r>
                    <w:rPr>
                      <w:rFonts w:hint="eastAsia" w:eastAsia="仿宋" w:cs="Times New Roman"/>
                      <w:color w:val="auto"/>
                      <w:kern w:val="2"/>
                      <w:sz w:val="21"/>
                      <w:szCs w:val="21"/>
                      <w:lang w:val="en-US" w:eastAsia="zh-CN" w:bidi="ar-SA"/>
                    </w:rPr>
                    <w:t>4.5</w:t>
                  </w:r>
                </w:p>
              </w:tc>
              <w:tc>
                <w:tcPr>
                  <w:tcW w:w="888" w:type="pct"/>
                  <w:tcBorders>
                    <w:tl2br w:val="nil"/>
                    <w:tr2bl w:val="nil"/>
                  </w:tcBorders>
                  <w:vAlign w:val="center"/>
                </w:tcPr>
                <w:p w14:paraId="4EFF4AD7">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24.96</w:t>
                  </w:r>
                </w:p>
              </w:tc>
              <w:tc>
                <w:tcPr>
                  <w:tcW w:w="952" w:type="pct"/>
                  <w:tcBorders>
                    <w:tl2br w:val="nil"/>
                    <w:tr2bl w:val="nil"/>
                  </w:tcBorders>
                  <w:vAlign w:val="center"/>
                </w:tcPr>
                <w:p w14:paraId="279A04FC">
                  <w:pPr>
                    <w:pStyle w:val="7"/>
                    <w:keepNext w:val="0"/>
                    <w:keepLines w:val="0"/>
                    <w:pageBreakBefore w:val="0"/>
                    <w:widowControl w:val="0"/>
                    <w:kinsoku/>
                    <w:wordWrap/>
                    <w:overflowPunct/>
                    <w:topLinePunct w:val="0"/>
                    <w:autoSpaceDE/>
                    <w:autoSpaceDN/>
                    <w:bidi w:val="0"/>
                    <w:adjustRightInd/>
                    <w:snapToGrid w:val="0"/>
                    <w:ind w:firstLine="0" w:firstLineChars="0"/>
                    <w:textAlignment w:val="auto"/>
                    <w:outlineLvl w:val="9"/>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渔业资源保护</w:t>
                  </w:r>
                </w:p>
              </w:tc>
            </w:tr>
          </w:tbl>
          <w:p w14:paraId="6F0D0071">
            <w:pPr>
              <w:pStyle w:val="30"/>
              <w:rPr>
                <w:rFonts w:ascii="Times New Roman" w:hAnsi="Times New Roman" w:cs="Times New Roman"/>
                <w:color w:val="auto"/>
                <w:highlight w:val="none"/>
                <w:vertAlign w:val="baseline"/>
              </w:rPr>
            </w:pPr>
          </w:p>
        </w:tc>
      </w:tr>
      <w:tr w14:paraId="285D46FB">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jc w:val="center"/>
        </w:trPr>
        <w:tc>
          <w:tcPr>
            <w:tcW w:w="486" w:type="dxa"/>
            <w:tcBorders>
              <w:top w:val="single" w:color="auto" w:sz="4" w:space="0"/>
              <w:bottom w:val="single" w:color="auto" w:sz="4" w:space="0"/>
            </w:tcBorders>
            <w:vAlign w:val="center"/>
          </w:tcPr>
          <w:p w14:paraId="2E42EF9E">
            <w:pPr>
              <w:pStyle w:val="30"/>
              <w:jc w:val="center"/>
              <w:rPr>
                <w:rFonts w:hint="default"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评价标准</w:t>
            </w:r>
          </w:p>
        </w:tc>
        <w:tc>
          <w:tcPr>
            <w:tcW w:w="8379" w:type="dxa"/>
            <w:tcBorders>
              <w:top w:val="single" w:color="auto" w:sz="4" w:space="0"/>
              <w:bottom w:val="single" w:color="auto" w:sz="4" w:space="0"/>
            </w:tcBorders>
            <w:vAlign w:val="top"/>
          </w:tcPr>
          <w:p w14:paraId="0F1A614D">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一、环境评价标准</w:t>
            </w:r>
          </w:p>
          <w:p w14:paraId="754918AA">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1、地表水</w:t>
            </w:r>
          </w:p>
          <w:p w14:paraId="4EC8386C">
            <w:pPr>
              <w:pStyle w:val="32"/>
              <w:ind w:firstLine="48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b w:val="0"/>
                <w:color w:val="auto"/>
                <w:kern w:val="0"/>
                <w:sz w:val="24"/>
                <w:szCs w:val="22"/>
                <w:highlight w:val="none"/>
                <w:lang w:val="en-US" w:eastAsia="zh-CN" w:bidi="ar-SA"/>
              </w:rPr>
              <w:t>根据《常州市地表水（环境）功能区划》，</w:t>
            </w:r>
            <w:r>
              <w:rPr>
                <w:rFonts w:hint="eastAsia" w:eastAsia="仿宋" w:cs="Times New Roman"/>
                <w:b w:val="0"/>
                <w:color w:val="auto"/>
                <w:kern w:val="0"/>
                <w:sz w:val="24"/>
                <w:szCs w:val="22"/>
                <w:highlight w:val="none"/>
                <w:lang w:val="en-US" w:eastAsia="zh-CN" w:bidi="ar-SA"/>
              </w:rPr>
              <w:t>长荡湖</w:t>
            </w:r>
            <w:r>
              <w:rPr>
                <w:rFonts w:hint="default" w:ascii="Times New Roman" w:hAnsi="Times New Roman" w:eastAsia="仿宋" w:cs="Times New Roman"/>
                <w:b w:val="0"/>
                <w:color w:val="auto"/>
                <w:kern w:val="0"/>
                <w:sz w:val="24"/>
                <w:szCs w:val="22"/>
                <w:highlight w:val="none"/>
                <w:lang w:val="en-US" w:eastAsia="zh-CN" w:bidi="ar-SA"/>
              </w:rPr>
              <w:t>执行《地表水环境质量标准》（GB3838-2002）Ⅲ类标准</w:t>
            </w:r>
            <w:r>
              <w:rPr>
                <w:rFonts w:hint="default" w:ascii="Times New Roman" w:hAnsi="Times New Roman" w:eastAsia="仿宋" w:cs="Times New Roman"/>
                <w:b w:val="0"/>
                <w:bCs w:val="0"/>
                <w:color w:val="auto"/>
                <w:kern w:val="0"/>
                <w:sz w:val="24"/>
                <w:szCs w:val="22"/>
                <w:highlight w:val="none"/>
                <w:lang w:val="en-US" w:eastAsia="zh-CN" w:bidi="ar-SA"/>
              </w:rPr>
              <w:t>，</w:t>
            </w:r>
            <w:r>
              <w:rPr>
                <w:rFonts w:hint="eastAsia" w:ascii="Times New Roman" w:hAnsi="Times New Roman" w:eastAsia="仿宋" w:cs="Times New Roman"/>
                <w:b w:val="0"/>
                <w:bCs w:val="0"/>
                <w:color w:val="auto"/>
                <w:kern w:val="0"/>
                <w:sz w:val="24"/>
                <w:szCs w:val="22"/>
                <w:highlight w:val="none"/>
                <w:lang w:val="en-US" w:eastAsia="zh-CN" w:bidi="ar-SA"/>
              </w:rPr>
              <w:t>标准值见表3-</w:t>
            </w:r>
            <w:r>
              <w:rPr>
                <w:rFonts w:hint="eastAsia" w:eastAsia="仿宋" w:cs="Times New Roman"/>
                <w:b w:val="0"/>
                <w:bCs w:val="0"/>
                <w:color w:val="auto"/>
                <w:kern w:val="0"/>
                <w:sz w:val="24"/>
                <w:szCs w:val="22"/>
                <w:highlight w:val="none"/>
                <w:lang w:val="en-US" w:eastAsia="zh-CN" w:bidi="ar-SA"/>
              </w:rPr>
              <w:t>16</w:t>
            </w:r>
            <w:r>
              <w:rPr>
                <w:rFonts w:hint="eastAsia" w:ascii="Times New Roman" w:hAnsi="Times New Roman" w:eastAsia="仿宋" w:cs="Times New Roman"/>
                <w:b w:val="0"/>
                <w:bCs w:val="0"/>
                <w:color w:val="auto"/>
                <w:kern w:val="0"/>
                <w:sz w:val="24"/>
                <w:szCs w:val="22"/>
                <w:highlight w:val="none"/>
                <w:lang w:val="en-US" w:eastAsia="zh-CN" w:bidi="ar-SA"/>
              </w:rPr>
              <w:t>。</w:t>
            </w:r>
          </w:p>
          <w:p w14:paraId="0F3B9751">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表3-16 《地表水环境质量标准》（GB3838-2002）</w:t>
            </w:r>
          </w:p>
          <w:tbl>
            <w:tblPr>
              <w:tblStyle w:val="23"/>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4"/>
              <w:gridCol w:w="1544"/>
              <w:gridCol w:w="1397"/>
              <w:gridCol w:w="1670"/>
              <w:gridCol w:w="1777"/>
            </w:tblGrid>
            <w:tr w14:paraId="2142C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0" w:type="pct"/>
                  <w:vAlign w:val="center"/>
                </w:tcPr>
                <w:p w14:paraId="2BEECDA9">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项目</w:t>
                  </w:r>
                </w:p>
              </w:tc>
              <w:tc>
                <w:tcPr>
                  <w:tcW w:w="848" w:type="pct"/>
                  <w:vAlign w:val="center"/>
                </w:tcPr>
                <w:p w14:paraId="222AF71A">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pH（无量纲）</w:t>
                  </w:r>
                </w:p>
              </w:tc>
              <w:tc>
                <w:tcPr>
                  <w:tcW w:w="767" w:type="pct"/>
                  <w:vAlign w:val="center"/>
                </w:tcPr>
                <w:p w14:paraId="507D8CFD">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COD</w:t>
                  </w:r>
                </w:p>
              </w:tc>
              <w:tc>
                <w:tcPr>
                  <w:tcW w:w="917" w:type="pct"/>
                  <w:vAlign w:val="center"/>
                </w:tcPr>
                <w:p w14:paraId="54E96D2D">
                  <w:pPr>
                    <w:pStyle w:val="7"/>
                    <w:keepNext w:val="0"/>
                    <w:keepLines w:val="0"/>
                    <w:suppressLineNumbers w:val="0"/>
                    <w:spacing w:beforeAutospacing="0" w:afterAutospacing="0"/>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NH</w:t>
                  </w:r>
                  <w:r>
                    <w:rPr>
                      <w:rFonts w:hint="default" w:ascii="Times New Roman" w:hAnsi="Times New Roman" w:cs="Times New Roman"/>
                      <w:b/>
                      <w:bCs/>
                      <w:color w:val="auto"/>
                      <w:sz w:val="21"/>
                      <w:szCs w:val="21"/>
                      <w:vertAlign w:val="subscript"/>
                    </w:rPr>
                    <w:t>3</w:t>
                  </w:r>
                  <w:r>
                    <w:rPr>
                      <w:rFonts w:hint="default" w:ascii="Times New Roman" w:hAnsi="Times New Roman" w:cs="Times New Roman"/>
                      <w:b/>
                      <w:bCs/>
                      <w:color w:val="auto"/>
                      <w:sz w:val="21"/>
                      <w:szCs w:val="21"/>
                    </w:rPr>
                    <w:t>-N</w:t>
                  </w:r>
                </w:p>
              </w:tc>
              <w:tc>
                <w:tcPr>
                  <w:tcW w:w="976" w:type="pct"/>
                  <w:vAlign w:val="center"/>
                </w:tcPr>
                <w:p w14:paraId="423EE9B6">
                  <w:pPr>
                    <w:pStyle w:val="7"/>
                    <w:keepNext w:val="0"/>
                    <w:keepLines w:val="0"/>
                    <w:suppressLineNumbers w:val="0"/>
                    <w:spacing w:beforeAutospacing="0" w:afterAutospacing="0"/>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TP</w:t>
                  </w:r>
                </w:p>
              </w:tc>
            </w:tr>
            <w:tr w14:paraId="4B36A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0" w:type="pct"/>
                  <w:vAlign w:val="center"/>
                </w:tcPr>
                <w:p w14:paraId="5CED5722">
                  <w:pPr>
                    <w:pStyle w:val="7"/>
                    <w:keepNext w:val="0"/>
                    <w:keepLines w:val="0"/>
                    <w:suppressLineNumbers w:val="0"/>
                    <w:spacing w:beforeAutospacing="0" w:afterAutospacing="0"/>
                    <w:ind w:left="0" w:right="0"/>
                    <w:jc w:val="center"/>
                    <w:rPr>
                      <w:rFonts w:hint="eastAsia"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Ⅲ类标准限值（mg/L）</w:t>
                  </w:r>
                </w:p>
              </w:tc>
              <w:tc>
                <w:tcPr>
                  <w:tcW w:w="848" w:type="pct"/>
                  <w:vAlign w:val="center"/>
                </w:tcPr>
                <w:p w14:paraId="7081351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6~9</w:t>
                  </w:r>
                </w:p>
              </w:tc>
              <w:tc>
                <w:tcPr>
                  <w:tcW w:w="767" w:type="pct"/>
                  <w:vAlign w:val="center"/>
                </w:tcPr>
                <w:p w14:paraId="163E1DB1">
                  <w:pPr>
                    <w:pStyle w:val="7"/>
                    <w:keepNext w:val="0"/>
                    <w:keepLines w:val="0"/>
                    <w:suppressLineNumbers w:val="0"/>
                    <w:spacing w:beforeAutospacing="0" w:afterAutospacing="0"/>
                    <w:ind w:left="0" w:leftChars="0" w:right="0" w:right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z w:val="21"/>
                      <w:szCs w:val="21"/>
                    </w:rPr>
                    <w:t>≤</w:t>
                  </w:r>
                  <w:r>
                    <w:rPr>
                      <w:rFonts w:hint="eastAsia" w:ascii="Times New Roman" w:hAnsi="Times New Roman" w:eastAsia="仿宋" w:cs="Times New Roman"/>
                      <w:color w:val="auto"/>
                      <w:kern w:val="0"/>
                      <w:sz w:val="21"/>
                      <w:szCs w:val="21"/>
                      <w:lang w:val="en-US" w:eastAsia="zh-CN" w:bidi="ar-SA"/>
                    </w:rPr>
                    <w:t>20</w:t>
                  </w:r>
                </w:p>
              </w:tc>
              <w:tc>
                <w:tcPr>
                  <w:tcW w:w="917" w:type="pct"/>
                  <w:vAlign w:val="center"/>
                </w:tcPr>
                <w:p w14:paraId="098D99B2">
                  <w:pPr>
                    <w:pStyle w:val="7"/>
                    <w:keepNext w:val="0"/>
                    <w:keepLines w:val="0"/>
                    <w:suppressLineNumbers w:val="0"/>
                    <w:spacing w:beforeAutospacing="0" w:afterAutospacing="0"/>
                    <w:ind w:left="0" w:leftChars="0" w:right="0" w:rightChars="0"/>
                    <w:jc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 w:cs="Times New Roman"/>
                      <w:color w:val="auto"/>
                      <w:sz w:val="21"/>
                      <w:szCs w:val="21"/>
                    </w:rPr>
                    <w:t>≤</w:t>
                  </w:r>
                  <w:r>
                    <w:rPr>
                      <w:rFonts w:hint="eastAsia" w:ascii="Times New Roman" w:hAnsi="Times New Roman" w:cs="Times New Roman"/>
                      <w:color w:val="auto"/>
                      <w:kern w:val="0"/>
                      <w:sz w:val="21"/>
                      <w:szCs w:val="21"/>
                      <w:lang w:val="en-US" w:eastAsia="zh-CN" w:bidi="ar-SA"/>
                    </w:rPr>
                    <w:t>1.0</w:t>
                  </w:r>
                </w:p>
              </w:tc>
              <w:tc>
                <w:tcPr>
                  <w:tcW w:w="976" w:type="pct"/>
                  <w:vAlign w:val="center"/>
                </w:tcPr>
                <w:p w14:paraId="5B186224">
                  <w:pPr>
                    <w:pStyle w:val="7"/>
                    <w:keepNext w:val="0"/>
                    <w:keepLines w:val="0"/>
                    <w:suppressLineNumbers w:val="0"/>
                    <w:spacing w:beforeAutospacing="0" w:afterAutospacing="0"/>
                    <w:ind w:left="0" w:leftChars="0" w:right="0" w:rightChars="0"/>
                    <w:jc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 w:cs="Times New Roman"/>
                      <w:color w:val="auto"/>
                      <w:sz w:val="21"/>
                      <w:szCs w:val="21"/>
                    </w:rPr>
                    <w:t>≤</w:t>
                  </w:r>
                  <w:r>
                    <w:rPr>
                      <w:rFonts w:hint="eastAsia" w:ascii="Times New Roman" w:hAnsi="Times New Roman" w:cs="Times New Roman"/>
                      <w:color w:val="auto"/>
                      <w:kern w:val="0"/>
                      <w:sz w:val="21"/>
                      <w:szCs w:val="21"/>
                      <w:lang w:val="en-US" w:eastAsia="zh-CN" w:bidi="ar-SA"/>
                    </w:rPr>
                    <w:t>0.</w:t>
                  </w:r>
                  <w:r>
                    <w:rPr>
                      <w:rFonts w:hint="eastAsia" w:cs="Times New Roman"/>
                      <w:color w:val="auto"/>
                      <w:kern w:val="0"/>
                      <w:sz w:val="21"/>
                      <w:szCs w:val="21"/>
                      <w:lang w:val="en-US" w:eastAsia="zh-CN" w:bidi="ar-SA"/>
                    </w:rPr>
                    <w:t>05</w:t>
                  </w:r>
                </w:p>
              </w:tc>
            </w:tr>
          </w:tbl>
          <w:p w14:paraId="662A49A9">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2、环境空气</w:t>
            </w:r>
          </w:p>
          <w:p w14:paraId="1E078EBE">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根据《常州市环境空气质量功能区划分规定》（常政发[2017]160号），项目所在区域环境空气质量功能区为二类区，常规大气污染物执行《环境空气质量标准》（GB3095-2012）中二级标准，具体标准值见下表。</w:t>
            </w:r>
          </w:p>
          <w:p w14:paraId="21C2411C">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表3-17 环境空气质量标准浓度限值</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882"/>
              <w:gridCol w:w="1907"/>
              <w:gridCol w:w="1681"/>
              <w:gridCol w:w="978"/>
              <w:gridCol w:w="2654"/>
            </w:tblGrid>
            <w:tr w14:paraId="67F13CB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1033" w:type="pct"/>
                  <w:vAlign w:val="center"/>
                </w:tcPr>
                <w:p w14:paraId="2D889A96">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污染物名称</w:t>
                  </w:r>
                </w:p>
              </w:tc>
              <w:tc>
                <w:tcPr>
                  <w:tcW w:w="1047" w:type="pct"/>
                  <w:vAlign w:val="center"/>
                </w:tcPr>
                <w:p w14:paraId="6318C3F9">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取值时间</w:t>
                  </w:r>
                </w:p>
              </w:tc>
              <w:tc>
                <w:tcPr>
                  <w:tcW w:w="923" w:type="pct"/>
                  <w:tcBorders>
                    <w:bottom w:val="single" w:color="auto" w:sz="4" w:space="0"/>
                  </w:tcBorders>
                  <w:vAlign w:val="center"/>
                </w:tcPr>
                <w:p w14:paraId="18911458">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浓度限值</w:t>
                  </w:r>
                </w:p>
              </w:tc>
              <w:tc>
                <w:tcPr>
                  <w:tcW w:w="537" w:type="pct"/>
                  <w:tcBorders>
                    <w:bottom w:val="single" w:color="auto" w:sz="4" w:space="0"/>
                    <w:right w:val="single" w:color="auto" w:sz="4" w:space="0"/>
                  </w:tcBorders>
                  <w:vAlign w:val="center"/>
                </w:tcPr>
                <w:p w14:paraId="2BC61929">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单位</w:t>
                  </w:r>
                </w:p>
              </w:tc>
              <w:tc>
                <w:tcPr>
                  <w:tcW w:w="1457" w:type="pct"/>
                  <w:tcBorders>
                    <w:left w:val="single" w:color="auto" w:sz="4" w:space="0"/>
                    <w:bottom w:val="single" w:color="auto" w:sz="4" w:space="0"/>
                  </w:tcBorders>
                  <w:vAlign w:val="center"/>
                </w:tcPr>
                <w:p w14:paraId="450FE44C">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标准来源</w:t>
                  </w:r>
                </w:p>
              </w:tc>
            </w:tr>
            <w:tr w14:paraId="5808983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restart"/>
                  <w:vAlign w:val="center"/>
                </w:tcPr>
                <w:p w14:paraId="1402EC7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SO</w:t>
                  </w:r>
                  <w:r>
                    <w:rPr>
                      <w:rFonts w:hint="default" w:ascii="Times New Roman" w:hAnsi="Times New Roman" w:eastAsia="仿宋" w:cs="Times New Roman"/>
                      <w:color w:val="auto"/>
                      <w:sz w:val="21"/>
                      <w:szCs w:val="21"/>
                      <w:vertAlign w:val="subscript"/>
                    </w:rPr>
                    <w:t>2</w:t>
                  </w:r>
                </w:p>
              </w:tc>
              <w:tc>
                <w:tcPr>
                  <w:tcW w:w="1047" w:type="pct"/>
                  <w:vAlign w:val="center"/>
                </w:tcPr>
                <w:p w14:paraId="310A9803">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年平均</w:t>
                  </w:r>
                </w:p>
              </w:tc>
              <w:tc>
                <w:tcPr>
                  <w:tcW w:w="923" w:type="pct"/>
                  <w:vAlign w:val="center"/>
                </w:tcPr>
                <w:p w14:paraId="12E7C4A6">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60</w:t>
                  </w:r>
                </w:p>
              </w:tc>
              <w:tc>
                <w:tcPr>
                  <w:tcW w:w="537" w:type="pct"/>
                  <w:vMerge w:val="restart"/>
                  <w:tcBorders>
                    <w:right w:val="single" w:color="auto" w:sz="4" w:space="0"/>
                  </w:tcBorders>
                  <w:vAlign w:val="center"/>
                </w:tcPr>
                <w:p w14:paraId="4857B7E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μg/m</w:t>
                  </w:r>
                  <w:r>
                    <w:rPr>
                      <w:rFonts w:hint="default" w:ascii="Times New Roman" w:hAnsi="Times New Roman" w:eastAsia="仿宋" w:cs="Times New Roman"/>
                      <w:color w:val="auto"/>
                      <w:sz w:val="21"/>
                      <w:szCs w:val="21"/>
                      <w:vertAlign w:val="superscript"/>
                    </w:rPr>
                    <w:t>3</w:t>
                  </w:r>
                </w:p>
              </w:tc>
              <w:tc>
                <w:tcPr>
                  <w:tcW w:w="1457" w:type="pct"/>
                  <w:vMerge w:val="restart"/>
                  <w:tcBorders>
                    <w:left w:val="single" w:color="auto" w:sz="4" w:space="0"/>
                  </w:tcBorders>
                  <w:vAlign w:val="center"/>
                </w:tcPr>
                <w:p w14:paraId="44AD9DA1">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《环境空气质量标准》（GB3095-2012）中二级标准</w:t>
                  </w:r>
                </w:p>
              </w:tc>
            </w:tr>
            <w:tr w14:paraId="246AE44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continue"/>
                  <w:vAlign w:val="center"/>
                </w:tcPr>
                <w:p w14:paraId="586AB172">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047" w:type="pct"/>
                  <w:vAlign w:val="center"/>
                </w:tcPr>
                <w:p w14:paraId="126BD25A">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24小时平均</w:t>
                  </w:r>
                </w:p>
              </w:tc>
              <w:tc>
                <w:tcPr>
                  <w:tcW w:w="923" w:type="pct"/>
                  <w:vAlign w:val="center"/>
                </w:tcPr>
                <w:p w14:paraId="1EBF710E">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150</w:t>
                  </w:r>
                </w:p>
              </w:tc>
              <w:tc>
                <w:tcPr>
                  <w:tcW w:w="537" w:type="pct"/>
                  <w:vMerge w:val="continue"/>
                  <w:tcBorders>
                    <w:right w:val="single" w:color="auto" w:sz="4" w:space="0"/>
                  </w:tcBorders>
                  <w:vAlign w:val="center"/>
                </w:tcPr>
                <w:p w14:paraId="4F714100">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086AC74F">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4F2A092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continue"/>
                  <w:vAlign w:val="center"/>
                </w:tcPr>
                <w:p w14:paraId="7506B0FE">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047" w:type="pct"/>
                  <w:vAlign w:val="center"/>
                </w:tcPr>
                <w:p w14:paraId="2392EA7F">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1小时平均</w:t>
                  </w:r>
                </w:p>
              </w:tc>
              <w:tc>
                <w:tcPr>
                  <w:tcW w:w="923" w:type="pct"/>
                  <w:vAlign w:val="center"/>
                </w:tcPr>
                <w:p w14:paraId="77A2372B">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500</w:t>
                  </w:r>
                </w:p>
              </w:tc>
              <w:tc>
                <w:tcPr>
                  <w:tcW w:w="537" w:type="pct"/>
                  <w:vMerge w:val="continue"/>
                  <w:tcBorders>
                    <w:right w:val="single" w:color="auto" w:sz="4" w:space="0"/>
                  </w:tcBorders>
                  <w:vAlign w:val="center"/>
                </w:tcPr>
                <w:p w14:paraId="6DF7CF03">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261C888D">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7924B79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restart"/>
                  <w:vAlign w:val="center"/>
                </w:tcPr>
                <w:p w14:paraId="0B544150">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NO</w:t>
                  </w:r>
                  <w:r>
                    <w:rPr>
                      <w:rFonts w:hint="default" w:ascii="Times New Roman" w:hAnsi="Times New Roman" w:eastAsia="仿宋" w:cs="Times New Roman"/>
                      <w:color w:val="auto"/>
                      <w:sz w:val="21"/>
                      <w:szCs w:val="21"/>
                      <w:vertAlign w:val="subscript"/>
                    </w:rPr>
                    <w:t>2</w:t>
                  </w:r>
                </w:p>
              </w:tc>
              <w:tc>
                <w:tcPr>
                  <w:tcW w:w="1047" w:type="pct"/>
                  <w:vAlign w:val="center"/>
                </w:tcPr>
                <w:p w14:paraId="58D0A2E0">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年平均</w:t>
                  </w:r>
                </w:p>
              </w:tc>
              <w:tc>
                <w:tcPr>
                  <w:tcW w:w="923" w:type="pct"/>
                  <w:vAlign w:val="center"/>
                </w:tcPr>
                <w:p w14:paraId="731EBF48">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40</w:t>
                  </w:r>
                </w:p>
              </w:tc>
              <w:tc>
                <w:tcPr>
                  <w:tcW w:w="537" w:type="pct"/>
                  <w:vMerge w:val="continue"/>
                  <w:tcBorders>
                    <w:right w:val="single" w:color="auto" w:sz="4" w:space="0"/>
                  </w:tcBorders>
                  <w:vAlign w:val="center"/>
                </w:tcPr>
                <w:p w14:paraId="7DD83189">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06ED36A4">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6870200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continue"/>
                  <w:vAlign w:val="center"/>
                </w:tcPr>
                <w:p w14:paraId="1DB9E80E">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047" w:type="pct"/>
                  <w:vAlign w:val="center"/>
                </w:tcPr>
                <w:p w14:paraId="001D129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24小时平均</w:t>
                  </w:r>
                </w:p>
              </w:tc>
              <w:tc>
                <w:tcPr>
                  <w:tcW w:w="923" w:type="pct"/>
                  <w:vAlign w:val="center"/>
                </w:tcPr>
                <w:p w14:paraId="423A8792">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80</w:t>
                  </w:r>
                </w:p>
              </w:tc>
              <w:tc>
                <w:tcPr>
                  <w:tcW w:w="537" w:type="pct"/>
                  <w:vMerge w:val="continue"/>
                  <w:tcBorders>
                    <w:right w:val="single" w:color="auto" w:sz="4" w:space="0"/>
                  </w:tcBorders>
                  <w:vAlign w:val="center"/>
                </w:tcPr>
                <w:p w14:paraId="3A314FC4">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08AE6660">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6424245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1033" w:type="pct"/>
                  <w:vMerge w:val="continue"/>
                  <w:vAlign w:val="center"/>
                </w:tcPr>
                <w:p w14:paraId="4BF58556">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047" w:type="pct"/>
                  <w:vAlign w:val="center"/>
                </w:tcPr>
                <w:p w14:paraId="2C147DB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1小时平均</w:t>
                  </w:r>
                </w:p>
              </w:tc>
              <w:tc>
                <w:tcPr>
                  <w:tcW w:w="923" w:type="pct"/>
                  <w:vAlign w:val="center"/>
                </w:tcPr>
                <w:p w14:paraId="3D463536">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200</w:t>
                  </w:r>
                </w:p>
              </w:tc>
              <w:tc>
                <w:tcPr>
                  <w:tcW w:w="537" w:type="pct"/>
                  <w:vMerge w:val="continue"/>
                  <w:tcBorders>
                    <w:right w:val="single" w:color="auto" w:sz="4" w:space="0"/>
                  </w:tcBorders>
                  <w:vAlign w:val="center"/>
                </w:tcPr>
                <w:p w14:paraId="1CDF5C5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33679DD3">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3DC1EF2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restart"/>
                  <w:vAlign w:val="center"/>
                </w:tcPr>
                <w:p w14:paraId="12F956A9">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PM</w:t>
                  </w:r>
                  <w:r>
                    <w:rPr>
                      <w:rFonts w:hint="default" w:ascii="Times New Roman" w:hAnsi="Times New Roman" w:eastAsia="仿宋" w:cs="Times New Roman"/>
                      <w:color w:val="auto"/>
                      <w:sz w:val="21"/>
                      <w:szCs w:val="21"/>
                      <w:vertAlign w:val="subscript"/>
                    </w:rPr>
                    <w:t>10</w:t>
                  </w:r>
                </w:p>
              </w:tc>
              <w:tc>
                <w:tcPr>
                  <w:tcW w:w="1047" w:type="pct"/>
                  <w:vAlign w:val="center"/>
                </w:tcPr>
                <w:p w14:paraId="19637917">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年平均</w:t>
                  </w:r>
                </w:p>
              </w:tc>
              <w:tc>
                <w:tcPr>
                  <w:tcW w:w="923" w:type="pct"/>
                  <w:vAlign w:val="center"/>
                </w:tcPr>
                <w:p w14:paraId="5FA25E41">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70</w:t>
                  </w:r>
                </w:p>
              </w:tc>
              <w:tc>
                <w:tcPr>
                  <w:tcW w:w="537" w:type="pct"/>
                  <w:vMerge w:val="continue"/>
                  <w:tcBorders>
                    <w:right w:val="single" w:color="auto" w:sz="4" w:space="0"/>
                  </w:tcBorders>
                  <w:vAlign w:val="center"/>
                </w:tcPr>
                <w:p w14:paraId="7197EC86">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1571F02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39799AD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continue"/>
                  <w:vAlign w:val="center"/>
                </w:tcPr>
                <w:p w14:paraId="0EBD489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047" w:type="pct"/>
                  <w:vAlign w:val="center"/>
                </w:tcPr>
                <w:p w14:paraId="1E07919C">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24小时平均</w:t>
                  </w:r>
                </w:p>
              </w:tc>
              <w:tc>
                <w:tcPr>
                  <w:tcW w:w="923" w:type="pct"/>
                  <w:vAlign w:val="center"/>
                </w:tcPr>
                <w:p w14:paraId="766D3BEB">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150</w:t>
                  </w:r>
                </w:p>
              </w:tc>
              <w:tc>
                <w:tcPr>
                  <w:tcW w:w="537" w:type="pct"/>
                  <w:vMerge w:val="continue"/>
                  <w:tcBorders>
                    <w:right w:val="single" w:color="auto" w:sz="4" w:space="0"/>
                  </w:tcBorders>
                  <w:vAlign w:val="center"/>
                </w:tcPr>
                <w:p w14:paraId="4518BFA0">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61041147">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44C7E97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restart"/>
                  <w:vAlign w:val="center"/>
                </w:tcPr>
                <w:p w14:paraId="11A06B41">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PM</w:t>
                  </w:r>
                  <w:r>
                    <w:rPr>
                      <w:rFonts w:hint="default" w:ascii="Times New Roman" w:hAnsi="Times New Roman" w:eastAsia="仿宋" w:cs="Times New Roman"/>
                      <w:color w:val="auto"/>
                      <w:sz w:val="21"/>
                      <w:szCs w:val="21"/>
                      <w:vertAlign w:val="subscript"/>
                    </w:rPr>
                    <w:t>2.5</w:t>
                  </w:r>
                </w:p>
              </w:tc>
              <w:tc>
                <w:tcPr>
                  <w:tcW w:w="1047" w:type="pct"/>
                  <w:vAlign w:val="center"/>
                </w:tcPr>
                <w:p w14:paraId="43954449">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年平均</w:t>
                  </w:r>
                </w:p>
              </w:tc>
              <w:tc>
                <w:tcPr>
                  <w:tcW w:w="923" w:type="pct"/>
                  <w:vAlign w:val="center"/>
                </w:tcPr>
                <w:p w14:paraId="36889CD9">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35</w:t>
                  </w:r>
                </w:p>
              </w:tc>
              <w:tc>
                <w:tcPr>
                  <w:tcW w:w="537" w:type="pct"/>
                  <w:vMerge w:val="continue"/>
                  <w:tcBorders>
                    <w:right w:val="single" w:color="auto" w:sz="4" w:space="0"/>
                  </w:tcBorders>
                  <w:vAlign w:val="center"/>
                </w:tcPr>
                <w:p w14:paraId="28876854">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2F038D77">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03BF377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continue"/>
                  <w:vAlign w:val="center"/>
                </w:tcPr>
                <w:p w14:paraId="047809E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047" w:type="pct"/>
                  <w:vAlign w:val="center"/>
                </w:tcPr>
                <w:p w14:paraId="136F55FE">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24小时平均</w:t>
                  </w:r>
                </w:p>
              </w:tc>
              <w:tc>
                <w:tcPr>
                  <w:tcW w:w="923" w:type="pct"/>
                  <w:vAlign w:val="center"/>
                </w:tcPr>
                <w:p w14:paraId="6CE2EEDD">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75</w:t>
                  </w:r>
                </w:p>
              </w:tc>
              <w:tc>
                <w:tcPr>
                  <w:tcW w:w="537" w:type="pct"/>
                  <w:vMerge w:val="continue"/>
                  <w:tcBorders>
                    <w:right w:val="single" w:color="auto" w:sz="4" w:space="0"/>
                  </w:tcBorders>
                  <w:vAlign w:val="center"/>
                </w:tcPr>
                <w:p w14:paraId="2346B3F0">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6C4DE9BD">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6E69BE1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restart"/>
                  <w:vAlign w:val="center"/>
                </w:tcPr>
                <w:p w14:paraId="0DA341AA">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CO</w:t>
                  </w:r>
                </w:p>
              </w:tc>
              <w:tc>
                <w:tcPr>
                  <w:tcW w:w="1047" w:type="pct"/>
                  <w:vAlign w:val="center"/>
                </w:tcPr>
                <w:p w14:paraId="0247A48D">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24小时平均</w:t>
                  </w:r>
                </w:p>
              </w:tc>
              <w:tc>
                <w:tcPr>
                  <w:tcW w:w="923" w:type="pct"/>
                  <w:vAlign w:val="center"/>
                </w:tcPr>
                <w:p w14:paraId="00307179">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4000</w:t>
                  </w:r>
                </w:p>
              </w:tc>
              <w:tc>
                <w:tcPr>
                  <w:tcW w:w="537" w:type="pct"/>
                  <w:vMerge w:val="continue"/>
                  <w:tcBorders>
                    <w:right w:val="single" w:color="auto" w:sz="4" w:space="0"/>
                  </w:tcBorders>
                  <w:vAlign w:val="center"/>
                </w:tcPr>
                <w:p w14:paraId="1797EAD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62EF53C5">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511D5E4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continue"/>
                  <w:vAlign w:val="center"/>
                </w:tcPr>
                <w:p w14:paraId="53D5CAD2">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047" w:type="pct"/>
                  <w:vAlign w:val="center"/>
                </w:tcPr>
                <w:p w14:paraId="7FDC801E">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1小时平均</w:t>
                  </w:r>
                </w:p>
              </w:tc>
              <w:tc>
                <w:tcPr>
                  <w:tcW w:w="923" w:type="pct"/>
                  <w:vAlign w:val="center"/>
                </w:tcPr>
                <w:p w14:paraId="24BD0DBF">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10000</w:t>
                  </w:r>
                </w:p>
              </w:tc>
              <w:tc>
                <w:tcPr>
                  <w:tcW w:w="537" w:type="pct"/>
                  <w:vMerge w:val="continue"/>
                  <w:tcBorders>
                    <w:right w:val="single" w:color="auto" w:sz="4" w:space="0"/>
                  </w:tcBorders>
                  <w:vAlign w:val="center"/>
                </w:tcPr>
                <w:p w14:paraId="3317DA24">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58067A94">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59D3C03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restart"/>
                  <w:vAlign w:val="center"/>
                </w:tcPr>
                <w:p w14:paraId="5C9B976A">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O</w:t>
                  </w:r>
                  <w:r>
                    <w:rPr>
                      <w:rFonts w:hint="default" w:ascii="Times New Roman" w:hAnsi="Times New Roman" w:eastAsia="仿宋" w:cs="Times New Roman"/>
                      <w:color w:val="auto"/>
                      <w:sz w:val="21"/>
                      <w:szCs w:val="21"/>
                      <w:vertAlign w:val="subscript"/>
                    </w:rPr>
                    <w:t>3</w:t>
                  </w:r>
                </w:p>
              </w:tc>
              <w:tc>
                <w:tcPr>
                  <w:tcW w:w="1047" w:type="pct"/>
                  <w:vAlign w:val="center"/>
                </w:tcPr>
                <w:p w14:paraId="51F81238">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8小时平均</w:t>
                  </w:r>
                </w:p>
              </w:tc>
              <w:tc>
                <w:tcPr>
                  <w:tcW w:w="923" w:type="pct"/>
                  <w:vAlign w:val="center"/>
                </w:tcPr>
                <w:p w14:paraId="05C6180B">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160</w:t>
                  </w:r>
                </w:p>
              </w:tc>
              <w:tc>
                <w:tcPr>
                  <w:tcW w:w="537" w:type="pct"/>
                  <w:vMerge w:val="continue"/>
                  <w:tcBorders>
                    <w:right w:val="single" w:color="auto" w:sz="4" w:space="0"/>
                  </w:tcBorders>
                  <w:vAlign w:val="center"/>
                </w:tcPr>
                <w:p w14:paraId="67350518">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2E76266F">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r w14:paraId="0A77FC0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continue"/>
                  <w:vAlign w:val="center"/>
                </w:tcPr>
                <w:p w14:paraId="20C3CC16">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047" w:type="pct"/>
                  <w:vAlign w:val="center"/>
                </w:tcPr>
                <w:p w14:paraId="28D4BF6E">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1小时平均</w:t>
                  </w:r>
                </w:p>
              </w:tc>
              <w:tc>
                <w:tcPr>
                  <w:tcW w:w="923" w:type="pct"/>
                  <w:vAlign w:val="center"/>
                </w:tcPr>
                <w:p w14:paraId="3D2CC4E9">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200</w:t>
                  </w:r>
                </w:p>
              </w:tc>
              <w:tc>
                <w:tcPr>
                  <w:tcW w:w="537" w:type="pct"/>
                  <w:vMerge w:val="continue"/>
                  <w:tcBorders>
                    <w:right w:val="single" w:color="auto" w:sz="4" w:space="0"/>
                  </w:tcBorders>
                  <w:vAlign w:val="center"/>
                </w:tcPr>
                <w:p w14:paraId="5DCC44EB">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c>
                <w:tcPr>
                  <w:tcW w:w="1457" w:type="pct"/>
                  <w:vMerge w:val="continue"/>
                  <w:tcBorders>
                    <w:left w:val="single" w:color="auto" w:sz="4" w:space="0"/>
                  </w:tcBorders>
                  <w:vAlign w:val="center"/>
                </w:tcPr>
                <w:p w14:paraId="603963EB">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sz w:val="21"/>
                      <w:szCs w:val="21"/>
                    </w:rPr>
                  </w:pPr>
                </w:p>
              </w:tc>
            </w:tr>
          </w:tbl>
          <w:p w14:paraId="4C15E6F4">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3、环境噪声</w:t>
            </w:r>
          </w:p>
          <w:p w14:paraId="65BA8B0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仿宋" w:cs="Times New Roman"/>
                <w:color w:val="auto"/>
                <w:kern w:val="0"/>
                <w:sz w:val="24"/>
                <w:szCs w:val="22"/>
                <w:highlight w:val="none"/>
                <w:lang w:val="en-US" w:eastAsia="zh-CN" w:bidi="ar-SA"/>
              </w:rPr>
            </w:pPr>
            <w:r>
              <w:rPr>
                <w:rFonts w:eastAsia="仿宋"/>
                <w:color w:val="auto"/>
                <w:kern w:val="0"/>
                <w:sz w:val="24"/>
                <w:highlight w:val="none"/>
                <w:lang w:val="en-US" w:eastAsia="zh-CN"/>
              </w:rPr>
              <w:t>根据《常州市市区声环境功能区划（2017）》（常政发[2017]161号），本项目所在地</w:t>
            </w:r>
            <w:r>
              <w:rPr>
                <w:rFonts w:hint="eastAsia" w:eastAsia="仿宋"/>
                <w:color w:val="auto"/>
                <w:kern w:val="0"/>
                <w:sz w:val="24"/>
                <w:highlight w:val="none"/>
                <w:lang w:val="en-US" w:eastAsia="zh-CN"/>
              </w:rPr>
              <w:t>无</w:t>
            </w:r>
            <w:r>
              <w:rPr>
                <w:rFonts w:eastAsia="仿宋"/>
                <w:color w:val="auto"/>
                <w:kern w:val="0"/>
                <w:sz w:val="24"/>
                <w:highlight w:val="none"/>
                <w:lang w:val="en-US" w:eastAsia="zh-CN"/>
              </w:rPr>
              <w:t>声环境功</w:t>
            </w:r>
            <w:r>
              <w:rPr>
                <w:rFonts w:ascii="Times New Roman" w:hAnsi="Times New Roman" w:eastAsia="仿宋"/>
                <w:color w:val="auto"/>
                <w:kern w:val="0"/>
                <w:sz w:val="24"/>
                <w:highlight w:val="none"/>
                <w:lang w:val="en-US" w:eastAsia="zh-CN"/>
              </w:rPr>
              <w:t>能区</w:t>
            </w:r>
            <w:r>
              <w:rPr>
                <w:rFonts w:hint="eastAsia" w:eastAsia="仿宋"/>
                <w:color w:val="auto"/>
                <w:kern w:val="0"/>
                <w:sz w:val="24"/>
                <w:highlight w:val="none"/>
                <w:lang w:val="en-US" w:eastAsia="zh-CN"/>
              </w:rPr>
              <w:t>规划</w:t>
            </w:r>
            <w:r>
              <w:rPr>
                <w:rFonts w:hint="eastAsia" w:ascii="Times New Roman" w:hAnsi="Times New Roman" w:eastAsia="仿宋"/>
                <w:color w:val="auto"/>
                <w:kern w:val="0"/>
                <w:sz w:val="24"/>
                <w:highlight w:val="none"/>
                <w:lang w:val="en-US" w:eastAsia="zh-CN"/>
              </w:rPr>
              <w:t>，</w:t>
            </w:r>
            <w:r>
              <w:rPr>
                <w:rFonts w:hint="eastAsia" w:eastAsia="仿宋"/>
                <w:color w:val="auto"/>
                <w:kern w:val="0"/>
                <w:sz w:val="24"/>
                <w:highlight w:val="none"/>
                <w:lang w:val="en-US" w:eastAsia="zh-CN"/>
              </w:rPr>
              <w:t>根据《声环境质量标准》（GB3096-2008），项目区北侧河海大学</w:t>
            </w:r>
            <w:r>
              <w:rPr>
                <w:rFonts w:hint="eastAsia" w:ascii="Times New Roman" w:hAnsi="Times New Roman" w:eastAsia="仿宋"/>
                <w:color w:val="auto"/>
                <w:kern w:val="0"/>
                <w:sz w:val="24"/>
                <w:highlight w:val="none"/>
                <w:lang w:val="en-US" w:eastAsia="zh-CN"/>
              </w:rPr>
              <w:t>长荡湖</w:t>
            </w:r>
            <w:r>
              <w:rPr>
                <w:rFonts w:hint="eastAsia" w:eastAsia="仿宋"/>
                <w:color w:val="auto"/>
                <w:kern w:val="0"/>
                <w:sz w:val="24"/>
                <w:highlight w:val="none"/>
                <w:lang w:val="en-US" w:eastAsia="zh-CN"/>
              </w:rPr>
              <w:t>校区为学校，参照执行1类标准，</w:t>
            </w:r>
            <w:r>
              <w:rPr>
                <w:rFonts w:hint="eastAsia" w:ascii="Times New Roman" w:hAnsi="Times New Roman" w:eastAsia="仿宋" w:cs="Times New Roman"/>
                <w:color w:val="auto"/>
                <w:kern w:val="0"/>
                <w:sz w:val="24"/>
                <w:szCs w:val="22"/>
                <w:highlight w:val="none"/>
                <w:lang w:val="en-US" w:eastAsia="zh-CN" w:bidi="ar-SA"/>
              </w:rPr>
              <w:t>本项目标准值见表3-1</w:t>
            </w:r>
            <w:r>
              <w:rPr>
                <w:rFonts w:hint="eastAsia" w:eastAsia="仿宋" w:cs="Times New Roman"/>
                <w:color w:val="auto"/>
                <w:kern w:val="0"/>
                <w:sz w:val="24"/>
                <w:szCs w:val="22"/>
                <w:highlight w:val="none"/>
                <w:lang w:val="en-US" w:eastAsia="zh-CN" w:bidi="ar-SA"/>
              </w:rPr>
              <w:t>8，项目区东侧及南侧为长荡湖水域，无保护目标</w:t>
            </w:r>
            <w:r>
              <w:rPr>
                <w:rFonts w:hint="eastAsia" w:ascii="Times New Roman" w:hAnsi="Times New Roman" w:eastAsia="仿宋" w:cs="Times New Roman"/>
                <w:color w:val="auto"/>
                <w:kern w:val="0"/>
                <w:sz w:val="24"/>
                <w:szCs w:val="22"/>
                <w:highlight w:val="none"/>
                <w:lang w:val="en-US" w:eastAsia="zh-CN" w:bidi="ar-SA"/>
              </w:rPr>
              <w:t>。</w:t>
            </w:r>
          </w:p>
          <w:p w14:paraId="2E5620EA">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表3-18 声环境质量标准  单位：dB（A）</w:t>
            </w:r>
          </w:p>
          <w:tbl>
            <w:tblPr>
              <w:tblStyle w:val="2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72"/>
              <w:gridCol w:w="2347"/>
              <w:gridCol w:w="951"/>
              <w:gridCol w:w="1215"/>
              <w:gridCol w:w="1216"/>
            </w:tblGrid>
            <w:tr w14:paraId="1CDCB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1852" w:type="pct"/>
                  <w:vAlign w:val="center"/>
                </w:tcPr>
                <w:p w14:paraId="72ECF768">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lang w:val="en-US" w:eastAsia="zh-CN"/>
                    </w:rPr>
                    <w:t>区域</w:t>
                  </w:r>
                </w:p>
              </w:tc>
              <w:tc>
                <w:tcPr>
                  <w:tcW w:w="1289" w:type="pct"/>
                  <w:vAlign w:val="center"/>
                </w:tcPr>
                <w:p w14:paraId="027F06F9">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default" w:ascii="Times New Roman" w:hAnsi="Times New Roman" w:eastAsia="仿宋" w:cs="Times New Roman"/>
                      <w:b/>
                      <w:bCs/>
                      <w:color w:val="auto"/>
                      <w:sz w:val="21"/>
                      <w:szCs w:val="21"/>
                      <w:lang w:val="en-US" w:eastAsia="zh-CN"/>
                    </w:rPr>
                    <w:t>执行标准</w:t>
                  </w:r>
                </w:p>
              </w:tc>
              <w:tc>
                <w:tcPr>
                  <w:tcW w:w="522" w:type="pct"/>
                  <w:vAlign w:val="center"/>
                </w:tcPr>
                <w:p w14:paraId="681A3325">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bCs/>
                      <w:color w:val="auto"/>
                      <w:kern w:val="2"/>
                      <w:sz w:val="21"/>
                      <w:szCs w:val="21"/>
                      <w:lang w:val="en-US" w:eastAsia="zh-CN" w:bidi="ar-SA"/>
                    </w:rPr>
                  </w:pPr>
                  <w:r>
                    <w:rPr>
                      <w:rFonts w:hint="default" w:ascii="Times New Roman" w:hAnsi="Times New Roman" w:eastAsia="仿宋" w:cs="Times New Roman"/>
                      <w:b/>
                      <w:bCs/>
                      <w:color w:val="auto"/>
                      <w:sz w:val="21"/>
                      <w:szCs w:val="21"/>
                    </w:rPr>
                    <w:t>类别</w:t>
                  </w:r>
                </w:p>
              </w:tc>
              <w:tc>
                <w:tcPr>
                  <w:tcW w:w="667" w:type="pct"/>
                  <w:vAlign w:val="center"/>
                </w:tcPr>
                <w:p w14:paraId="71F06D51">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bCs/>
                      <w:color w:val="auto"/>
                      <w:kern w:val="2"/>
                      <w:sz w:val="21"/>
                      <w:szCs w:val="21"/>
                      <w:lang w:val="en-US" w:eastAsia="zh-CN" w:bidi="ar-SA"/>
                    </w:rPr>
                  </w:pPr>
                  <w:r>
                    <w:rPr>
                      <w:rFonts w:hint="default" w:ascii="Times New Roman" w:hAnsi="Times New Roman" w:eastAsia="仿宋" w:cs="Times New Roman"/>
                      <w:b/>
                      <w:bCs/>
                      <w:color w:val="auto"/>
                      <w:sz w:val="21"/>
                      <w:szCs w:val="21"/>
                    </w:rPr>
                    <w:t>昼间</w:t>
                  </w:r>
                </w:p>
              </w:tc>
              <w:tc>
                <w:tcPr>
                  <w:tcW w:w="668" w:type="pct"/>
                  <w:vAlign w:val="center"/>
                </w:tcPr>
                <w:p w14:paraId="478F2036">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bCs/>
                      <w:color w:val="auto"/>
                      <w:kern w:val="2"/>
                      <w:sz w:val="21"/>
                      <w:szCs w:val="21"/>
                      <w:lang w:val="en-US" w:eastAsia="zh-CN" w:bidi="ar-SA"/>
                    </w:rPr>
                  </w:pPr>
                  <w:r>
                    <w:rPr>
                      <w:rFonts w:hint="default" w:ascii="Times New Roman" w:hAnsi="Times New Roman" w:eastAsia="仿宋" w:cs="Times New Roman"/>
                      <w:b/>
                      <w:bCs/>
                      <w:color w:val="auto"/>
                      <w:sz w:val="21"/>
                      <w:szCs w:val="21"/>
                    </w:rPr>
                    <w:t>夜间</w:t>
                  </w:r>
                </w:p>
              </w:tc>
            </w:tr>
            <w:tr w14:paraId="04B7C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852" w:type="pct"/>
                  <w:vAlign w:val="center"/>
                </w:tcPr>
                <w:p w14:paraId="7EE22018">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rPr>
                  </w:pPr>
                  <w:r>
                    <w:rPr>
                      <w:rFonts w:hint="eastAsia" w:eastAsia="仿宋" w:cs="Times New Roman"/>
                      <w:color w:val="auto"/>
                      <w:kern w:val="0"/>
                      <w:sz w:val="21"/>
                      <w:szCs w:val="21"/>
                      <w:highlight w:val="none"/>
                      <w:lang w:val="en-US" w:eastAsia="zh-CN"/>
                    </w:rPr>
                    <w:t>项目周边区域</w:t>
                  </w:r>
                </w:p>
              </w:tc>
              <w:tc>
                <w:tcPr>
                  <w:tcW w:w="1289" w:type="pct"/>
                  <w:vAlign w:val="center"/>
                </w:tcPr>
                <w:p w14:paraId="6D6A607A">
                  <w:pPr>
                    <w:pStyle w:val="7"/>
                    <w:keepNext w:val="0"/>
                    <w:keepLines w:val="0"/>
                    <w:suppressLineNumbers w:val="0"/>
                    <w:spacing w:beforeAutospacing="0" w:afterAutospacing="0"/>
                    <w:ind w:left="0" w:right="0"/>
                    <w:jc w:val="center"/>
                    <w:rPr>
                      <w:rFonts w:hint="default" w:ascii="Times New Roman" w:hAnsi="Times New Roman" w:eastAsia="仿宋" w:cs="Times New Roman"/>
                      <w:color w:val="auto"/>
                      <w:kern w:val="0"/>
                      <w:sz w:val="21"/>
                      <w:szCs w:val="21"/>
                      <w:highlight w:val="none"/>
                      <w:lang w:val="en-US" w:eastAsia="zh-CN"/>
                    </w:rPr>
                  </w:pPr>
                  <w:r>
                    <w:rPr>
                      <w:rFonts w:hint="default" w:ascii="Times New Roman" w:hAnsi="Times New Roman" w:eastAsia="仿宋" w:cs="Times New Roman"/>
                      <w:color w:val="auto"/>
                      <w:kern w:val="0"/>
                      <w:sz w:val="21"/>
                      <w:szCs w:val="21"/>
                      <w:highlight w:val="none"/>
                      <w:lang w:val="en-US" w:eastAsia="zh-CN"/>
                    </w:rPr>
                    <w:t>《声环境质量标准》（GB3096-2008）</w:t>
                  </w:r>
                </w:p>
              </w:tc>
              <w:tc>
                <w:tcPr>
                  <w:tcW w:w="522" w:type="pct"/>
                  <w:vAlign w:val="center"/>
                </w:tcPr>
                <w:p w14:paraId="67BDBDDA">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val="0"/>
                      <w:bCs w:val="0"/>
                      <w:color w:val="auto"/>
                      <w:kern w:val="2"/>
                      <w:sz w:val="21"/>
                      <w:szCs w:val="21"/>
                      <w:lang w:val="en-US" w:eastAsia="zh-CN" w:bidi="ar-SA"/>
                    </w:rPr>
                  </w:pPr>
                  <w:r>
                    <w:rPr>
                      <w:rFonts w:hint="eastAsia" w:eastAsia="仿宋" w:cs="Times New Roman"/>
                      <w:b w:val="0"/>
                      <w:bCs w:val="0"/>
                      <w:color w:val="auto"/>
                      <w:sz w:val="21"/>
                      <w:szCs w:val="21"/>
                      <w:lang w:val="en-US" w:eastAsia="zh-CN"/>
                    </w:rPr>
                    <w:t>1类</w:t>
                  </w:r>
                </w:p>
              </w:tc>
              <w:tc>
                <w:tcPr>
                  <w:tcW w:w="667" w:type="pct"/>
                  <w:vAlign w:val="center"/>
                </w:tcPr>
                <w:p w14:paraId="10FE9CD2">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val="0"/>
                      <w:bCs w:val="0"/>
                      <w:color w:val="auto"/>
                      <w:kern w:val="2"/>
                      <w:sz w:val="21"/>
                      <w:szCs w:val="21"/>
                      <w:lang w:val="en-US" w:eastAsia="zh-CN" w:bidi="ar-SA"/>
                    </w:rPr>
                  </w:pPr>
                  <w:r>
                    <w:rPr>
                      <w:rFonts w:hint="eastAsia" w:eastAsia="仿宋" w:cs="Times New Roman"/>
                      <w:b w:val="0"/>
                      <w:bCs w:val="0"/>
                      <w:color w:val="auto"/>
                      <w:sz w:val="21"/>
                      <w:szCs w:val="21"/>
                      <w:lang w:val="en-US" w:eastAsia="zh-CN"/>
                    </w:rPr>
                    <w:t>55</w:t>
                  </w:r>
                </w:p>
              </w:tc>
              <w:tc>
                <w:tcPr>
                  <w:tcW w:w="668" w:type="pct"/>
                  <w:vAlign w:val="center"/>
                </w:tcPr>
                <w:p w14:paraId="6D277C3F">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val="0"/>
                      <w:bCs w:val="0"/>
                      <w:color w:val="auto"/>
                      <w:kern w:val="2"/>
                      <w:sz w:val="21"/>
                      <w:szCs w:val="21"/>
                      <w:lang w:val="en-US" w:eastAsia="zh-CN" w:bidi="ar-SA"/>
                    </w:rPr>
                  </w:pPr>
                  <w:r>
                    <w:rPr>
                      <w:rFonts w:hint="eastAsia" w:eastAsia="仿宋" w:cs="Times New Roman"/>
                      <w:b w:val="0"/>
                      <w:bCs w:val="0"/>
                      <w:color w:val="auto"/>
                      <w:sz w:val="21"/>
                      <w:szCs w:val="21"/>
                      <w:lang w:val="en-US" w:eastAsia="zh-CN"/>
                    </w:rPr>
                    <w:t>45</w:t>
                  </w:r>
                </w:p>
              </w:tc>
            </w:tr>
          </w:tbl>
          <w:p w14:paraId="380234F8">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二、污染物排放标准</w:t>
            </w:r>
          </w:p>
          <w:p w14:paraId="4FD81C23">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1、废水</w:t>
            </w:r>
          </w:p>
          <w:p w14:paraId="2AF92181">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color w:val="auto"/>
                <w:lang w:val="en-US" w:eastAsia="zh-CN"/>
              </w:rPr>
            </w:pPr>
            <w:r>
              <w:rPr>
                <w:rFonts w:hint="eastAsia" w:ascii="Times New Roman" w:hAnsi="Times New Roman" w:eastAsia="仿宋" w:cs="Times New Roman"/>
                <w:color w:val="auto"/>
                <w:kern w:val="0"/>
                <w:sz w:val="24"/>
                <w:szCs w:val="22"/>
                <w:highlight w:val="none"/>
                <w:lang w:val="en-US" w:eastAsia="zh-CN" w:bidi="ar-SA"/>
              </w:rPr>
              <w:t>为了防止施工人员生活污水污染局部水域环境，</w:t>
            </w:r>
            <w:r>
              <w:rPr>
                <w:rFonts w:hint="eastAsia" w:eastAsia="仿宋" w:cs="Times New Roman"/>
                <w:color w:val="auto"/>
                <w:kern w:val="0"/>
                <w:sz w:val="24"/>
                <w:szCs w:val="22"/>
                <w:highlight w:val="none"/>
                <w:lang w:val="en-US" w:eastAsia="zh-CN" w:bidi="ar-SA"/>
              </w:rPr>
              <w:t>施工期本项目施工期生活污水依托周围商业区的公辅设施进入市政污水管网，接管至常州金坛区第一污水处理有限公司处理</w:t>
            </w:r>
            <w:r>
              <w:rPr>
                <w:rFonts w:hint="eastAsia" w:ascii="Times New Roman" w:hAnsi="Times New Roman" w:eastAsia="仿宋" w:cstheme="minorBidi"/>
                <w:color w:val="auto"/>
                <w:kern w:val="0"/>
                <w:sz w:val="24"/>
                <w:szCs w:val="24"/>
                <w:highlight w:val="none"/>
                <w:vertAlign w:val="baseline"/>
                <w:lang w:val="en-US" w:eastAsia="zh-CN"/>
              </w:rPr>
              <w:t>，厂内集中处理达标后排放</w:t>
            </w:r>
            <w:r>
              <w:rPr>
                <w:rFonts w:hint="eastAsia" w:eastAsia="仿宋" w:cs="Times New Roman"/>
                <w:color w:val="auto"/>
                <w:kern w:val="0"/>
                <w:sz w:val="24"/>
                <w:szCs w:val="22"/>
                <w:highlight w:val="none"/>
                <w:lang w:val="en-US" w:eastAsia="zh-CN" w:bidi="ar-SA"/>
              </w:rPr>
              <w:t>，接管浓度执行常州金坛区第一污水处理有限公司接管标准，尾水排放执行《城镇污水处理厂污染物排放标准》（GB18918-2022）一级A标准及《太湖地区城镇污水处理厂及重点工业行业主要水污染排放限值》（DB 32/1072-2018）中排放限值，详见表3-19及3-20。</w:t>
            </w:r>
          </w:p>
          <w:p w14:paraId="44F7E1D0">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表3-19 常州金坛区第一污水处理有限公司接管标准  单位：mg/L</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3"/>
              <w:gridCol w:w="1242"/>
              <w:gridCol w:w="1136"/>
              <w:gridCol w:w="1136"/>
              <w:gridCol w:w="1136"/>
              <w:gridCol w:w="1138"/>
              <w:gridCol w:w="1139"/>
              <w:gridCol w:w="1139"/>
            </w:tblGrid>
            <w:tr w14:paraId="7DD91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7" w:type="pct"/>
                  <w:vAlign w:val="center"/>
                </w:tcPr>
                <w:p w14:paraId="2BA3E429">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项目</w:t>
                  </w:r>
                </w:p>
              </w:tc>
              <w:tc>
                <w:tcPr>
                  <w:tcW w:w="682" w:type="pct"/>
                  <w:vAlign w:val="center"/>
                </w:tcPr>
                <w:p w14:paraId="6FD843E7">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COD</w:t>
                  </w:r>
                </w:p>
              </w:tc>
              <w:tc>
                <w:tcPr>
                  <w:tcW w:w="624" w:type="pct"/>
                  <w:vAlign w:val="center"/>
                </w:tcPr>
                <w:p w14:paraId="039F0D54">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SS</w:t>
                  </w:r>
                </w:p>
              </w:tc>
              <w:tc>
                <w:tcPr>
                  <w:tcW w:w="624" w:type="pct"/>
                  <w:vAlign w:val="center"/>
                </w:tcPr>
                <w:p w14:paraId="5339AB02">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NH</w:t>
                  </w:r>
                  <w:r>
                    <w:rPr>
                      <w:rFonts w:hint="default" w:ascii="Times New Roman" w:hAnsi="Times New Roman" w:eastAsia="仿宋" w:cs="Times New Roman"/>
                      <w:b/>
                      <w:bCs/>
                      <w:color w:val="auto"/>
                      <w:kern w:val="0"/>
                      <w:sz w:val="21"/>
                      <w:szCs w:val="21"/>
                      <w:highlight w:val="none"/>
                      <w:vertAlign w:val="subscript"/>
                      <w:lang w:val="en-US" w:eastAsia="zh-CN" w:bidi="ar-SA"/>
                    </w:rPr>
                    <w:t>3</w:t>
                  </w:r>
                  <w:r>
                    <w:rPr>
                      <w:rFonts w:hint="default" w:ascii="Times New Roman" w:hAnsi="Times New Roman" w:eastAsia="仿宋" w:cs="Times New Roman"/>
                      <w:b/>
                      <w:bCs/>
                      <w:color w:val="auto"/>
                      <w:kern w:val="0"/>
                      <w:sz w:val="21"/>
                      <w:szCs w:val="21"/>
                      <w:highlight w:val="none"/>
                      <w:vertAlign w:val="baseline"/>
                      <w:lang w:val="en-US" w:eastAsia="zh-CN" w:bidi="ar-SA"/>
                    </w:rPr>
                    <w:t>-N</w:t>
                  </w:r>
                </w:p>
              </w:tc>
              <w:tc>
                <w:tcPr>
                  <w:tcW w:w="624" w:type="pct"/>
                  <w:vAlign w:val="center"/>
                </w:tcPr>
                <w:p w14:paraId="7C027A55">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TN</w:t>
                  </w:r>
                </w:p>
              </w:tc>
              <w:tc>
                <w:tcPr>
                  <w:tcW w:w="625" w:type="pct"/>
                  <w:vAlign w:val="center"/>
                </w:tcPr>
                <w:p w14:paraId="0B739CB0">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TP</w:t>
                  </w:r>
                </w:p>
              </w:tc>
              <w:tc>
                <w:tcPr>
                  <w:tcW w:w="625" w:type="pct"/>
                  <w:vAlign w:val="center"/>
                </w:tcPr>
                <w:p w14:paraId="5040B46C">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石油类</w:t>
                  </w:r>
                </w:p>
              </w:tc>
              <w:tc>
                <w:tcPr>
                  <w:tcW w:w="625" w:type="pct"/>
                  <w:vAlign w:val="center"/>
                </w:tcPr>
                <w:p w14:paraId="559F93E0">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动植物油</w:t>
                  </w:r>
                </w:p>
              </w:tc>
            </w:tr>
            <w:tr w14:paraId="2399B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7" w:type="pct"/>
                  <w:vAlign w:val="center"/>
                </w:tcPr>
                <w:p w14:paraId="1FB97CFC">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标准值</w:t>
                  </w:r>
                </w:p>
              </w:tc>
              <w:tc>
                <w:tcPr>
                  <w:tcW w:w="682" w:type="pct"/>
                  <w:vAlign w:val="center"/>
                </w:tcPr>
                <w:p w14:paraId="4ED406E3">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≤500</w:t>
                  </w:r>
                </w:p>
              </w:tc>
              <w:tc>
                <w:tcPr>
                  <w:tcW w:w="624" w:type="pct"/>
                  <w:vAlign w:val="center"/>
                </w:tcPr>
                <w:p w14:paraId="3437F885">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≤250</w:t>
                  </w:r>
                </w:p>
              </w:tc>
              <w:tc>
                <w:tcPr>
                  <w:tcW w:w="624" w:type="pct"/>
                  <w:vAlign w:val="center"/>
                </w:tcPr>
                <w:p w14:paraId="6C86427B">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≤35</w:t>
                  </w:r>
                </w:p>
              </w:tc>
              <w:tc>
                <w:tcPr>
                  <w:tcW w:w="624" w:type="pct"/>
                  <w:vAlign w:val="center"/>
                </w:tcPr>
                <w:p w14:paraId="4684071F">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≤50</w:t>
                  </w:r>
                </w:p>
              </w:tc>
              <w:tc>
                <w:tcPr>
                  <w:tcW w:w="625" w:type="pct"/>
                  <w:vAlign w:val="center"/>
                </w:tcPr>
                <w:p w14:paraId="7BD60D85">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≤3</w:t>
                  </w:r>
                </w:p>
              </w:tc>
              <w:tc>
                <w:tcPr>
                  <w:tcW w:w="625" w:type="pct"/>
                  <w:vAlign w:val="center"/>
                </w:tcPr>
                <w:p w14:paraId="51C56E97">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≤15</w:t>
                  </w:r>
                </w:p>
              </w:tc>
              <w:tc>
                <w:tcPr>
                  <w:tcW w:w="625" w:type="pct"/>
                  <w:vAlign w:val="center"/>
                </w:tcPr>
                <w:p w14:paraId="07FE8CBC">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≤100</w:t>
                  </w:r>
                </w:p>
              </w:tc>
            </w:tr>
          </w:tbl>
          <w:p w14:paraId="347E6210">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表3-20 污水处理厂尾水排放标准  单位：mg/L</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2"/>
              <w:gridCol w:w="1200"/>
              <w:gridCol w:w="1231"/>
              <w:gridCol w:w="1610"/>
              <w:gridCol w:w="3468"/>
            </w:tblGrid>
            <w:tr w14:paraId="6646E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Align w:val="center"/>
                </w:tcPr>
                <w:p w14:paraId="719A97E2">
                  <w:pPr>
                    <w:spacing w:line="240" w:lineRule="auto"/>
                    <w:ind w:firstLine="0" w:firstLineChars="0"/>
                    <w:jc w:val="center"/>
                    <w:rPr>
                      <w:rFonts w:hint="default" w:ascii="Times New Roman" w:hAnsi="Times New Roman" w:eastAsia="仿宋" w:cs="Times New Roman"/>
                      <w:b/>
                      <w:bCs/>
                      <w:color w:val="auto"/>
                      <w:kern w:val="0"/>
                      <w:sz w:val="21"/>
                      <w:szCs w:val="21"/>
                      <w:highlight w:val="none"/>
                      <w:shd w:val="clear" w:color="auto" w:fill="auto"/>
                    </w:rPr>
                  </w:pPr>
                  <w:r>
                    <w:rPr>
                      <w:rFonts w:hint="default" w:ascii="Times New Roman" w:hAnsi="Times New Roman" w:eastAsia="仿宋" w:cs="Times New Roman"/>
                      <w:b/>
                      <w:bCs/>
                      <w:color w:val="auto"/>
                      <w:kern w:val="0"/>
                      <w:sz w:val="21"/>
                      <w:szCs w:val="21"/>
                      <w:highlight w:val="none"/>
                      <w:shd w:val="clear" w:color="auto" w:fill="auto"/>
                    </w:rPr>
                    <w:t>项目</w:t>
                  </w:r>
                </w:p>
              </w:tc>
              <w:tc>
                <w:tcPr>
                  <w:tcW w:w="659" w:type="pct"/>
                  <w:vAlign w:val="center"/>
                </w:tcPr>
                <w:p w14:paraId="6DBAF0F9">
                  <w:pPr>
                    <w:spacing w:line="240" w:lineRule="auto"/>
                    <w:ind w:firstLine="0" w:firstLineChars="0"/>
                    <w:jc w:val="center"/>
                    <w:rPr>
                      <w:rFonts w:hint="default" w:ascii="Times New Roman" w:hAnsi="Times New Roman" w:eastAsia="仿宋" w:cs="Times New Roman"/>
                      <w:b/>
                      <w:bCs/>
                      <w:color w:val="auto"/>
                      <w:kern w:val="0"/>
                      <w:sz w:val="21"/>
                      <w:szCs w:val="21"/>
                      <w:highlight w:val="none"/>
                      <w:shd w:val="clear" w:color="auto" w:fill="auto"/>
                    </w:rPr>
                  </w:pPr>
                  <w:r>
                    <w:rPr>
                      <w:rFonts w:hint="default" w:ascii="Times New Roman" w:hAnsi="Times New Roman" w:eastAsia="仿宋" w:cs="Times New Roman"/>
                      <w:b/>
                      <w:bCs/>
                      <w:color w:val="auto"/>
                      <w:kern w:val="0"/>
                      <w:sz w:val="21"/>
                      <w:szCs w:val="21"/>
                      <w:highlight w:val="none"/>
                      <w:shd w:val="clear" w:color="auto" w:fill="auto"/>
                    </w:rPr>
                    <w:t>取值表号/级别</w:t>
                  </w:r>
                </w:p>
              </w:tc>
              <w:tc>
                <w:tcPr>
                  <w:tcW w:w="676" w:type="pct"/>
                  <w:vAlign w:val="center"/>
                </w:tcPr>
                <w:p w14:paraId="7683AC8B">
                  <w:pPr>
                    <w:spacing w:line="240" w:lineRule="auto"/>
                    <w:ind w:firstLine="0" w:firstLineChars="0"/>
                    <w:jc w:val="center"/>
                    <w:rPr>
                      <w:rFonts w:hint="default" w:ascii="Times New Roman" w:hAnsi="Times New Roman" w:eastAsia="仿宋" w:cs="Times New Roman"/>
                      <w:b/>
                      <w:bCs/>
                      <w:color w:val="auto"/>
                      <w:kern w:val="0"/>
                      <w:sz w:val="21"/>
                      <w:szCs w:val="21"/>
                      <w:highlight w:val="none"/>
                      <w:shd w:val="clear" w:color="auto" w:fill="auto"/>
                    </w:rPr>
                  </w:pPr>
                  <w:r>
                    <w:rPr>
                      <w:rFonts w:hint="default" w:ascii="Times New Roman" w:hAnsi="Times New Roman" w:eastAsia="仿宋" w:cs="Times New Roman"/>
                      <w:b/>
                      <w:bCs/>
                      <w:color w:val="auto"/>
                      <w:kern w:val="0"/>
                      <w:sz w:val="21"/>
                      <w:szCs w:val="21"/>
                      <w:highlight w:val="none"/>
                      <w:shd w:val="clear" w:color="auto" w:fill="auto"/>
                    </w:rPr>
                    <w:t>污染物名称</w:t>
                  </w:r>
                </w:p>
              </w:tc>
              <w:tc>
                <w:tcPr>
                  <w:tcW w:w="884" w:type="pct"/>
                  <w:vAlign w:val="center"/>
                </w:tcPr>
                <w:p w14:paraId="0DB1E084">
                  <w:pPr>
                    <w:spacing w:line="240" w:lineRule="auto"/>
                    <w:ind w:firstLine="0" w:firstLineChars="0"/>
                    <w:jc w:val="center"/>
                    <w:rPr>
                      <w:rFonts w:hint="default" w:ascii="Times New Roman" w:hAnsi="Times New Roman" w:eastAsia="仿宋" w:cs="Times New Roman"/>
                      <w:b/>
                      <w:bCs/>
                      <w:color w:val="auto"/>
                      <w:kern w:val="0"/>
                      <w:sz w:val="21"/>
                      <w:szCs w:val="21"/>
                      <w:highlight w:val="none"/>
                      <w:shd w:val="clear" w:color="auto" w:fill="auto"/>
                    </w:rPr>
                  </w:pPr>
                  <w:r>
                    <w:rPr>
                      <w:rFonts w:hint="default" w:ascii="Times New Roman" w:hAnsi="Times New Roman" w:eastAsia="仿宋" w:cs="Times New Roman"/>
                      <w:b/>
                      <w:bCs/>
                      <w:color w:val="auto"/>
                      <w:kern w:val="0"/>
                      <w:sz w:val="21"/>
                      <w:szCs w:val="21"/>
                      <w:highlight w:val="none"/>
                      <w:shd w:val="clear" w:color="auto" w:fill="auto"/>
                    </w:rPr>
                    <w:t>浓度限值</w:t>
                  </w:r>
                </w:p>
              </w:tc>
              <w:tc>
                <w:tcPr>
                  <w:tcW w:w="1904" w:type="pct"/>
                  <w:vAlign w:val="center"/>
                </w:tcPr>
                <w:p w14:paraId="5432A893">
                  <w:pPr>
                    <w:spacing w:line="240" w:lineRule="auto"/>
                    <w:ind w:firstLine="0" w:firstLineChars="0"/>
                    <w:jc w:val="center"/>
                    <w:rPr>
                      <w:rFonts w:hint="default" w:ascii="Times New Roman" w:hAnsi="Times New Roman" w:eastAsia="仿宋" w:cs="Times New Roman"/>
                      <w:b/>
                      <w:bCs/>
                      <w:color w:val="auto"/>
                      <w:kern w:val="0"/>
                      <w:sz w:val="21"/>
                      <w:szCs w:val="21"/>
                      <w:highlight w:val="none"/>
                      <w:shd w:val="clear" w:color="auto" w:fill="auto"/>
                    </w:rPr>
                  </w:pPr>
                  <w:r>
                    <w:rPr>
                      <w:rFonts w:hint="default" w:ascii="Times New Roman" w:hAnsi="Times New Roman" w:eastAsia="仿宋" w:cs="Times New Roman"/>
                      <w:b/>
                      <w:bCs/>
                      <w:color w:val="auto"/>
                      <w:kern w:val="0"/>
                      <w:sz w:val="21"/>
                      <w:szCs w:val="21"/>
                      <w:highlight w:val="none"/>
                      <w:shd w:val="clear" w:color="auto" w:fill="auto"/>
                    </w:rPr>
                    <w:t>标准来源</w:t>
                  </w:r>
                </w:p>
              </w:tc>
            </w:tr>
            <w:tr w14:paraId="4274D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restart"/>
                  <w:vAlign w:val="center"/>
                </w:tcPr>
                <w:p w14:paraId="420CE559">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r>
                    <w:rPr>
                      <w:rFonts w:hint="eastAsia" w:eastAsia="仿宋" w:cs="Times New Roman"/>
                      <w:color w:val="auto"/>
                      <w:kern w:val="0"/>
                      <w:sz w:val="21"/>
                      <w:szCs w:val="21"/>
                      <w:highlight w:val="none"/>
                      <w:shd w:val="clear" w:color="auto" w:fill="auto"/>
                      <w:lang w:eastAsia="zh-CN"/>
                    </w:rPr>
                    <w:t>常州金坛区第</w:t>
                  </w:r>
                  <w:r>
                    <w:rPr>
                      <w:rFonts w:hint="eastAsia" w:eastAsia="仿宋" w:cs="Times New Roman"/>
                      <w:color w:val="auto"/>
                      <w:kern w:val="0"/>
                      <w:sz w:val="21"/>
                      <w:szCs w:val="21"/>
                      <w:highlight w:val="none"/>
                      <w:shd w:val="clear" w:color="auto" w:fill="auto"/>
                      <w:lang w:val="en-US" w:eastAsia="zh-CN"/>
                    </w:rPr>
                    <w:t>一</w:t>
                  </w:r>
                  <w:r>
                    <w:rPr>
                      <w:rFonts w:hint="eastAsia" w:eastAsia="仿宋" w:cs="Times New Roman"/>
                      <w:color w:val="auto"/>
                      <w:kern w:val="0"/>
                      <w:sz w:val="21"/>
                      <w:szCs w:val="21"/>
                      <w:highlight w:val="none"/>
                      <w:shd w:val="clear" w:color="auto" w:fill="auto"/>
                      <w:lang w:eastAsia="zh-CN"/>
                    </w:rPr>
                    <w:t>污水处理</w:t>
                  </w:r>
                  <w:r>
                    <w:rPr>
                      <w:rFonts w:hint="eastAsia" w:eastAsia="仿宋" w:cs="Times New Roman"/>
                      <w:color w:val="auto"/>
                      <w:kern w:val="0"/>
                      <w:sz w:val="21"/>
                      <w:szCs w:val="21"/>
                      <w:highlight w:val="none"/>
                      <w:shd w:val="clear" w:color="auto" w:fill="auto"/>
                      <w:lang w:val="en-US" w:eastAsia="zh-CN"/>
                    </w:rPr>
                    <w:t>有限公司</w:t>
                  </w:r>
                  <w:r>
                    <w:rPr>
                      <w:rFonts w:hint="default" w:ascii="Times New Roman" w:hAnsi="Times New Roman" w:eastAsia="仿宋" w:cs="Times New Roman"/>
                      <w:color w:val="auto"/>
                      <w:kern w:val="0"/>
                      <w:sz w:val="21"/>
                      <w:szCs w:val="21"/>
                      <w:highlight w:val="none"/>
                      <w:shd w:val="clear" w:color="auto" w:fill="auto"/>
                    </w:rPr>
                    <w:t>排口</w:t>
                  </w:r>
                </w:p>
              </w:tc>
              <w:tc>
                <w:tcPr>
                  <w:tcW w:w="659" w:type="pct"/>
                  <w:vMerge w:val="restart"/>
                  <w:vAlign w:val="center"/>
                </w:tcPr>
                <w:p w14:paraId="4AAA7AE9">
                  <w:pPr>
                    <w:adjustRightInd w:val="0"/>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sz w:val="21"/>
                      <w:szCs w:val="21"/>
                      <w:highlight w:val="none"/>
                      <w:shd w:val="clear" w:color="auto" w:fill="auto"/>
                    </w:rPr>
                    <w:t>一级A</w:t>
                  </w:r>
                </w:p>
              </w:tc>
              <w:tc>
                <w:tcPr>
                  <w:tcW w:w="676" w:type="pct"/>
                  <w:vAlign w:val="center"/>
                </w:tcPr>
                <w:p w14:paraId="13805DE3">
                  <w:pPr>
                    <w:adjustRightInd w:val="0"/>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lang w:val="en-US" w:eastAsia="zh-CN"/>
                    </w:rPr>
                  </w:pPr>
                  <w:r>
                    <w:rPr>
                      <w:rFonts w:hint="eastAsia" w:eastAsia="仿宋" w:cs="Times New Roman"/>
                      <w:color w:val="auto"/>
                      <w:kern w:val="0"/>
                      <w:sz w:val="21"/>
                      <w:szCs w:val="21"/>
                      <w:highlight w:val="none"/>
                      <w:shd w:val="clear" w:color="auto" w:fill="auto"/>
                      <w:lang w:val="en-US" w:eastAsia="zh-CN"/>
                    </w:rPr>
                    <w:t>pH</w:t>
                  </w:r>
                </w:p>
              </w:tc>
              <w:tc>
                <w:tcPr>
                  <w:tcW w:w="884" w:type="pct"/>
                  <w:vAlign w:val="center"/>
                </w:tcPr>
                <w:p w14:paraId="0725EAF8">
                  <w:pPr>
                    <w:pStyle w:val="7"/>
                    <w:rPr>
                      <w:rFonts w:hint="default" w:ascii="Times New Roman" w:hAnsi="Times New Roman" w:eastAsia="仿宋" w:cs="Times New Roman"/>
                      <w:color w:val="auto"/>
                      <w:kern w:val="0"/>
                      <w:sz w:val="21"/>
                      <w:szCs w:val="21"/>
                      <w:highlight w:val="none"/>
                      <w:shd w:val="clear" w:color="auto" w:fill="auto"/>
                      <w:lang w:val="en-US" w:eastAsia="zh-CN"/>
                    </w:rPr>
                  </w:pPr>
                  <w:r>
                    <w:rPr>
                      <w:rFonts w:hint="eastAsia" w:eastAsia="仿宋" w:cs="Times New Roman"/>
                      <w:color w:val="auto"/>
                      <w:kern w:val="0"/>
                      <w:sz w:val="21"/>
                      <w:szCs w:val="21"/>
                      <w:highlight w:val="none"/>
                      <w:shd w:val="clear" w:color="auto" w:fill="auto"/>
                      <w:lang w:val="en-US" w:eastAsia="zh-CN"/>
                    </w:rPr>
                    <w:t>6-9</w:t>
                  </w:r>
                </w:p>
              </w:tc>
              <w:tc>
                <w:tcPr>
                  <w:tcW w:w="1904" w:type="pct"/>
                  <w:vMerge w:val="restart"/>
                  <w:vAlign w:val="center"/>
                </w:tcPr>
                <w:p w14:paraId="57DFF93B">
                  <w:pPr>
                    <w:adjustRightInd w:val="0"/>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sz w:val="21"/>
                      <w:szCs w:val="21"/>
                      <w:highlight w:val="none"/>
                      <w:shd w:val="clear" w:color="auto" w:fill="auto"/>
                    </w:rPr>
                    <w:t>《城镇污水处理厂污染物排放标准》（GB</w:t>
                  </w:r>
                  <w:r>
                    <w:rPr>
                      <w:rFonts w:hint="eastAsia" w:eastAsia="仿宋" w:cs="Times New Roman"/>
                      <w:color w:val="auto"/>
                      <w:sz w:val="21"/>
                      <w:szCs w:val="21"/>
                      <w:highlight w:val="none"/>
                      <w:shd w:val="clear" w:color="auto" w:fill="auto"/>
                      <w:lang w:val="en-US" w:eastAsia="zh-CN"/>
                    </w:rPr>
                    <w:t xml:space="preserve"> </w:t>
                  </w:r>
                  <w:r>
                    <w:rPr>
                      <w:rFonts w:hint="default" w:ascii="Times New Roman" w:hAnsi="Times New Roman" w:eastAsia="仿宋" w:cs="Times New Roman"/>
                      <w:color w:val="auto"/>
                      <w:sz w:val="21"/>
                      <w:szCs w:val="21"/>
                      <w:highlight w:val="none"/>
                      <w:shd w:val="clear" w:color="auto" w:fill="auto"/>
                    </w:rPr>
                    <w:t>18918-20</w:t>
                  </w:r>
                  <w:r>
                    <w:rPr>
                      <w:rFonts w:hint="eastAsia" w:eastAsia="仿宋" w:cs="Times New Roman"/>
                      <w:color w:val="auto"/>
                      <w:sz w:val="21"/>
                      <w:szCs w:val="21"/>
                      <w:highlight w:val="none"/>
                      <w:shd w:val="clear" w:color="auto" w:fill="auto"/>
                      <w:lang w:val="en-US" w:eastAsia="zh-CN"/>
                    </w:rPr>
                    <w:t>22</w:t>
                  </w:r>
                  <w:r>
                    <w:rPr>
                      <w:rFonts w:hint="default" w:ascii="Times New Roman" w:hAnsi="Times New Roman" w:eastAsia="仿宋" w:cs="Times New Roman"/>
                      <w:color w:val="auto"/>
                      <w:sz w:val="21"/>
                      <w:szCs w:val="21"/>
                      <w:highlight w:val="none"/>
                      <w:shd w:val="clear" w:color="auto" w:fill="auto"/>
                    </w:rPr>
                    <w:t>）</w:t>
                  </w:r>
                </w:p>
              </w:tc>
            </w:tr>
            <w:tr w14:paraId="658AC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vAlign w:val="center"/>
                </w:tcPr>
                <w:p w14:paraId="6C37B685">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c>
                <w:tcPr>
                  <w:tcW w:w="659" w:type="pct"/>
                  <w:vMerge w:val="continue"/>
                  <w:vAlign w:val="center"/>
                </w:tcPr>
                <w:p w14:paraId="550FAC44">
                  <w:pPr>
                    <w:adjustRightInd w:val="0"/>
                    <w:spacing w:line="240" w:lineRule="auto"/>
                    <w:ind w:firstLine="0" w:firstLineChars="0"/>
                    <w:jc w:val="center"/>
                    <w:rPr>
                      <w:rFonts w:hint="default" w:ascii="Times New Roman" w:hAnsi="Times New Roman" w:eastAsia="仿宋" w:cs="Times New Roman"/>
                      <w:color w:val="auto"/>
                      <w:sz w:val="21"/>
                      <w:szCs w:val="21"/>
                      <w:highlight w:val="none"/>
                      <w:shd w:val="clear" w:color="auto" w:fill="auto"/>
                    </w:rPr>
                  </w:pPr>
                </w:p>
              </w:tc>
              <w:tc>
                <w:tcPr>
                  <w:tcW w:w="676" w:type="pct"/>
                  <w:vAlign w:val="center"/>
                </w:tcPr>
                <w:p w14:paraId="5034C3FC">
                  <w:pPr>
                    <w:adjustRightInd w:val="0"/>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lang w:val="en-US" w:eastAsia="zh-CN" w:bidi="ar-SA"/>
                    </w:rPr>
                  </w:pPr>
                  <w:r>
                    <w:rPr>
                      <w:rFonts w:hint="default" w:ascii="Times New Roman" w:hAnsi="Times New Roman" w:eastAsia="仿宋" w:cs="Times New Roman"/>
                      <w:color w:val="auto"/>
                      <w:sz w:val="21"/>
                      <w:szCs w:val="21"/>
                      <w:highlight w:val="none"/>
                      <w:shd w:val="clear" w:color="auto" w:fill="auto"/>
                    </w:rPr>
                    <w:t>SS</w:t>
                  </w:r>
                </w:p>
              </w:tc>
              <w:tc>
                <w:tcPr>
                  <w:tcW w:w="884" w:type="pct"/>
                  <w:vAlign w:val="center"/>
                </w:tcPr>
                <w:p w14:paraId="2C947229">
                  <w:pPr>
                    <w:pStyle w:val="7"/>
                    <w:ind w:firstLine="0" w:firstLineChars="0"/>
                    <w:rPr>
                      <w:rFonts w:hint="default" w:ascii="Times New Roman" w:hAnsi="Times New Roman" w:eastAsia="仿宋" w:cs="Times New Roman"/>
                      <w:color w:val="auto"/>
                      <w:kern w:val="0"/>
                      <w:sz w:val="21"/>
                      <w:szCs w:val="21"/>
                      <w:highlight w:val="none"/>
                      <w:shd w:val="clear" w:color="auto" w:fill="auto"/>
                      <w:lang w:val="en-US" w:eastAsia="zh-CN" w:bidi="ar-SA"/>
                    </w:rPr>
                  </w:pPr>
                  <w:r>
                    <w:rPr>
                      <w:rFonts w:hint="default" w:ascii="Times New Roman" w:hAnsi="Times New Roman" w:eastAsia="仿宋" w:cs="Times New Roman"/>
                      <w:color w:val="auto"/>
                      <w:sz w:val="21"/>
                      <w:szCs w:val="21"/>
                      <w:highlight w:val="none"/>
                      <w:shd w:val="clear" w:color="auto" w:fill="auto"/>
                    </w:rPr>
                    <w:t>10</w:t>
                  </w:r>
                </w:p>
              </w:tc>
              <w:tc>
                <w:tcPr>
                  <w:tcW w:w="1904" w:type="pct"/>
                  <w:vMerge w:val="continue"/>
                  <w:vAlign w:val="center"/>
                </w:tcPr>
                <w:p w14:paraId="19F1E807">
                  <w:pPr>
                    <w:adjustRightInd w:val="0"/>
                    <w:spacing w:line="240" w:lineRule="auto"/>
                    <w:ind w:firstLine="0" w:firstLineChars="0"/>
                    <w:jc w:val="center"/>
                    <w:rPr>
                      <w:rFonts w:hint="default" w:ascii="Times New Roman" w:hAnsi="Times New Roman" w:eastAsia="仿宋" w:cs="Times New Roman"/>
                      <w:color w:val="auto"/>
                      <w:sz w:val="21"/>
                      <w:szCs w:val="21"/>
                      <w:highlight w:val="none"/>
                      <w:shd w:val="clear" w:color="auto" w:fill="auto"/>
                    </w:rPr>
                  </w:pPr>
                </w:p>
              </w:tc>
            </w:tr>
            <w:tr w14:paraId="5FF03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vAlign w:val="center"/>
                </w:tcPr>
                <w:p w14:paraId="3F037451">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c>
                <w:tcPr>
                  <w:tcW w:w="659" w:type="pct"/>
                  <w:vMerge w:val="continue"/>
                  <w:vAlign w:val="center"/>
                </w:tcPr>
                <w:p w14:paraId="3EAC17A2">
                  <w:pPr>
                    <w:adjustRightInd w:val="0"/>
                    <w:spacing w:line="240" w:lineRule="auto"/>
                    <w:ind w:firstLine="0" w:firstLineChars="0"/>
                    <w:jc w:val="center"/>
                    <w:rPr>
                      <w:rFonts w:hint="default" w:ascii="Times New Roman" w:hAnsi="Times New Roman" w:eastAsia="仿宋" w:cs="Times New Roman"/>
                      <w:color w:val="auto"/>
                      <w:sz w:val="21"/>
                      <w:szCs w:val="21"/>
                      <w:highlight w:val="none"/>
                      <w:shd w:val="clear" w:color="auto" w:fill="auto"/>
                    </w:rPr>
                  </w:pPr>
                </w:p>
              </w:tc>
              <w:tc>
                <w:tcPr>
                  <w:tcW w:w="676" w:type="pct"/>
                  <w:vAlign w:val="center"/>
                </w:tcPr>
                <w:p w14:paraId="79F98017">
                  <w:pPr>
                    <w:adjustRightInd w:val="0"/>
                    <w:spacing w:line="240" w:lineRule="auto"/>
                    <w:ind w:firstLine="0" w:firstLineChars="0"/>
                    <w:jc w:val="center"/>
                    <w:rPr>
                      <w:rFonts w:hint="default" w:ascii="Times New Roman" w:hAnsi="Times New Roman" w:eastAsia="仿宋" w:cs="Times New Roman"/>
                      <w:color w:val="auto"/>
                      <w:sz w:val="21"/>
                      <w:szCs w:val="21"/>
                      <w:highlight w:val="none"/>
                      <w:shd w:val="clear" w:color="auto" w:fill="auto"/>
                      <w:lang w:val="en-US" w:eastAsia="zh-CN"/>
                    </w:rPr>
                  </w:pPr>
                  <w:r>
                    <w:rPr>
                      <w:rFonts w:hint="eastAsia" w:eastAsia="仿宋" w:cs="Times New Roman"/>
                      <w:color w:val="auto"/>
                      <w:sz w:val="21"/>
                      <w:szCs w:val="21"/>
                      <w:highlight w:val="none"/>
                      <w:shd w:val="clear" w:color="auto" w:fill="auto"/>
                      <w:lang w:val="en-US" w:eastAsia="zh-CN"/>
                    </w:rPr>
                    <w:t>动植物油</w:t>
                  </w:r>
                </w:p>
              </w:tc>
              <w:tc>
                <w:tcPr>
                  <w:tcW w:w="884" w:type="pct"/>
                  <w:vAlign w:val="center"/>
                </w:tcPr>
                <w:p w14:paraId="61A8C7DE">
                  <w:pPr>
                    <w:pStyle w:val="7"/>
                    <w:rPr>
                      <w:rFonts w:hint="eastAsia" w:ascii="Times New Roman" w:hAnsi="Times New Roman" w:eastAsia="仿宋" w:cs="Times New Roman"/>
                      <w:color w:val="auto"/>
                      <w:sz w:val="21"/>
                      <w:szCs w:val="21"/>
                      <w:highlight w:val="none"/>
                      <w:shd w:val="clear" w:color="auto" w:fill="auto"/>
                      <w:lang w:val="en-US" w:eastAsia="zh-CN"/>
                    </w:rPr>
                  </w:pPr>
                  <w:r>
                    <w:rPr>
                      <w:rFonts w:hint="eastAsia" w:eastAsia="仿宋" w:cs="Times New Roman"/>
                      <w:color w:val="auto"/>
                      <w:sz w:val="21"/>
                      <w:szCs w:val="21"/>
                      <w:highlight w:val="none"/>
                      <w:shd w:val="clear" w:color="auto" w:fill="auto"/>
                      <w:lang w:val="en-US" w:eastAsia="zh-CN"/>
                    </w:rPr>
                    <w:t>1</w:t>
                  </w:r>
                </w:p>
              </w:tc>
              <w:tc>
                <w:tcPr>
                  <w:tcW w:w="1904" w:type="pct"/>
                  <w:vMerge w:val="continue"/>
                  <w:vAlign w:val="center"/>
                </w:tcPr>
                <w:p w14:paraId="25F53DF7">
                  <w:pPr>
                    <w:adjustRightInd w:val="0"/>
                    <w:spacing w:line="240" w:lineRule="auto"/>
                    <w:ind w:firstLine="0" w:firstLineChars="0"/>
                    <w:jc w:val="center"/>
                    <w:rPr>
                      <w:rFonts w:hint="default" w:ascii="Times New Roman" w:hAnsi="Times New Roman" w:eastAsia="仿宋" w:cs="Times New Roman"/>
                      <w:color w:val="auto"/>
                      <w:sz w:val="21"/>
                      <w:szCs w:val="21"/>
                      <w:highlight w:val="none"/>
                      <w:shd w:val="clear" w:color="auto" w:fill="auto"/>
                    </w:rPr>
                  </w:pPr>
                </w:p>
              </w:tc>
            </w:tr>
            <w:tr w14:paraId="20BE4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vAlign w:val="center"/>
                </w:tcPr>
                <w:p w14:paraId="646AEC0D">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c>
                <w:tcPr>
                  <w:tcW w:w="659" w:type="pct"/>
                  <w:vMerge w:val="restart"/>
                  <w:vAlign w:val="center"/>
                </w:tcPr>
                <w:p w14:paraId="6F7441B2">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sz w:val="21"/>
                      <w:szCs w:val="21"/>
                      <w:highlight w:val="none"/>
                      <w:shd w:val="clear" w:color="auto" w:fill="auto"/>
                    </w:rPr>
                    <w:t>表2</w:t>
                  </w:r>
                  <w:r>
                    <w:rPr>
                      <w:rFonts w:hint="default" w:ascii="Times New Roman" w:hAnsi="Times New Roman" w:eastAsia="仿宋" w:cs="Times New Roman"/>
                      <w:color w:val="auto"/>
                      <w:kern w:val="0"/>
                      <w:sz w:val="21"/>
                      <w:szCs w:val="21"/>
                      <w:highlight w:val="none"/>
                      <w:shd w:val="clear" w:color="auto" w:fill="auto"/>
                    </w:rPr>
                    <w:t>城镇污水处理厂ⅠⅠ</w:t>
                  </w:r>
                </w:p>
              </w:tc>
              <w:tc>
                <w:tcPr>
                  <w:tcW w:w="676" w:type="pct"/>
                  <w:vAlign w:val="center"/>
                </w:tcPr>
                <w:p w14:paraId="48E3421B">
                  <w:pPr>
                    <w:adjustRightInd w:val="0"/>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kern w:val="0"/>
                      <w:sz w:val="21"/>
                      <w:szCs w:val="21"/>
                      <w:highlight w:val="none"/>
                      <w:shd w:val="clear" w:color="auto" w:fill="auto"/>
                    </w:rPr>
                    <w:t>COD</w:t>
                  </w:r>
                </w:p>
              </w:tc>
              <w:tc>
                <w:tcPr>
                  <w:tcW w:w="884" w:type="pct"/>
                  <w:vAlign w:val="center"/>
                </w:tcPr>
                <w:p w14:paraId="45F4EF6A">
                  <w:pPr>
                    <w:pStyle w:val="7"/>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sz w:val="21"/>
                      <w:szCs w:val="21"/>
                      <w:highlight w:val="none"/>
                      <w:shd w:val="clear" w:color="auto" w:fill="auto"/>
                    </w:rPr>
                    <w:t>50</w:t>
                  </w:r>
                </w:p>
              </w:tc>
              <w:tc>
                <w:tcPr>
                  <w:tcW w:w="1904" w:type="pct"/>
                  <w:vMerge w:val="restart"/>
                  <w:vAlign w:val="center"/>
                </w:tcPr>
                <w:p w14:paraId="783B2818">
                  <w:pPr>
                    <w:adjustRightInd w:val="0"/>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sz w:val="21"/>
                      <w:szCs w:val="21"/>
                      <w:highlight w:val="none"/>
                      <w:shd w:val="clear" w:color="auto" w:fill="auto"/>
                    </w:rPr>
                    <w:t>《太湖地区城镇污水处理厂及重点工业行业主要水污染物排放限值》（DB</w:t>
                  </w:r>
                  <w:r>
                    <w:rPr>
                      <w:rFonts w:hint="eastAsia" w:eastAsia="仿宋" w:cs="Times New Roman"/>
                      <w:color w:val="auto"/>
                      <w:sz w:val="21"/>
                      <w:szCs w:val="21"/>
                      <w:highlight w:val="none"/>
                      <w:shd w:val="clear" w:color="auto" w:fill="auto"/>
                      <w:lang w:val="en-US" w:eastAsia="zh-CN"/>
                    </w:rPr>
                    <w:t xml:space="preserve"> </w:t>
                  </w:r>
                  <w:r>
                    <w:rPr>
                      <w:rFonts w:hint="default" w:ascii="Times New Roman" w:hAnsi="Times New Roman" w:eastAsia="仿宋" w:cs="Times New Roman"/>
                      <w:color w:val="auto"/>
                      <w:sz w:val="21"/>
                      <w:szCs w:val="21"/>
                      <w:highlight w:val="none"/>
                      <w:shd w:val="clear" w:color="auto" w:fill="auto"/>
                    </w:rPr>
                    <w:t>32/1072-2018）</w:t>
                  </w:r>
                </w:p>
              </w:tc>
            </w:tr>
            <w:tr w14:paraId="5537A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vAlign w:val="center"/>
                </w:tcPr>
                <w:p w14:paraId="433EC126">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c>
                <w:tcPr>
                  <w:tcW w:w="659" w:type="pct"/>
                  <w:vMerge w:val="continue"/>
                  <w:vAlign w:val="center"/>
                </w:tcPr>
                <w:p w14:paraId="37F56BE8">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c>
                <w:tcPr>
                  <w:tcW w:w="676" w:type="pct"/>
                  <w:vAlign w:val="center"/>
                </w:tcPr>
                <w:p w14:paraId="0529A6F7">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kern w:val="0"/>
                      <w:sz w:val="21"/>
                      <w:szCs w:val="21"/>
                      <w:highlight w:val="none"/>
                      <w:shd w:val="clear" w:color="auto" w:fill="auto"/>
                    </w:rPr>
                    <w:t>NH</w:t>
                  </w:r>
                  <w:r>
                    <w:rPr>
                      <w:rFonts w:hint="default" w:ascii="Times New Roman" w:hAnsi="Times New Roman" w:eastAsia="仿宋" w:cs="Times New Roman"/>
                      <w:color w:val="auto"/>
                      <w:kern w:val="0"/>
                      <w:sz w:val="21"/>
                      <w:szCs w:val="21"/>
                      <w:highlight w:val="none"/>
                      <w:shd w:val="clear" w:color="auto" w:fill="auto"/>
                      <w:vertAlign w:val="subscript"/>
                    </w:rPr>
                    <w:t>3</w:t>
                  </w:r>
                  <w:r>
                    <w:rPr>
                      <w:rFonts w:hint="default" w:ascii="Times New Roman" w:hAnsi="Times New Roman" w:eastAsia="仿宋" w:cs="Times New Roman"/>
                      <w:color w:val="auto"/>
                      <w:kern w:val="0"/>
                      <w:sz w:val="21"/>
                      <w:szCs w:val="21"/>
                      <w:highlight w:val="none"/>
                      <w:shd w:val="clear" w:color="auto" w:fill="auto"/>
                    </w:rPr>
                    <w:t>-N</w:t>
                  </w:r>
                </w:p>
              </w:tc>
              <w:tc>
                <w:tcPr>
                  <w:tcW w:w="884" w:type="pct"/>
                  <w:vAlign w:val="center"/>
                </w:tcPr>
                <w:p w14:paraId="7CEBE89A">
                  <w:pPr>
                    <w:pStyle w:val="7"/>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sz w:val="21"/>
                      <w:szCs w:val="21"/>
                      <w:highlight w:val="none"/>
                      <w:shd w:val="clear" w:color="auto" w:fill="auto"/>
                    </w:rPr>
                    <w:t>4（6）*</w:t>
                  </w:r>
                </w:p>
              </w:tc>
              <w:tc>
                <w:tcPr>
                  <w:tcW w:w="1904" w:type="pct"/>
                  <w:vMerge w:val="continue"/>
                  <w:vAlign w:val="center"/>
                </w:tcPr>
                <w:p w14:paraId="1831661A">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r>
            <w:tr w14:paraId="0CC48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vAlign w:val="center"/>
                </w:tcPr>
                <w:p w14:paraId="69552BE8">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c>
                <w:tcPr>
                  <w:tcW w:w="659" w:type="pct"/>
                  <w:vMerge w:val="continue"/>
                  <w:vAlign w:val="center"/>
                </w:tcPr>
                <w:p w14:paraId="56F88CA8">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c>
                <w:tcPr>
                  <w:tcW w:w="676" w:type="pct"/>
                  <w:vAlign w:val="center"/>
                </w:tcPr>
                <w:p w14:paraId="61C56C57">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kern w:val="0"/>
                      <w:sz w:val="21"/>
                      <w:szCs w:val="21"/>
                      <w:highlight w:val="none"/>
                      <w:shd w:val="clear" w:color="auto" w:fill="auto"/>
                    </w:rPr>
                    <w:t>TP</w:t>
                  </w:r>
                </w:p>
              </w:tc>
              <w:tc>
                <w:tcPr>
                  <w:tcW w:w="884" w:type="pct"/>
                  <w:vAlign w:val="center"/>
                </w:tcPr>
                <w:p w14:paraId="2FB4288E">
                  <w:pPr>
                    <w:pStyle w:val="7"/>
                    <w:rPr>
                      <w:rFonts w:hint="default" w:ascii="Times New Roman" w:hAnsi="Times New Roman" w:eastAsia="仿宋" w:cs="Times New Roman"/>
                      <w:color w:val="auto"/>
                      <w:kern w:val="0"/>
                      <w:sz w:val="21"/>
                      <w:szCs w:val="21"/>
                      <w:highlight w:val="none"/>
                      <w:shd w:val="clear" w:color="auto" w:fill="auto"/>
                    </w:rPr>
                  </w:pPr>
                  <w:r>
                    <w:rPr>
                      <w:rFonts w:hint="default" w:ascii="Times New Roman" w:hAnsi="Times New Roman" w:eastAsia="仿宋" w:cs="Times New Roman"/>
                      <w:color w:val="auto"/>
                      <w:sz w:val="21"/>
                      <w:szCs w:val="21"/>
                      <w:highlight w:val="none"/>
                      <w:shd w:val="clear" w:color="auto" w:fill="auto"/>
                    </w:rPr>
                    <w:t>0.5</w:t>
                  </w:r>
                </w:p>
              </w:tc>
              <w:tc>
                <w:tcPr>
                  <w:tcW w:w="1904" w:type="pct"/>
                  <w:vMerge w:val="continue"/>
                  <w:vAlign w:val="center"/>
                </w:tcPr>
                <w:p w14:paraId="75D4F850">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r>
            <w:tr w14:paraId="718BF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vAlign w:val="center"/>
                </w:tcPr>
                <w:p w14:paraId="426F22F0">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c>
                <w:tcPr>
                  <w:tcW w:w="659" w:type="pct"/>
                  <w:vMerge w:val="continue"/>
                  <w:vAlign w:val="center"/>
                </w:tcPr>
                <w:p w14:paraId="0B9D9621">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c>
                <w:tcPr>
                  <w:tcW w:w="676" w:type="pct"/>
                  <w:vAlign w:val="center"/>
                </w:tcPr>
                <w:p w14:paraId="48EE079D">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lang w:val="en-US" w:eastAsia="zh-CN"/>
                    </w:rPr>
                  </w:pPr>
                  <w:r>
                    <w:rPr>
                      <w:rFonts w:hint="eastAsia" w:ascii="Times New Roman" w:hAnsi="Times New Roman" w:eastAsia="仿宋" w:cs="Times New Roman"/>
                      <w:color w:val="auto"/>
                      <w:kern w:val="0"/>
                      <w:sz w:val="21"/>
                      <w:szCs w:val="21"/>
                      <w:highlight w:val="none"/>
                      <w:shd w:val="clear" w:color="auto" w:fill="auto"/>
                      <w:lang w:val="en-US" w:eastAsia="zh-CN"/>
                    </w:rPr>
                    <w:t>TN</w:t>
                  </w:r>
                </w:p>
              </w:tc>
              <w:tc>
                <w:tcPr>
                  <w:tcW w:w="884" w:type="pct"/>
                  <w:vAlign w:val="center"/>
                </w:tcPr>
                <w:p w14:paraId="5BF3BAB0">
                  <w:pPr>
                    <w:pStyle w:val="7"/>
                    <w:rPr>
                      <w:rFonts w:hint="default" w:ascii="Times New Roman" w:hAnsi="Times New Roman" w:eastAsia="仿宋" w:cs="Times New Roman"/>
                      <w:color w:val="auto"/>
                      <w:sz w:val="21"/>
                      <w:szCs w:val="21"/>
                      <w:highlight w:val="none"/>
                      <w:shd w:val="clear" w:color="auto" w:fill="auto"/>
                      <w:lang w:val="en-US" w:eastAsia="zh-CN"/>
                    </w:rPr>
                  </w:pPr>
                  <w:r>
                    <w:rPr>
                      <w:rFonts w:hint="eastAsia" w:ascii="Times New Roman" w:hAnsi="Times New Roman" w:eastAsia="仿宋" w:cs="Times New Roman"/>
                      <w:color w:val="auto"/>
                      <w:sz w:val="21"/>
                      <w:szCs w:val="21"/>
                      <w:highlight w:val="none"/>
                      <w:shd w:val="clear" w:color="auto" w:fill="auto"/>
                      <w:lang w:val="en-US" w:eastAsia="zh-CN"/>
                    </w:rPr>
                    <w:t>12（15）</w:t>
                  </w:r>
                </w:p>
              </w:tc>
              <w:tc>
                <w:tcPr>
                  <w:tcW w:w="1904" w:type="pct"/>
                  <w:vMerge w:val="continue"/>
                  <w:vAlign w:val="center"/>
                </w:tcPr>
                <w:p w14:paraId="52FFF8EF">
                  <w:pPr>
                    <w:spacing w:line="240" w:lineRule="auto"/>
                    <w:ind w:firstLine="0" w:firstLineChars="0"/>
                    <w:jc w:val="center"/>
                    <w:rPr>
                      <w:rFonts w:hint="default" w:ascii="Times New Roman" w:hAnsi="Times New Roman" w:eastAsia="仿宋" w:cs="Times New Roman"/>
                      <w:color w:val="auto"/>
                      <w:kern w:val="0"/>
                      <w:sz w:val="21"/>
                      <w:szCs w:val="21"/>
                      <w:highlight w:val="none"/>
                      <w:shd w:val="clear" w:color="auto" w:fill="auto"/>
                    </w:rPr>
                  </w:pPr>
                </w:p>
              </w:tc>
            </w:tr>
          </w:tbl>
          <w:p w14:paraId="72448B66">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val="0"/>
                <w:snapToGrid w:val="0"/>
                <w:color w:val="auto"/>
                <w:kern w:val="0"/>
                <w:sz w:val="21"/>
                <w:szCs w:val="21"/>
                <w:highlight w:val="none"/>
                <w:shd w:val="clear" w:color="auto" w:fill="auto"/>
                <w:lang w:val="en-US" w:eastAsia="zh-CN" w:bidi="ar-SA"/>
              </w:rPr>
            </w:pPr>
            <w:r>
              <w:rPr>
                <w:rFonts w:hint="eastAsia" w:eastAsia="仿宋" w:cs="Times New Roman"/>
                <w:b/>
                <w:bCs w:val="0"/>
                <w:snapToGrid w:val="0"/>
                <w:color w:val="auto"/>
                <w:kern w:val="0"/>
                <w:sz w:val="21"/>
                <w:szCs w:val="21"/>
                <w:highlight w:val="none"/>
                <w:shd w:val="clear" w:color="auto" w:fill="auto"/>
                <w:lang w:val="en-US" w:eastAsia="zh-CN" w:bidi="ar-SA"/>
              </w:rPr>
              <w:t>*</w:t>
            </w:r>
            <w:r>
              <w:rPr>
                <w:rFonts w:hint="default" w:ascii="Times New Roman" w:hAnsi="Times New Roman" w:eastAsia="仿宋" w:cs="Times New Roman"/>
                <w:b/>
                <w:bCs w:val="0"/>
                <w:snapToGrid w:val="0"/>
                <w:color w:val="auto"/>
                <w:kern w:val="0"/>
                <w:sz w:val="21"/>
                <w:szCs w:val="21"/>
                <w:highlight w:val="none"/>
                <w:shd w:val="clear" w:color="auto" w:fill="auto"/>
                <w:lang w:val="en-US" w:eastAsia="zh-CN" w:bidi="ar-SA"/>
              </w:rPr>
              <w:t>注：①括号外数值为水温＞12℃时的控制指标，括号内数值为水温≤12℃时的控制指标。</w:t>
            </w:r>
          </w:p>
          <w:p w14:paraId="37023BD0">
            <w:pPr>
              <w:tabs>
                <w:tab w:val="left" w:pos="6030"/>
              </w:tabs>
              <w:spacing w:line="360" w:lineRule="auto"/>
              <w:ind w:firstLine="480" w:firstLineChars="200"/>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施工废水经沉淀达到《城市污水再生利用 城市杂用水水质》（GB/T18920-2020）</w:t>
            </w:r>
            <w:r>
              <w:rPr>
                <w:rFonts w:hint="eastAsia" w:eastAsia="仿宋" w:cs="Times New Roman"/>
                <w:color w:val="auto"/>
                <w:kern w:val="0"/>
                <w:sz w:val="24"/>
                <w:szCs w:val="22"/>
                <w:highlight w:val="none"/>
                <w:lang w:val="en-US" w:eastAsia="zh-CN" w:bidi="ar-SA"/>
              </w:rPr>
              <w:t>中建筑施工</w:t>
            </w:r>
            <w:r>
              <w:rPr>
                <w:rFonts w:hint="eastAsia" w:ascii="Times New Roman" w:hAnsi="Times New Roman" w:eastAsia="仿宋" w:cs="Times New Roman"/>
                <w:color w:val="auto"/>
                <w:kern w:val="0"/>
                <w:sz w:val="24"/>
                <w:szCs w:val="22"/>
                <w:highlight w:val="none"/>
                <w:lang w:val="en-US" w:eastAsia="zh-CN" w:bidi="ar-SA"/>
              </w:rPr>
              <w:t>标准后回用至施工现场，详见下表。</w:t>
            </w:r>
          </w:p>
          <w:p w14:paraId="543E5DCA">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表3-21 《城市污水再生利用 城市杂用水水质》（GB/T 18920-2020）</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4"/>
              <w:gridCol w:w="2888"/>
              <w:gridCol w:w="2890"/>
            </w:tblGrid>
            <w:tr w14:paraId="64F7E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44F64F4B">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项目</w:t>
                  </w:r>
                </w:p>
              </w:tc>
              <w:tc>
                <w:tcPr>
                  <w:tcW w:w="1586" w:type="pct"/>
                  <w:vAlign w:val="center"/>
                </w:tcPr>
                <w:p w14:paraId="2F2811FB">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冲厕、车辆冲洗</w:t>
                  </w:r>
                </w:p>
              </w:tc>
              <w:tc>
                <w:tcPr>
                  <w:tcW w:w="1587" w:type="pct"/>
                  <w:vAlign w:val="center"/>
                </w:tcPr>
                <w:p w14:paraId="498A2720">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1"/>
                      <w:szCs w:val="21"/>
                      <w:highlight w:val="none"/>
                      <w:vertAlign w:val="baseline"/>
                      <w:lang w:val="en-US" w:eastAsia="zh-CN" w:bidi="ar-SA"/>
                    </w:rPr>
                  </w:pPr>
                  <w:r>
                    <w:rPr>
                      <w:rFonts w:hint="default" w:ascii="Times New Roman" w:hAnsi="Times New Roman" w:eastAsia="仿宋" w:cs="Times New Roman"/>
                      <w:b/>
                      <w:bCs/>
                      <w:color w:val="auto"/>
                      <w:kern w:val="0"/>
                      <w:sz w:val="21"/>
                      <w:szCs w:val="21"/>
                      <w:highlight w:val="none"/>
                      <w:vertAlign w:val="baseline"/>
                      <w:lang w:val="en-US" w:eastAsia="zh-CN" w:bidi="ar-SA"/>
                    </w:rPr>
                    <w:t>城市绿化、道路清扫、消防、建筑施工</w:t>
                  </w:r>
                </w:p>
              </w:tc>
            </w:tr>
            <w:tr w14:paraId="50628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54998A48">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pH（无量纲）</w:t>
                  </w:r>
                </w:p>
              </w:tc>
              <w:tc>
                <w:tcPr>
                  <w:tcW w:w="1586" w:type="pct"/>
                  <w:vAlign w:val="center"/>
                </w:tcPr>
                <w:p w14:paraId="17D6C4E2">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6.0-9.0</w:t>
                  </w:r>
                </w:p>
              </w:tc>
              <w:tc>
                <w:tcPr>
                  <w:tcW w:w="1587" w:type="pct"/>
                  <w:vAlign w:val="center"/>
                </w:tcPr>
                <w:p w14:paraId="687D469D">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6.0-9.0</w:t>
                  </w:r>
                </w:p>
              </w:tc>
            </w:tr>
            <w:tr w14:paraId="128ED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25" w:type="pct"/>
                  <w:vAlign w:val="center"/>
                </w:tcPr>
                <w:p w14:paraId="05D82E85">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色度（无量纲）</w:t>
                  </w:r>
                </w:p>
              </w:tc>
              <w:tc>
                <w:tcPr>
                  <w:tcW w:w="1586" w:type="pct"/>
                  <w:vAlign w:val="center"/>
                </w:tcPr>
                <w:p w14:paraId="4CF46988">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15</w:t>
                  </w:r>
                </w:p>
              </w:tc>
              <w:tc>
                <w:tcPr>
                  <w:tcW w:w="1587" w:type="pct"/>
                  <w:vAlign w:val="center"/>
                </w:tcPr>
                <w:p w14:paraId="3B8B02A6">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30</w:t>
                  </w:r>
                </w:p>
              </w:tc>
            </w:tr>
            <w:tr w14:paraId="05ED6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3571ED8C">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嗅（无量纲）</w:t>
                  </w:r>
                </w:p>
              </w:tc>
              <w:tc>
                <w:tcPr>
                  <w:tcW w:w="1586" w:type="pct"/>
                  <w:vAlign w:val="center"/>
                </w:tcPr>
                <w:p w14:paraId="26599762">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无不快感</w:t>
                  </w:r>
                </w:p>
              </w:tc>
              <w:tc>
                <w:tcPr>
                  <w:tcW w:w="1587" w:type="pct"/>
                  <w:vAlign w:val="center"/>
                </w:tcPr>
                <w:p w14:paraId="1B6951D8">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无不快感</w:t>
                  </w:r>
                </w:p>
              </w:tc>
            </w:tr>
            <w:tr w14:paraId="34827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04C4DBBE">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浊度/NTU</w:t>
                  </w:r>
                </w:p>
              </w:tc>
              <w:tc>
                <w:tcPr>
                  <w:tcW w:w="1586" w:type="pct"/>
                  <w:vAlign w:val="center"/>
                </w:tcPr>
                <w:p w14:paraId="4E541E12">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5</w:t>
                  </w:r>
                </w:p>
              </w:tc>
              <w:tc>
                <w:tcPr>
                  <w:tcW w:w="1587" w:type="pct"/>
                  <w:vAlign w:val="center"/>
                </w:tcPr>
                <w:p w14:paraId="30154549">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10</w:t>
                  </w:r>
                </w:p>
              </w:tc>
            </w:tr>
            <w:tr w14:paraId="1944C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4FB3B285">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BOD</w:t>
                  </w:r>
                  <w:r>
                    <w:rPr>
                      <w:rFonts w:hint="default" w:ascii="Times New Roman" w:hAnsi="Times New Roman" w:eastAsia="仿宋" w:cs="Times New Roman"/>
                      <w:b w:val="0"/>
                      <w:bCs w:val="0"/>
                      <w:color w:val="auto"/>
                      <w:kern w:val="0"/>
                      <w:sz w:val="21"/>
                      <w:szCs w:val="21"/>
                      <w:highlight w:val="none"/>
                      <w:vertAlign w:val="subscript"/>
                      <w:lang w:val="en-US" w:eastAsia="zh-CN" w:bidi="ar-SA"/>
                    </w:rPr>
                    <w:t>5</w:t>
                  </w:r>
                  <w:r>
                    <w:rPr>
                      <w:rFonts w:hint="default" w:ascii="Times New Roman" w:hAnsi="Times New Roman" w:eastAsia="仿宋" w:cs="Times New Roman"/>
                      <w:b w:val="0"/>
                      <w:bCs w:val="0"/>
                      <w:color w:val="auto"/>
                      <w:kern w:val="0"/>
                      <w:sz w:val="21"/>
                      <w:szCs w:val="21"/>
                      <w:highlight w:val="none"/>
                      <w:vertAlign w:val="baseline"/>
                      <w:lang w:val="en-US" w:eastAsia="zh-CN" w:bidi="ar-SA"/>
                    </w:rPr>
                    <w:t>（mg/L）</w:t>
                  </w:r>
                </w:p>
              </w:tc>
              <w:tc>
                <w:tcPr>
                  <w:tcW w:w="1586" w:type="pct"/>
                  <w:vAlign w:val="center"/>
                </w:tcPr>
                <w:p w14:paraId="5EDA41DC">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10</w:t>
                  </w:r>
                </w:p>
              </w:tc>
              <w:tc>
                <w:tcPr>
                  <w:tcW w:w="1587" w:type="pct"/>
                  <w:vAlign w:val="center"/>
                </w:tcPr>
                <w:p w14:paraId="7B0850EE">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10</w:t>
                  </w:r>
                </w:p>
              </w:tc>
            </w:tr>
            <w:tr w14:paraId="4E8FF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7886744A">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氨氮（mg/L）</w:t>
                  </w:r>
                </w:p>
              </w:tc>
              <w:tc>
                <w:tcPr>
                  <w:tcW w:w="1586" w:type="pct"/>
                  <w:vAlign w:val="center"/>
                </w:tcPr>
                <w:p w14:paraId="03DDC43B">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5</w:t>
                  </w:r>
                </w:p>
              </w:tc>
              <w:tc>
                <w:tcPr>
                  <w:tcW w:w="1587" w:type="pct"/>
                  <w:vAlign w:val="center"/>
                </w:tcPr>
                <w:p w14:paraId="24613F67">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8</w:t>
                  </w:r>
                </w:p>
              </w:tc>
            </w:tr>
            <w:tr w14:paraId="0CDE6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196086E0">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阴离子表面活性剂（mg/L）</w:t>
                  </w:r>
                </w:p>
              </w:tc>
              <w:tc>
                <w:tcPr>
                  <w:tcW w:w="1586" w:type="pct"/>
                  <w:vAlign w:val="center"/>
                </w:tcPr>
                <w:p w14:paraId="2AD1A3BF">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0.5</w:t>
                  </w:r>
                </w:p>
              </w:tc>
              <w:tc>
                <w:tcPr>
                  <w:tcW w:w="1587" w:type="pct"/>
                  <w:vAlign w:val="center"/>
                </w:tcPr>
                <w:p w14:paraId="0DB86F56">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0.5</w:t>
                  </w:r>
                </w:p>
              </w:tc>
            </w:tr>
            <w:tr w14:paraId="70620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7EC2DE3E">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铁（mg/L）</w:t>
                  </w:r>
                </w:p>
              </w:tc>
              <w:tc>
                <w:tcPr>
                  <w:tcW w:w="1586" w:type="pct"/>
                  <w:vAlign w:val="center"/>
                </w:tcPr>
                <w:p w14:paraId="750F53AE">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0.3</w:t>
                  </w:r>
                </w:p>
              </w:tc>
              <w:tc>
                <w:tcPr>
                  <w:tcW w:w="1587" w:type="pct"/>
                  <w:vAlign w:val="center"/>
                </w:tcPr>
                <w:p w14:paraId="02A83CA9">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w:t>
                  </w:r>
                </w:p>
              </w:tc>
            </w:tr>
            <w:tr w14:paraId="728E5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1EF622AC">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锰（mg/L）</w:t>
                  </w:r>
                </w:p>
              </w:tc>
              <w:tc>
                <w:tcPr>
                  <w:tcW w:w="1586" w:type="pct"/>
                  <w:vAlign w:val="center"/>
                </w:tcPr>
                <w:p w14:paraId="4F5DEB44">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0.1</w:t>
                  </w:r>
                </w:p>
              </w:tc>
              <w:tc>
                <w:tcPr>
                  <w:tcW w:w="1587" w:type="pct"/>
                  <w:vAlign w:val="center"/>
                </w:tcPr>
                <w:p w14:paraId="2FCDFDBC">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w:t>
                  </w:r>
                </w:p>
              </w:tc>
            </w:tr>
            <w:tr w14:paraId="1BF30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3463ADDB">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溶解性总固体（mg/L）</w:t>
                  </w:r>
                </w:p>
              </w:tc>
              <w:tc>
                <w:tcPr>
                  <w:tcW w:w="1586" w:type="pct"/>
                  <w:vAlign w:val="center"/>
                </w:tcPr>
                <w:p w14:paraId="595FEEE2">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1000（2000）</w:t>
                  </w:r>
                  <w:r>
                    <w:rPr>
                      <w:rFonts w:hint="default" w:ascii="Times New Roman" w:hAnsi="Times New Roman" w:eastAsia="仿宋" w:cs="Times New Roman"/>
                      <w:b w:val="0"/>
                      <w:bCs w:val="0"/>
                      <w:color w:val="auto"/>
                      <w:kern w:val="0"/>
                      <w:sz w:val="21"/>
                      <w:szCs w:val="21"/>
                      <w:highlight w:val="none"/>
                      <w:vertAlign w:val="superscript"/>
                      <w:lang w:val="en-US" w:eastAsia="zh-CN" w:bidi="ar-SA"/>
                    </w:rPr>
                    <w:t>a</w:t>
                  </w:r>
                </w:p>
              </w:tc>
              <w:tc>
                <w:tcPr>
                  <w:tcW w:w="1587" w:type="pct"/>
                  <w:vAlign w:val="center"/>
                </w:tcPr>
                <w:p w14:paraId="686C800E">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1000（2000）</w:t>
                  </w:r>
                  <w:r>
                    <w:rPr>
                      <w:rFonts w:hint="default" w:ascii="Times New Roman" w:hAnsi="Times New Roman" w:eastAsia="仿宋" w:cs="Times New Roman"/>
                      <w:b w:val="0"/>
                      <w:bCs w:val="0"/>
                      <w:color w:val="auto"/>
                      <w:kern w:val="0"/>
                      <w:sz w:val="21"/>
                      <w:szCs w:val="21"/>
                      <w:highlight w:val="none"/>
                      <w:vertAlign w:val="superscript"/>
                      <w:lang w:val="en-US" w:eastAsia="zh-CN" w:bidi="ar-SA"/>
                    </w:rPr>
                    <w:t>a</w:t>
                  </w:r>
                </w:p>
              </w:tc>
            </w:tr>
            <w:tr w14:paraId="7563E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20D73CEF">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溶解氧（mg/L）</w:t>
                  </w:r>
                </w:p>
              </w:tc>
              <w:tc>
                <w:tcPr>
                  <w:tcW w:w="1586" w:type="pct"/>
                  <w:vAlign w:val="center"/>
                </w:tcPr>
                <w:p w14:paraId="5C762537">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2.0</w:t>
                  </w:r>
                </w:p>
              </w:tc>
              <w:tc>
                <w:tcPr>
                  <w:tcW w:w="1587" w:type="pct"/>
                  <w:vAlign w:val="center"/>
                </w:tcPr>
                <w:p w14:paraId="56200251">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2.0</w:t>
                  </w:r>
                </w:p>
              </w:tc>
            </w:tr>
            <w:tr w14:paraId="521CB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5253EC71">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总余氯（mg/L）</w:t>
                  </w:r>
                </w:p>
              </w:tc>
              <w:tc>
                <w:tcPr>
                  <w:tcW w:w="1586" w:type="pct"/>
                  <w:vAlign w:val="center"/>
                </w:tcPr>
                <w:p w14:paraId="214CA316">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1.0（出厂），0.2（管网末端）</w:t>
                  </w:r>
                </w:p>
              </w:tc>
              <w:tc>
                <w:tcPr>
                  <w:tcW w:w="1587" w:type="pct"/>
                  <w:vAlign w:val="center"/>
                </w:tcPr>
                <w:p w14:paraId="6F14D709">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1.0（出厂），0.2</w:t>
                  </w:r>
                  <w:r>
                    <w:rPr>
                      <w:rFonts w:hint="default" w:ascii="Times New Roman" w:hAnsi="Times New Roman" w:eastAsia="仿宋" w:cs="Times New Roman"/>
                      <w:b w:val="0"/>
                      <w:bCs w:val="0"/>
                      <w:color w:val="auto"/>
                      <w:kern w:val="0"/>
                      <w:sz w:val="21"/>
                      <w:szCs w:val="21"/>
                      <w:highlight w:val="none"/>
                      <w:vertAlign w:val="superscript"/>
                      <w:lang w:val="en-US" w:eastAsia="zh-CN" w:bidi="ar-SA"/>
                    </w:rPr>
                    <w:t>b</w:t>
                  </w:r>
                  <w:r>
                    <w:rPr>
                      <w:rFonts w:hint="default" w:ascii="Times New Roman" w:hAnsi="Times New Roman" w:eastAsia="仿宋" w:cs="Times New Roman"/>
                      <w:b w:val="0"/>
                      <w:bCs w:val="0"/>
                      <w:color w:val="auto"/>
                      <w:kern w:val="0"/>
                      <w:sz w:val="21"/>
                      <w:szCs w:val="21"/>
                      <w:highlight w:val="none"/>
                      <w:vertAlign w:val="baseline"/>
                      <w:lang w:val="en-US" w:eastAsia="zh-CN" w:bidi="ar-SA"/>
                    </w:rPr>
                    <w:t>（管网末端）</w:t>
                  </w:r>
                </w:p>
              </w:tc>
            </w:tr>
            <w:tr w14:paraId="2362A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5" w:type="pct"/>
                  <w:vAlign w:val="center"/>
                </w:tcPr>
                <w:p w14:paraId="411231B3">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大肠埃希氏菌（MPN/100mL）</w:t>
                  </w:r>
                </w:p>
              </w:tc>
              <w:tc>
                <w:tcPr>
                  <w:tcW w:w="1586" w:type="pct"/>
                  <w:vAlign w:val="center"/>
                </w:tcPr>
                <w:p w14:paraId="6C93E307">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无</w:t>
                  </w:r>
                </w:p>
              </w:tc>
              <w:tc>
                <w:tcPr>
                  <w:tcW w:w="1587" w:type="pct"/>
                  <w:vAlign w:val="center"/>
                </w:tcPr>
                <w:p w14:paraId="1AA393EA">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val="0"/>
                      <w:bCs w:val="0"/>
                      <w:color w:val="auto"/>
                      <w:kern w:val="0"/>
                      <w:sz w:val="21"/>
                      <w:szCs w:val="21"/>
                      <w:highlight w:val="none"/>
                      <w:vertAlign w:val="baseline"/>
                      <w:lang w:val="en-US" w:eastAsia="zh-CN" w:bidi="ar-SA"/>
                    </w:rPr>
                  </w:pPr>
                  <w:r>
                    <w:rPr>
                      <w:rFonts w:hint="default" w:ascii="Times New Roman" w:hAnsi="Times New Roman" w:eastAsia="仿宋" w:cs="Times New Roman"/>
                      <w:b w:val="0"/>
                      <w:bCs w:val="0"/>
                      <w:color w:val="auto"/>
                      <w:kern w:val="0"/>
                      <w:sz w:val="21"/>
                      <w:szCs w:val="21"/>
                      <w:highlight w:val="none"/>
                      <w:vertAlign w:val="baseline"/>
                      <w:lang w:val="en-US" w:eastAsia="zh-CN" w:bidi="ar-SA"/>
                    </w:rPr>
                    <w:t>无</w:t>
                  </w:r>
                </w:p>
              </w:tc>
            </w:tr>
          </w:tbl>
          <w:p w14:paraId="2BC17459">
            <w:pPr>
              <w:pStyle w:val="30"/>
              <w:keepNext w:val="0"/>
              <w:keepLines w:val="0"/>
              <w:pageBreakBefore w:val="0"/>
              <w:widowControl w:val="0"/>
              <w:kinsoku/>
              <w:wordWrap/>
              <w:overflowPunct/>
              <w:topLinePunct w:val="0"/>
              <w:autoSpaceDE w:val="0"/>
              <w:autoSpaceDN w:val="0"/>
              <w:bidi w:val="0"/>
              <w:adjustRightInd w:val="0"/>
              <w:snapToGrid/>
              <w:textAlignment w:val="auto"/>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b/>
                <w:bCs/>
                <w:color w:val="auto"/>
                <w:kern w:val="0"/>
                <w:sz w:val="21"/>
                <w:szCs w:val="21"/>
                <w:highlight w:val="none"/>
                <w:lang w:val="en-US" w:eastAsia="zh-CN" w:bidi="ar-SA"/>
              </w:rPr>
              <w:t>*注：a为沿海及本地水源中溶解性固体含量较高的区域指标，b用于城市绿化时，不应超过2.5mg/L；大肠埃希氏菌不应检出。</w:t>
            </w:r>
          </w:p>
          <w:p w14:paraId="6DB63A47">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2、废气</w:t>
            </w:r>
          </w:p>
          <w:p w14:paraId="5056F5D7">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施工期扬尘执行《施工场地扬尘排放标准》（DB32/4437-2022）中表1施工场地扬尘排放浓度限值，施工期</w:t>
            </w:r>
            <w:r>
              <w:rPr>
                <w:rFonts w:hint="eastAsia" w:eastAsia="仿宋" w:cs="Times New Roman"/>
                <w:color w:val="auto"/>
                <w:kern w:val="0"/>
                <w:sz w:val="24"/>
                <w:szCs w:val="22"/>
                <w:highlight w:val="none"/>
                <w:lang w:val="en-US" w:eastAsia="zh-CN" w:bidi="ar-SA"/>
              </w:rPr>
              <w:t>船舶、车辆排放</w:t>
            </w:r>
            <w:r>
              <w:rPr>
                <w:rFonts w:hint="eastAsia" w:ascii="Times New Roman" w:hAnsi="Times New Roman" w:eastAsia="仿宋" w:cs="Times New Roman"/>
                <w:color w:val="auto"/>
                <w:kern w:val="0"/>
                <w:sz w:val="24"/>
                <w:szCs w:val="22"/>
                <w:highlight w:val="none"/>
                <w:lang w:val="en-US" w:eastAsia="zh-CN" w:bidi="ar-SA"/>
              </w:rPr>
              <w:t>二氧化硫、氮氧化物执行《大气污染物综合排放标准》（DB32/4041-2021）表3中相应标准</w:t>
            </w:r>
            <w:r>
              <w:rPr>
                <w:rFonts w:hint="eastAsia" w:eastAsia="仿宋" w:cs="Times New Roman"/>
                <w:color w:val="auto"/>
                <w:kern w:val="0"/>
                <w:sz w:val="24"/>
                <w:szCs w:val="22"/>
                <w:highlight w:val="none"/>
                <w:lang w:val="en-US" w:eastAsia="zh-CN" w:bidi="ar-SA"/>
              </w:rPr>
              <w:t>，</w:t>
            </w:r>
            <w:r>
              <w:rPr>
                <w:rFonts w:hint="eastAsia" w:ascii="Times New Roman" w:hAnsi="Times New Roman" w:eastAsia="仿宋" w:cs="Times New Roman"/>
                <w:color w:val="auto"/>
                <w:kern w:val="0"/>
                <w:sz w:val="24"/>
                <w:szCs w:val="22"/>
                <w:highlight w:val="none"/>
                <w:lang w:val="en-US" w:eastAsia="zh-CN" w:bidi="ar-SA"/>
              </w:rPr>
              <w:t>详见下表。</w:t>
            </w:r>
          </w:p>
          <w:p w14:paraId="689CE231">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表3-22 大气污染物排放标准</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7"/>
              <w:gridCol w:w="1755"/>
              <w:gridCol w:w="2196"/>
              <w:gridCol w:w="3593"/>
            </w:tblGrid>
            <w:tr w14:paraId="74A79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pct"/>
                  <w:vAlign w:val="center"/>
                </w:tcPr>
                <w:p w14:paraId="02493231">
                  <w:pPr>
                    <w:pStyle w:val="7"/>
                    <w:keepNext w:val="0"/>
                    <w:keepLines w:val="0"/>
                    <w:suppressLineNumbers w:val="0"/>
                    <w:spacing w:beforeAutospacing="0" w:afterAutospacing="0"/>
                    <w:ind w:left="0" w:right="0"/>
                    <w:jc w:val="center"/>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污染源</w:t>
                  </w:r>
                </w:p>
              </w:tc>
              <w:tc>
                <w:tcPr>
                  <w:tcW w:w="964" w:type="pct"/>
                  <w:vAlign w:val="center"/>
                </w:tcPr>
                <w:p w14:paraId="06AD30D1">
                  <w:pPr>
                    <w:pStyle w:val="7"/>
                    <w:keepNext w:val="0"/>
                    <w:keepLines w:val="0"/>
                    <w:suppressLineNumbers w:val="0"/>
                    <w:spacing w:beforeAutospacing="0" w:afterAutospacing="0"/>
                    <w:ind w:left="0" w:right="0"/>
                    <w:jc w:val="center"/>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污染物名称</w:t>
                  </w:r>
                </w:p>
              </w:tc>
              <w:tc>
                <w:tcPr>
                  <w:tcW w:w="1206" w:type="pct"/>
                  <w:vAlign w:val="center"/>
                </w:tcPr>
                <w:p w14:paraId="02CA09C6">
                  <w:pPr>
                    <w:pStyle w:val="7"/>
                    <w:keepNext w:val="0"/>
                    <w:keepLines w:val="0"/>
                    <w:suppressLineNumbers w:val="0"/>
                    <w:spacing w:beforeAutospacing="0" w:afterAutospacing="0"/>
                    <w:ind w:left="0" w:right="0"/>
                    <w:jc w:val="center"/>
                    <w:rPr>
                      <w:rFonts w:hint="default" w:eastAsia="仿宋" w:cs="Times New Roman"/>
                      <w:b/>
                      <w:bCs/>
                      <w:color w:val="auto"/>
                      <w:sz w:val="21"/>
                      <w:szCs w:val="21"/>
                      <w:lang w:val="en-US" w:eastAsia="zh-CN"/>
                    </w:rPr>
                  </w:pPr>
                  <w:r>
                    <w:rPr>
                      <w:rFonts w:hint="eastAsia" w:eastAsia="仿宋" w:cs="Times New Roman"/>
                      <w:b/>
                      <w:bCs/>
                      <w:color w:val="auto"/>
                      <w:sz w:val="21"/>
                      <w:szCs w:val="21"/>
                      <w:lang w:val="en-US" w:eastAsia="zh-CN"/>
                    </w:rPr>
                    <w:t>边界外浓度最高点</w:t>
                  </w:r>
                </w:p>
              </w:tc>
              <w:tc>
                <w:tcPr>
                  <w:tcW w:w="1973" w:type="pct"/>
                  <w:vAlign w:val="center"/>
                </w:tcPr>
                <w:p w14:paraId="4EF746F2">
                  <w:pPr>
                    <w:pStyle w:val="7"/>
                    <w:keepNext w:val="0"/>
                    <w:keepLines w:val="0"/>
                    <w:suppressLineNumbers w:val="0"/>
                    <w:spacing w:beforeAutospacing="0" w:afterAutospacing="0"/>
                    <w:ind w:left="0" w:right="0"/>
                    <w:jc w:val="center"/>
                    <w:rPr>
                      <w:rFonts w:hint="default" w:eastAsia="仿宋" w:cs="Times New Roman"/>
                      <w:b/>
                      <w:bCs/>
                      <w:color w:val="auto"/>
                      <w:sz w:val="21"/>
                      <w:szCs w:val="21"/>
                      <w:lang w:val="en-US" w:eastAsia="zh-CN"/>
                    </w:rPr>
                  </w:pPr>
                  <w:r>
                    <w:rPr>
                      <w:rFonts w:hint="eastAsia" w:eastAsia="仿宋" w:cs="Times New Roman"/>
                      <w:b/>
                      <w:bCs/>
                      <w:color w:val="auto"/>
                      <w:sz w:val="21"/>
                      <w:szCs w:val="21"/>
                      <w:lang w:val="en-US" w:eastAsia="zh-CN"/>
                    </w:rPr>
                    <w:t>标准来源</w:t>
                  </w:r>
                </w:p>
              </w:tc>
            </w:tr>
            <w:tr w14:paraId="2DACF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855" w:type="pct"/>
                  <w:vMerge w:val="restart"/>
                  <w:vAlign w:val="center"/>
                </w:tcPr>
                <w:p w14:paraId="2CDBC8A8">
                  <w:pPr>
                    <w:pStyle w:val="7"/>
                    <w:keepNext w:val="0"/>
                    <w:keepLines w:val="0"/>
                    <w:suppressLineNumbers w:val="0"/>
                    <w:spacing w:beforeAutospacing="0" w:afterAutospacing="0"/>
                    <w:ind w:left="0" w:right="0"/>
                    <w:jc w:val="center"/>
                    <w:rPr>
                      <w:rFonts w:hint="eastAsia" w:ascii="Times New Roman" w:hAnsi="Times New Roman" w:eastAsia="仿宋" w:cs="Times New Roman"/>
                      <w:b w:val="0"/>
                      <w:bCs w:val="0"/>
                      <w:color w:val="auto"/>
                      <w:sz w:val="21"/>
                      <w:szCs w:val="21"/>
                      <w:lang w:eastAsia="zh-CN"/>
                    </w:rPr>
                  </w:pPr>
                  <w:r>
                    <w:rPr>
                      <w:rFonts w:hint="eastAsia" w:ascii="Times New Roman" w:hAnsi="Times New Roman" w:eastAsia="仿宋" w:cs="Times New Roman"/>
                      <w:b w:val="0"/>
                      <w:bCs w:val="0"/>
                      <w:color w:val="auto"/>
                      <w:sz w:val="21"/>
                      <w:szCs w:val="21"/>
                      <w:lang w:val="en-US" w:eastAsia="zh-CN"/>
                    </w:rPr>
                    <w:t>施工扬尘</w:t>
                  </w:r>
                </w:p>
              </w:tc>
              <w:tc>
                <w:tcPr>
                  <w:tcW w:w="964" w:type="pct"/>
                  <w:vAlign w:val="center"/>
                </w:tcPr>
                <w:p w14:paraId="09FE6C24">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TSP</w:t>
                  </w:r>
                </w:p>
              </w:tc>
              <w:tc>
                <w:tcPr>
                  <w:tcW w:w="1206" w:type="pct"/>
                  <w:vAlign w:val="center"/>
                </w:tcPr>
                <w:p w14:paraId="4F956670">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0.5mg/m</w:t>
                  </w:r>
                  <w:r>
                    <w:rPr>
                      <w:rFonts w:hint="eastAsia" w:eastAsia="仿宋" w:cs="Times New Roman"/>
                      <w:b w:val="0"/>
                      <w:bCs w:val="0"/>
                      <w:color w:val="auto"/>
                      <w:sz w:val="21"/>
                      <w:szCs w:val="21"/>
                      <w:vertAlign w:val="superscript"/>
                      <w:lang w:val="en-US" w:eastAsia="zh-CN"/>
                    </w:rPr>
                    <w:t>3</w:t>
                  </w:r>
                </w:p>
              </w:tc>
              <w:tc>
                <w:tcPr>
                  <w:tcW w:w="1973" w:type="pct"/>
                  <w:vMerge w:val="restart"/>
                  <w:vAlign w:val="center"/>
                </w:tcPr>
                <w:p w14:paraId="42B4750E">
                  <w:pPr>
                    <w:pStyle w:val="7"/>
                    <w:keepNext w:val="0"/>
                    <w:keepLines w:val="0"/>
                    <w:suppressLineNumbers w:val="0"/>
                    <w:spacing w:beforeAutospacing="0" w:afterAutospacing="0"/>
                    <w:ind w:left="0" w:right="0"/>
                    <w:jc w:val="center"/>
                    <w:rPr>
                      <w:rFonts w:hint="eastAsia"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《施工场地扬尘排放标准》（DB32/4437-2022）中表1施工场地扬尘排放浓度限值</w:t>
                  </w:r>
                </w:p>
              </w:tc>
            </w:tr>
            <w:tr w14:paraId="1179F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pct"/>
                  <w:vMerge w:val="continue"/>
                  <w:vAlign w:val="center"/>
                </w:tcPr>
                <w:p w14:paraId="1171DAFD">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rPr>
                  </w:pPr>
                </w:p>
              </w:tc>
              <w:tc>
                <w:tcPr>
                  <w:tcW w:w="964" w:type="pct"/>
                  <w:vAlign w:val="center"/>
                </w:tcPr>
                <w:p w14:paraId="3023CE21">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PM</w:t>
                  </w:r>
                  <w:r>
                    <w:rPr>
                      <w:rFonts w:hint="eastAsia" w:ascii="Times New Roman" w:hAnsi="Times New Roman" w:eastAsia="仿宋" w:cs="Times New Roman"/>
                      <w:b w:val="0"/>
                      <w:bCs w:val="0"/>
                      <w:color w:val="auto"/>
                      <w:sz w:val="21"/>
                      <w:szCs w:val="21"/>
                      <w:vertAlign w:val="subscript"/>
                      <w:lang w:val="en-US" w:eastAsia="zh-CN"/>
                    </w:rPr>
                    <w:t>10</w:t>
                  </w:r>
                </w:p>
              </w:tc>
              <w:tc>
                <w:tcPr>
                  <w:tcW w:w="1206" w:type="pct"/>
                  <w:vAlign w:val="center"/>
                </w:tcPr>
                <w:p w14:paraId="6CF9A373">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0.08</w:t>
                  </w:r>
                  <w:r>
                    <w:rPr>
                      <w:rFonts w:hint="eastAsia" w:eastAsia="仿宋" w:cs="Times New Roman"/>
                      <w:b w:val="0"/>
                      <w:bCs w:val="0"/>
                      <w:color w:val="auto"/>
                      <w:sz w:val="21"/>
                      <w:szCs w:val="21"/>
                      <w:lang w:val="en-US" w:eastAsia="zh-CN"/>
                    </w:rPr>
                    <w:t>mg/m</w:t>
                  </w:r>
                  <w:r>
                    <w:rPr>
                      <w:rFonts w:hint="eastAsia" w:eastAsia="仿宋" w:cs="Times New Roman"/>
                      <w:b w:val="0"/>
                      <w:bCs w:val="0"/>
                      <w:color w:val="auto"/>
                      <w:sz w:val="21"/>
                      <w:szCs w:val="21"/>
                      <w:vertAlign w:val="superscript"/>
                      <w:lang w:val="en-US" w:eastAsia="zh-CN"/>
                    </w:rPr>
                    <w:t>3</w:t>
                  </w:r>
                </w:p>
              </w:tc>
              <w:tc>
                <w:tcPr>
                  <w:tcW w:w="1973" w:type="pct"/>
                  <w:vMerge w:val="continue"/>
                  <w:vAlign w:val="center"/>
                </w:tcPr>
                <w:p w14:paraId="6D31247A">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rPr>
                  </w:pPr>
                </w:p>
              </w:tc>
            </w:tr>
            <w:tr w14:paraId="34D21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855" w:type="pct"/>
                  <w:vMerge w:val="restart"/>
                  <w:vAlign w:val="center"/>
                </w:tcPr>
                <w:p w14:paraId="19C3E4FD">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机械尾气</w:t>
                  </w:r>
                </w:p>
              </w:tc>
              <w:tc>
                <w:tcPr>
                  <w:tcW w:w="964" w:type="pct"/>
                  <w:vAlign w:val="center"/>
                </w:tcPr>
                <w:p w14:paraId="5D8D2CC0">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SO</w:t>
                  </w:r>
                  <w:r>
                    <w:rPr>
                      <w:rFonts w:hint="eastAsia" w:eastAsia="仿宋" w:cs="Times New Roman"/>
                      <w:b w:val="0"/>
                      <w:bCs w:val="0"/>
                      <w:color w:val="auto"/>
                      <w:sz w:val="21"/>
                      <w:szCs w:val="21"/>
                      <w:vertAlign w:val="subscript"/>
                      <w:lang w:val="en-US" w:eastAsia="zh-CN"/>
                    </w:rPr>
                    <w:t>2</w:t>
                  </w:r>
                </w:p>
              </w:tc>
              <w:tc>
                <w:tcPr>
                  <w:tcW w:w="1206" w:type="pct"/>
                  <w:vAlign w:val="center"/>
                </w:tcPr>
                <w:p w14:paraId="1DB51BD9">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0.4</w:t>
                  </w:r>
                  <w:r>
                    <w:rPr>
                      <w:rFonts w:hint="default" w:ascii="Times New Roman" w:hAnsi="Times New Roman" w:eastAsia="仿宋" w:cs="Times New Roman"/>
                      <w:b w:val="0"/>
                      <w:bCs w:val="0"/>
                      <w:color w:val="auto"/>
                      <w:sz w:val="21"/>
                      <w:szCs w:val="21"/>
                      <w:lang w:val="en-US" w:eastAsia="zh-CN"/>
                    </w:rPr>
                    <w:t>μg/m</w:t>
                  </w:r>
                  <w:r>
                    <w:rPr>
                      <w:rFonts w:hint="default" w:ascii="Times New Roman" w:hAnsi="Times New Roman" w:eastAsia="仿宋" w:cs="Times New Roman"/>
                      <w:b w:val="0"/>
                      <w:bCs w:val="0"/>
                      <w:color w:val="auto"/>
                      <w:sz w:val="21"/>
                      <w:szCs w:val="21"/>
                      <w:vertAlign w:val="superscript"/>
                      <w:lang w:val="en-US" w:eastAsia="zh-CN"/>
                    </w:rPr>
                    <w:t>3</w:t>
                  </w:r>
                </w:p>
              </w:tc>
              <w:tc>
                <w:tcPr>
                  <w:tcW w:w="1973" w:type="pct"/>
                  <w:vMerge w:val="restart"/>
                  <w:vAlign w:val="center"/>
                </w:tcPr>
                <w:p w14:paraId="3357D7D7">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rPr>
                  </w:pPr>
                  <w:r>
                    <w:rPr>
                      <w:rFonts w:hint="default" w:ascii="Times New Roman" w:hAnsi="Times New Roman" w:eastAsia="仿宋" w:cs="Times New Roman"/>
                      <w:b w:val="0"/>
                      <w:bCs w:val="0"/>
                      <w:color w:val="auto"/>
                      <w:sz w:val="21"/>
                      <w:szCs w:val="21"/>
                    </w:rPr>
                    <w:t>《大气污染物综合排放标准》（DB32/4041-2021）中无组织排放监控浓度限值</w:t>
                  </w:r>
                </w:p>
              </w:tc>
            </w:tr>
            <w:tr w14:paraId="361C5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855" w:type="pct"/>
                  <w:vMerge w:val="continue"/>
                  <w:vAlign w:val="center"/>
                </w:tcPr>
                <w:p w14:paraId="2B80E84C">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rPr>
                  </w:pPr>
                </w:p>
              </w:tc>
              <w:tc>
                <w:tcPr>
                  <w:tcW w:w="964" w:type="pct"/>
                  <w:vAlign w:val="center"/>
                </w:tcPr>
                <w:p w14:paraId="62C392A8">
                  <w:pPr>
                    <w:pStyle w:val="7"/>
                    <w:keepNext w:val="0"/>
                    <w:keepLines w:val="0"/>
                    <w:suppressLineNumbers w:val="0"/>
                    <w:spacing w:beforeAutospacing="0" w:afterAutospacing="0"/>
                    <w:ind w:left="0" w:right="0"/>
                    <w:jc w:val="center"/>
                    <w:rPr>
                      <w:rFonts w:hint="default"/>
                      <w:lang w:val="en-US" w:eastAsia="zh-CN"/>
                    </w:rPr>
                  </w:pPr>
                  <w:r>
                    <w:rPr>
                      <w:rFonts w:hint="eastAsia" w:eastAsia="仿宋" w:cs="Times New Roman"/>
                      <w:b w:val="0"/>
                      <w:bCs w:val="0"/>
                      <w:color w:val="auto"/>
                      <w:sz w:val="21"/>
                      <w:szCs w:val="21"/>
                      <w:lang w:val="en-US" w:eastAsia="zh-CN"/>
                    </w:rPr>
                    <w:t>NO</w:t>
                  </w:r>
                  <w:r>
                    <w:rPr>
                      <w:rFonts w:hint="eastAsia" w:eastAsia="仿宋" w:cs="Times New Roman"/>
                      <w:b w:val="0"/>
                      <w:bCs w:val="0"/>
                      <w:color w:val="auto"/>
                      <w:sz w:val="21"/>
                      <w:szCs w:val="21"/>
                      <w:vertAlign w:val="subscript"/>
                      <w:lang w:val="en-US" w:eastAsia="zh-CN"/>
                    </w:rPr>
                    <w:t>x</w:t>
                  </w:r>
                </w:p>
              </w:tc>
              <w:tc>
                <w:tcPr>
                  <w:tcW w:w="1206" w:type="pct"/>
                  <w:vAlign w:val="center"/>
                </w:tcPr>
                <w:p w14:paraId="6C5D67BF">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0.12</w:t>
                  </w:r>
                  <w:r>
                    <w:rPr>
                      <w:rFonts w:hint="default" w:ascii="Times New Roman" w:hAnsi="Times New Roman" w:eastAsia="仿宋" w:cs="Times New Roman"/>
                      <w:b w:val="0"/>
                      <w:bCs w:val="0"/>
                      <w:color w:val="auto"/>
                      <w:sz w:val="21"/>
                      <w:szCs w:val="21"/>
                      <w:lang w:val="en-US" w:eastAsia="zh-CN"/>
                    </w:rPr>
                    <w:t>μg/m</w:t>
                  </w:r>
                  <w:r>
                    <w:rPr>
                      <w:rFonts w:hint="default" w:ascii="Times New Roman" w:hAnsi="Times New Roman" w:eastAsia="仿宋" w:cs="Times New Roman"/>
                      <w:b w:val="0"/>
                      <w:bCs w:val="0"/>
                      <w:color w:val="auto"/>
                      <w:sz w:val="21"/>
                      <w:szCs w:val="21"/>
                      <w:vertAlign w:val="superscript"/>
                      <w:lang w:val="en-US" w:eastAsia="zh-CN"/>
                    </w:rPr>
                    <w:t>3</w:t>
                  </w:r>
                </w:p>
              </w:tc>
              <w:tc>
                <w:tcPr>
                  <w:tcW w:w="1973" w:type="pct"/>
                  <w:vMerge w:val="continue"/>
                  <w:vAlign w:val="center"/>
                </w:tcPr>
                <w:p w14:paraId="7F31828B">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rPr>
                  </w:pPr>
                </w:p>
              </w:tc>
            </w:tr>
          </w:tbl>
          <w:p w14:paraId="783C4375">
            <w:pPr>
              <w:keepNext w:val="0"/>
              <w:keepLines w:val="0"/>
              <w:suppressLineNumbers w:val="0"/>
              <w:tabs>
                <w:tab w:val="left" w:pos="6030"/>
              </w:tabs>
              <w:spacing w:before="0" w:beforeAutospacing="0" w:after="0" w:afterAutospacing="0" w:line="360" w:lineRule="auto"/>
              <w:ind w:left="0" w:leftChars="0" w:right="0" w:firstLine="480" w:firstLineChars="20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3、噪声</w:t>
            </w:r>
          </w:p>
          <w:p w14:paraId="3EEE7FC9">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施工期：本项目施工期产生噪声排放执行《建筑施工场界环境噪声排放标准》（GB12523-2011）标准。</w:t>
            </w:r>
          </w:p>
          <w:p w14:paraId="1FFBFA03">
            <w:pPr>
              <w:keepNext w:val="0"/>
              <w:keepLines w:val="0"/>
              <w:suppressLineNumbers w:val="0"/>
              <w:tabs>
                <w:tab w:val="left" w:pos="6030"/>
              </w:tabs>
              <w:spacing w:before="0" w:beforeAutospacing="0" w:after="0" w:afterAutospacing="0" w:line="360" w:lineRule="auto"/>
              <w:ind w:left="0" w:right="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运营期：</w:t>
            </w:r>
            <w:r>
              <w:rPr>
                <w:rFonts w:hint="eastAsia" w:ascii="Times New Roman" w:hAnsi="Times New Roman" w:eastAsia="仿宋"/>
                <w:color w:val="auto"/>
                <w:kern w:val="0"/>
                <w:sz w:val="24"/>
                <w:highlight w:val="none"/>
                <w:lang w:val="en-US" w:eastAsia="zh-CN"/>
              </w:rPr>
              <w:t>项目区北侧河海大学长荡湖校区为学校，参照执行1类标准，</w:t>
            </w:r>
            <w:r>
              <w:rPr>
                <w:rFonts w:hint="eastAsia" w:eastAsia="仿宋"/>
                <w:color w:val="auto"/>
                <w:kern w:val="0"/>
                <w:sz w:val="24"/>
                <w:highlight w:val="none"/>
                <w:lang w:val="en-US" w:eastAsia="zh-CN"/>
              </w:rPr>
              <w:t>本工程的桥梁中线两侧执行《社会生活环境噪声排放标准》（GB22337-2008）1类标准</w:t>
            </w:r>
            <w:r>
              <w:rPr>
                <w:rFonts w:hint="eastAsia" w:ascii="Times New Roman" w:hAnsi="Times New Roman" w:eastAsia="仿宋"/>
                <w:color w:val="auto"/>
                <w:kern w:val="0"/>
                <w:sz w:val="24"/>
                <w:highlight w:val="none"/>
                <w:lang w:val="en-US" w:eastAsia="zh-CN"/>
              </w:rPr>
              <w:t>，</w:t>
            </w:r>
          </w:p>
          <w:p w14:paraId="4AE54C77">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表3-23 建筑施工场界环境噪声排放标准  单位：dB（A）</w:t>
            </w:r>
          </w:p>
          <w:tbl>
            <w:tblPr>
              <w:tblStyle w:val="2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723"/>
              <w:gridCol w:w="2180"/>
              <w:gridCol w:w="1109"/>
              <w:gridCol w:w="996"/>
              <w:gridCol w:w="998"/>
            </w:tblGrid>
            <w:tr w14:paraId="6F634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601" w:type="pct"/>
                  <w:vAlign w:val="center"/>
                </w:tcPr>
                <w:p w14:paraId="460935FB">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时期</w:t>
                  </w:r>
                </w:p>
              </w:tc>
              <w:tc>
                <w:tcPr>
                  <w:tcW w:w="1495" w:type="pct"/>
                  <w:vAlign w:val="center"/>
                </w:tcPr>
                <w:p w14:paraId="55811607">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lang w:val="en-US" w:eastAsia="zh-CN"/>
                    </w:rPr>
                    <w:t>区域</w:t>
                  </w:r>
                </w:p>
              </w:tc>
              <w:tc>
                <w:tcPr>
                  <w:tcW w:w="1806" w:type="pct"/>
                  <w:gridSpan w:val="2"/>
                  <w:vAlign w:val="center"/>
                </w:tcPr>
                <w:p w14:paraId="77E5EF7F">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bCs/>
                      <w:color w:val="auto"/>
                      <w:sz w:val="21"/>
                      <w:szCs w:val="21"/>
                      <w:lang w:val="en-US" w:eastAsia="zh-CN"/>
                    </w:rPr>
                  </w:pPr>
                  <w:r>
                    <w:rPr>
                      <w:rFonts w:hint="default" w:ascii="Times New Roman" w:hAnsi="Times New Roman" w:eastAsia="仿宋" w:cs="Times New Roman"/>
                      <w:b/>
                      <w:bCs/>
                      <w:color w:val="auto"/>
                      <w:sz w:val="21"/>
                      <w:szCs w:val="21"/>
                      <w:lang w:val="en-US" w:eastAsia="zh-CN"/>
                    </w:rPr>
                    <w:t>执行标准</w:t>
                  </w:r>
                </w:p>
              </w:tc>
              <w:tc>
                <w:tcPr>
                  <w:tcW w:w="547" w:type="pct"/>
                  <w:vAlign w:val="center"/>
                </w:tcPr>
                <w:p w14:paraId="4D95C891">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leftChars="0" w:right="0" w:rightChars="0" w:firstLine="0" w:firstLineChars="0"/>
                    <w:jc w:val="center"/>
                    <w:textAlignment w:val="auto"/>
                    <w:rPr>
                      <w:rFonts w:hint="default" w:ascii="Times New Roman" w:hAnsi="Times New Roman" w:eastAsia="仿宋" w:cs="Times New Roman"/>
                      <w:b/>
                      <w:bCs/>
                      <w:color w:val="auto"/>
                      <w:kern w:val="2"/>
                      <w:sz w:val="21"/>
                      <w:szCs w:val="21"/>
                      <w:lang w:val="en-US" w:eastAsia="zh-CN" w:bidi="ar-SA"/>
                    </w:rPr>
                  </w:pPr>
                  <w:r>
                    <w:rPr>
                      <w:rFonts w:hint="default" w:ascii="Times New Roman" w:hAnsi="Times New Roman" w:eastAsia="仿宋" w:cs="Times New Roman"/>
                      <w:b/>
                      <w:bCs/>
                      <w:color w:val="auto"/>
                      <w:sz w:val="21"/>
                      <w:szCs w:val="21"/>
                    </w:rPr>
                    <w:t>昼间</w:t>
                  </w:r>
                </w:p>
              </w:tc>
              <w:tc>
                <w:tcPr>
                  <w:tcW w:w="548" w:type="pct"/>
                  <w:vAlign w:val="center"/>
                </w:tcPr>
                <w:p w14:paraId="76D5A486">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leftChars="0" w:right="0" w:rightChars="0" w:firstLine="0" w:firstLineChars="0"/>
                    <w:jc w:val="center"/>
                    <w:textAlignment w:val="auto"/>
                    <w:rPr>
                      <w:rFonts w:hint="default" w:ascii="Times New Roman" w:hAnsi="Times New Roman" w:eastAsia="仿宋" w:cs="Times New Roman"/>
                      <w:b/>
                      <w:bCs/>
                      <w:color w:val="auto"/>
                      <w:kern w:val="2"/>
                      <w:sz w:val="21"/>
                      <w:szCs w:val="21"/>
                      <w:lang w:val="en-US" w:eastAsia="zh-CN" w:bidi="ar-SA"/>
                    </w:rPr>
                  </w:pPr>
                  <w:r>
                    <w:rPr>
                      <w:rFonts w:hint="default" w:ascii="Times New Roman" w:hAnsi="Times New Roman" w:eastAsia="仿宋" w:cs="Times New Roman"/>
                      <w:b/>
                      <w:bCs/>
                      <w:color w:val="auto"/>
                      <w:sz w:val="21"/>
                      <w:szCs w:val="21"/>
                    </w:rPr>
                    <w:t>夜间</w:t>
                  </w:r>
                </w:p>
              </w:tc>
            </w:tr>
            <w:tr w14:paraId="3A82E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601" w:type="pct"/>
                  <w:vAlign w:val="center"/>
                </w:tcPr>
                <w:p w14:paraId="75D754C6">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施工期</w:t>
                  </w:r>
                </w:p>
              </w:tc>
              <w:tc>
                <w:tcPr>
                  <w:tcW w:w="1495" w:type="pct"/>
                  <w:vAlign w:val="center"/>
                </w:tcPr>
                <w:p w14:paraId="12BDD315">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rPr>
                  </w:pPr>
                  <w:r>
                    <w:rPr>
                      <w:rFonts w:hint="eastAsia" w:eastAsia="仿宋" w:cs="Times New Roman"/>
                      <w:color w:val="auto"/>
                      <w:kern w:val="0"/>
                      <w:sz w:val="21"/>
                      <w:szCs w:val="21"/>
                      <w:highlight w:val="none"/>
                      <w:lang w:val="en-US" w:eastAsia="zh-CN"/>
                    </w:rPr>
                    <w:t>施工场界</w:t>
                  </w:r>
                </w:p>
              </w:tc>
              <w:tc>
                <w:tcPr>
                  <w:tcW w:w="1806" w:type="pct"/>
                  <w:gridSpan w:val="2"/>
                  <w:vAlign w:val="center"/>
                </w:tcPr>
                <w:p w14:paraId="5A3008E3">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ascii="Times New Roman" w:hAnsi="Times New Roman" w:eastAsia="仿宋" w:cs="Times New Roman"/>
                      <w:color w:val="auto"/>
                      <w:kern w:val="0"/>
                      <w:sz w:val="21"/>
                      <w:szCs w:val="21"/>
                      <w:highlight w:val="none"/>
                      <w:lang w:val="en-US" w:eastAsia="zh-CN" w:bidi="ar-SA"/>
                    </w:rPr>
                    <w:t>《建筑施工场界环境噪声排放标准》（GB12523-2011）</w:t>
                  </w:r>
                </w:p>
              </w:tc>
              <w:tc>
                <w:tcPr>
                  <w:tcW w:w="547" w:type="pct"/>
                  <w:vAlign w:val="center"/>
                </w:tcPr>
                <w:p w14:paraId="234E0F9E">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leftChars="0" w:right="0" w:rightChars="0" w:firstLine="0" w:firstLineChars="0"/>
                    <w:jc w:val="center"/>
                    <w:textAlignment w:val="auto"/>
                    <w:rPr>
                      <w:rFonts w:hint="default" w:ascii="Times New Roman" w:hAnsi="Times New Roman" w:eastAsia="仿宋" w:cs="Times New Roman"/>
                      <w:b w:val="0"/>
                      <w:bCs w:val="0"/>
                      <w:color w:val="auto"/>
                      <w:kern w:val="2"/>
                      <w:sz w:val="21"/>
                      <w:szCs w:val="21"/>
                      <w:lang w:val="en-US" w:eastAsia="zh-CN" w:bidi="ar-SA"/>
                    </w:rPr>
                  </w:pPr>
                  <w:r>
                    <w:rPr>
                      <w:rFonts w:hint="default" w:ascii="Times New Roman" w:hAnsi="Times New Roman" w:eastAsia="仿宋" w:cs="Times New Roman"/>
                      <w:b w:val="0"/>
                      <w:bCs w:val="0"/>
                      <w:color w:val="auto"/>
                      <w:sz w:val="21"/>
                      <w:szCs w:val="21"/>
                      <w:lang w:val="en-US" w:eastAsia="zh-CN"/>
                    </w:rPr>
                    <w:t>70</w:t>
                  </w:r>
                </w:p>
              </w:tc>
              <w:tc>
                <w:tcPr>
                  <w:tcW w:w="548" w:type="pct"/>
                  <w:vAlign w:val="center"/>
                </w:tcPr>
                <w:p w14:paraId="08B2560E">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leftChars="0" w:right="0" w:rightChars="0" w:firstLine="0" w:firstLineChars="0"/>
                    <w:jc w:val="center"/>
                    <w:textAlignment w:val="auto"/>
                    <w:rPr>
                      <w:rFonts w:hint="default" w:ascii="Times New Roman" w:hAnsi="Times New Roman" w:eastAsia="仿宋" w:cs="Times New Roman"/>
                      <w:b w:val="0"/>
                      <w:bCs w:val="0"/>
                      <w:color w:val="auto"/>
                      <w:kern w:val="2"/>
                      <w:sz w:val="21"/>
                      <w:szCs w:val="21"/>
                      <w:lang w:val="en-US" w:eastAsia="zh-CN" w:bidi="ar-SA"/>
                    </w:rPr>
                  </w:pPr>
                  <w:r>
                    <w:rPr>
                      <w:rFonts w:hint="default" w:ascii="Times New Roman" w:hAnsi="Times New Roman" w:eastAsia="仿宋" w:cs="Times New Roman"/>
                      <w:b w:val="0"/>
                      <w:bCs w:val="0"/>
                      <w:color w:val="auto"/>
                      <w:sz w:val="21"/>
                      <w:szCs w:val="21"/>
                      <w:lang w:val="en-US" w:eastAsia="zh-CN"/>
                    </w:rPr>
                    <w:t>5</w:t>
                  </w:r>
                  <w:r>
                    <w:rPr>
                      <w:rFonts w:hint="default" w:ascii="Times New Roman" w:hAnsi="Times New Roman" w:eastAsia="仿宋" w:cs="Times New Roman"/>
                      <w:b w:val="0"/>
                      <w:bCs w:val="0"/>
                      <w:color w:val="auto"/>
                      <w:sz w:val="21"/>
                      <w:szCs w:val="21"/>
                    </w:rPr>
                    <w:t>5</w:t>
                  </w:r>
                </w:p>
              </w:tc>
            </w:tr>
            <w:tr w14:paraId="33FA6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601" w:type="pct"/>
                  <w:vAlign w:val="center"/>
                </w:tcPr>
                <w:p w14:paraId="0F2883FD">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eastAsia="仿宋" w:cs="Times New Roman"/>
                      <w:color w:val="auto"/>
                      <w:kern w:val="0"/>
                      <w:sz w:val="21"/>
                      <w:szCs w:val="21"/>
                      <w:highlight w:val="yellow"/>
                      <w:lang w:val="en-US" w:eastAsia="zh-CN"/>
                    </w:rPr>
                  </w:pPr>
                  <w:r>
                    <w:rPr>
                      <w:rFonts w:hint="eastAsia" w:eastAsia="仿宋" w:cs="Times New Roman"/>
                      <w:color w:val="auto"/>
                      <w:kern w:val="0"/>
                      <w:sz w:val="21"/>
                      <w:szCs w:val="21"/>
                      <w:highlight w:val="none"/>
                      <w:lang w:val="en-US" w:eastAsia="zh-CN"/>
                    </w:rPr>
                    <w:t>运营期</w:t>
                  </w:r>
                </w:p>
              </w:tc>
              <w:tc>
                <w:tcPr>
                  <w:tcW w:w="1495" w:type="pct"/>
                  <w:vAlign w:val="center"/>
                </w:tcPr>
                <w:p w14:paraId="33FE83F9">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color w:val="auto"/>
                      <w:kern w:val="0"/>
                      <w:sz w:val="21"/>
                      <w:szCs w:val="21"/>
                      <w:highlight w:val="yellow"/>
                      <w:lang w:val="en-US" w:eastAsia="zh-CN"/>
                    </w:rPr>
                  </w:pPr>
                  <w:r>
                    <w:rPr>
                      <w:rFonts w:hint="eastAsia" w:eastAsia="仿宋" w:cs="Times New Roman"/>
                      <w:color w:val="auto"/>
                      <w:kern w:val="0"/>
                      <w:sz w:val="21"/>
                      <w:szCs w:val="21"/>
                      <w:highlight w:val="none"/>
                      <w:lang w:val="en-US" w:eastAsia="zh-CN"/>
                    </w:rPr>
                    <w:t>桥梁中线两侧</w:t>
                  </w:r>
                </w:p>
              </w:tc>
              <w:tc>
                <w:tcPr>
                  <w:tcW w:w="1197" w:type="pct"/>
                  <w:vAlign w:val="center"/>
                </w:tcPr>
                <w:p w14:paraId="299A6E55">
                  <w:pPr>
                    <w:pStyle w:val="7"/>
                    <w:keepNext w:val="0"/>
                    <w:keepLines w:val="0"/>
                    <w:suppressLineNumbers w:val="0"/>
                    <w:spacing w:beforeAutospacing="0" w:afterAutospacing="0"/>
                    <w:ind w:left="0" w:leftChars="0" w:right="0" w:rightChars="0" w:firstLine="0" w:firstLineChars="0"/>
                    <w:jc w:val="center"/>
                    <w:rPr>
                      <w:rFonts w:hint="eastAsia" w:ascii="Times New Roman" w:hAnsi="Times New Roman" w:eastAsia="仿宋" w:cs="Times New Roman"/>
                      <w:color w:val="auto"/>
                      <w:kern w:val="0"/>
                      <w:sz w:val="21"/>
                      <w:szCs w:val="21"/>
                      <w:highlight w:val="yellow"/>
                      <w:lang w:val="en-US" w:eastAsia="zh-CN"/>
                    </w:rPr>
                  </w:pPr>
                  <w:r>
                    <w:rPr>
                      <w:rFonts w:hint="default" w:ascii="Times New Roman" w:hAnsi="Times New Roman" w:eastAsia="仿宋" w:cs="Times New Roman"/>
                      <w:color w:val="auto"/>
                      <w:kern w:val="0"/>
                      <w:sz w:val="21"/>
                      <w:szCs w:val="21"/>
                      <w:highlight w:val="none"/>
                      <w:lang w:val="en-US" w:eastAsia="zh-CN"/>
                    </w:rPr>
                    <w:t>《社会生活环境噪声排放标准》（GB22337-2008）</w:t>
                  </w:r>
                </w:p>
              </w:tc>
              <w:tc>
                <w:tcPr>
                  <w:tcW w:w="609" w:type="pct"/>
                  <w:vAlign w:val="center"/>
                </w:tcPr>
                <w:p w14:paraId="22F986F5">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b w:val="0"/>
                      <w:bCs w:val="0"/>
                      <w:color w:val="auto"/>
                      <w:sz w:val="21"/>
                      <w:szCs w:val="21"/>
                      <w:highlight w:val="none"/>
                      <w:lang w:val="en-US" w:eastAsia="zh-CN"/>
                    </w:rPr>
                    <w:t>1</w:t>
                  </w:r>
                  <w:r>
                    <w:rPr>
                      <w:rFonts w:hint="default" w:ascii="Times New Roman" w:hAnsi="Times New Roman" w:eastAsia="仿宋" w:cs="Times New Roman"/>
                      <w:b w:val="0"/>
                      <w:bCs w:val="0"/>
                      <w:color w:val="auto"/>
                      <w:sz w:val="21"/>
                      <w:szCs w:val="21"/>
                      <w:highlight w:val="none"/>
                    </w:rPr>
                    <w:t>类</w:t>
                  </w:r>
                </w:p>
              </w:tc>
              <w:tc>
                <w:tcPr>
                  <w:tcW w:w="547" w:type="pct"/>
                  <w:vAlign w:val="center"/>
                </w:tcPr>
                <w:p w14:paraId="6FAD231F">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55</w:t>
                  </w:r>
                </w:p>
              </w:tc>
              <w:tc>
                <w:tcPr>
                  <w:tcW w:w="548" w:type="pct"/>
                  <w:vAlign w:val="center"/>
                </w:tcPr>
                <w:p w14:paraId="55470502">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b w:val="0"/>
                      <w:bCs w:val="0"/>
                      <w:color w:val="auto"/>
                      <w:sz w:val="21"/>
                      <w:szCs w:val="21"/>
                      <w:highlight w:val="none"/>
                      <w:lang w:val="en-US" w:eastAsia="zh-CN"/>
                    </w:rPr>
                    <w:t>45</w:t>
                  </w:r>
                </w:p>
              </w:tc>
            </w:tr>
          </w:tbl>
          <w:p w14:paraId="735A5480">
            <w:pPr>
              <w:keepNext w:val="0"/>
              <w:keepLines w:val="0"/>
              <w:pageBreakBefore w:val="0"/>
              <w:widowControl w:val="0"/>
              <w:suppressLineNumbers w:val="0"/>
              <w:tabs>
                <w:tab w:val="left" w:pos="6030"/>
              </w:tabs>
              <w:kinsoku/>
              <w:wordWrap w:val="0"/>
              <w:overflowPunct/>
              <w:topLinePunct w:val="0"/>
              <w:bidi w:val="0"/>
              <w:adjustRightInd/>
              <w:snapToGrid/>
              <w:spacing w:before="0" w:beforeAutospacing="0" w:after="0" w:afterAutospacing="0" w:line="360" w:lineRule="auto"/>
              <w:ind w:left="0" w:right="0"/>
              <w:jc w:val="left"/>
              <w:textAlignment w:val="auto"/>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4、固废污染物控制标准</w:t>
            </w:r>
          </w:p>
          <w:p w14:paraId="584BC6EF">
            <w:pPr>
              <w:keepNext w:val="0"/>
              <w:keepLines w:val="0"/>
              <w:pageBreakBefore w:val="0"/>
              <w:widowControl w:val="0"/>
              <w:numPr>
                <w:ilvl w:val="0"/>
                <w:numId w:val="0"/>
              </w:numPr>
              <w:suppressLineNumbers w:val="0"/>
              <w:kinsoku/>
              <w:wordWrap w:val="0"/>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ascii="Times New Roman" w:hAnsi="Times New Roman" w:cs="Times New Roman"/>
                <w:color w:val="auto"/>
                <w:highlight w:val="none"/>
                <w:vertAlign w:val="baseline"/>
              </w:rPr>
            </w:pPr>
            <w:r>
              <w:rPr>
                <w:rFonts w:hint="eastAsia" w:ascii="Times New Roman" w:hAnsi="Times New Roman" w:eastAsia="仿宋" w:cs="Times New Roman"/>
                <w:bCs/>
                <w:snapToGrid w:val="0"/>
                <w:color w:val="auto"/>
                <w:kern w:val="0"/>
                <w:sz w:val="24"/>
                <w:szCs w:val="24"/>
                <w:highlight w:val="none"/>
                <w:lang w:val="en-US" w:eastAsia="zh-CN" w:bidi="ar-SA"/>
              </w:rPr>
              <w:t>一般固废执行《一般工业固体废物贮存、处置污染控制标准》（GB18599-2020），</w:t>
            </w:r>
            <w:r>
              <w:rPr>
                <w:rFonts w:hint="eastAsia" w:eastAsia="仿宋"/>
                <w:color w:val="auto"/>
                <w:sz w:val="24"/>
                <w:lang w:eastAsia="zh-CN"/>
              </w:rPr>
              <w:t>危险固废执行《危险废物贮存污染控制标准》（GB18597-2023）、《危险废物收集、贮存、运输技术规范》（HJ2025-2012）以及“省生态环境厅关于做好《危险废物贮存污染控制标准》等标准规范实施后危险废物环境管理衔接工作的通知”（苏环办[2023]154号）等标准</w:t>
            </w:r>
            <w:r>
              <w:rPr>
                <w:rFonts w:hint="eastAsia" w:ascii="Times New Roman" w:hAnsi="Times New Roman" w:eastAsia="仿宋" w:cs="Times New Roman"/>
                <w:bCs/>
                <w:snapToGrid w:val="0"/>
                <w:color w:val="auto"/>
                <w:kern w:val="0"/>
                <w:sz w:val="24"/>
                <w:szCs w:val="24"/>
                <w:highlight w:val="none"/>
                <w:lang w:val="en-US" w:eastAsia="zh-CN" w:bidi="ar-SA"/>
              </w:rPr>
              <w:t>。</w:t>
            </w:r>
          </w:p>
        </w:tc>
      </w:tr>
      <w:tr w14:paraId="363A58ED">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jc w:val="center"/>
        </w:trPr>
        <w:tc>
          <w:tcPr>
            <w:tcW w:w="486" w:type="dxa"/>
            <w:tcBorders>
              <w:top w:val="single" w:color="auto" w:sz="4" w:space="0"/>
            </w:tcBorders>
            <w:vAlign w:val="center"/>
          </w:tcPr>
          <w:p w14:paraId="56890D45">
            <w:pPr>
              <w:pStyle w:val="30"/>
              <w:jc w:val="center"/>
              <w:rPr>
                <w:rFonts w:hint="default"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其他</w:t>
            </w:r>
          </w:p>
        </w:tc>
        <w:tc>
          <w:tcPr>
            <w:tcW w:w="8379" w:type="dxa"/>
            <w:tcBorders>
              <w:top w:val="single" w:color="auto" w:sz="4" w:space="0"/>
            </w:tcBorders>
            <w:vAlign w:val="top"/>
          </w:tcPr>
          <w:p w14:paraId="122729F3">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default" w:eastAsia="仿宋"/>
                <w:b/>
                <w:bCs/>
                <w:color w:val="auto"/>
                <w:sz w:val="24"/>
                <w:highlight w:val="none"/>
                <w:lang w:val="en-US" w:eastAsia="zh-CN"/>
              </w:rPr>
            </w:pPr>
            <w:r>
              <w:rPr>
                <w:rFonts w:hint="eastAsia" w:eastAsia="仿宋"/>
                <w:b/>
                <w:bCs/>
                <w:color w:val="auto"/>
                <w:sz w:val="24"/>
                <w:highlight w:val="none"/>
                <w:lang w:val="en-US" w:eastAsia="zh-CN"/>
              </w:rPr>
              <w:t>总量控制指标</w:t>
            </w:r>
          </w:p>
          <w:p w14:paraId="4024AAB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ascii="Times New Roman" w:hAnsi="Times New Roman" w:cs="Times New Roman"/>
                <w:color w:val="auto"/>
                <w:highlight w:val="none"/>
                <w:vertAlign w:val="baseline"/>
              </w:rPr>
            </w:pPr>
            <w:r>
              <w:rPr>
                <w:rFonts w:hint="eastAsia" w:eastAsia="仿宋"/>
                <w:color w:val="auto"/>
                <w:sz w:val="24"/>
                <w:highlight w:val="none"/>
              </w:rPr>
              <w:t>根据江苏省污染物排放总量控制要求，本项目为</w:t>
            </w:r>
            <w:r>
              <w:rPr>
                <w:rFonts w:hint="eastAsia" w:eastAsia="仿宋"/>
                <w:color w:val="auto"/>
                <w:sz w:val="24"/>
                <w:highlight w:val="none"/>
                <w:lang w:val="en-US" w:eastAsia="zh-CN"/>
              </w:rPr>
              <w:t>桥梁</w:t>
            </w:r>
            <w:r>
              <w:rPr>
                <w:rFonts w:hint="eastAsia" w:eastAsia="仿宋"/>
                <w:color w:val="auto"/>
                <w:sz w:val="24"/>
                <w:highlight w:val="none"/>
              </w:rPr>
              <w:t>工程，为非生产性项目，不核定总量控制指标。</w:t>
            </w:r>
          </w:p>
        </w:tc>
      </w:tr>
    </w:tbl>
    <w:p w14:paraId="245964D1">
      <w:pPr>
        <w:pStyle w:val="30"/>
        <w:jc w:val="both"/>
        <w:rPr>
          <w:rFonts w:hint="eastAsia" w:ascii="黑体" w:hAnsi="黑体" w:eastAsia="黑体"/>
          <w:snapToGrid w:val="0"/>
          <w:color w:val="auto"/>
          <w:sz w:val="30"/>
          <w:szCs w:val="30"/>
          <w:highlight w:val="none"/>
          <w:lang w:val="en-US" w:eastAsia="zh-CN"/>
        </w:rPr>
      </w:pPr>
      <w:r>
        <w:rPr>
          <w:rFonts w:hint="eastAsia" w:ascii="黑体" w:hAnsi="黑体" w:eastAsia="黑体"/>
          <w:snapToGrid w:val="0"/>
          <w:color w:val="auto"/>
          <w:sz w:val="30"/>
          <w:szCs w:val="30"/>
          <w:highlight w:val="none"/>
          <w:lang w:val="en-US" w:eastAsia="zh-CN"/>
        </w:rPr>
        <w:br w:type="page"/>
      </w:r>
    </w:p>
    <w:p w14:paraId="47DEAC43">
      <w:pPr>
        <w:pStyle w:val="19"/>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center"/>
        <w:textAlignment w:val="auto"/>
        <w:outlineLvl w:val="0"/>
        <w:rPr>
          <w:rFonts w:hint="default" w:ascii="Times New Roman" w:hAnsi="Times New Roman" w:cs="Times New Roman"/>
          <w:color w:val="auto"/>
          <w:highlight w:val="none"/>
          <w:lang w:val="en-US" w:eastAsia="zh-CN"/>
        </w:rPr>
      </w:pPr>
      <w:bookmarkStart w:id="6" w:name="_Toc12916"/>
      <w:r>
        <w:rPr>
          <w:rFonts w:hint="eastAsia" w:ascii="黑体" w:hAnsi="黑体" w:eastAsia="黑体"/>
          <w:snapToGrid w:val="0"/>
          <w:color w:val="auto"/>
          <w:sz w:val="30"/>
          <w:szCs w:val="30"/>
          <w:highlight w:val="none"/>
          <w:lang w:val="en-US" w:eastAsia="zh-CN"/>
        </w:rPr>
        <w:t>四、生态环境影响分析</w:t>
      </w:r>
      <w:bookmarkEnd w:id="6"/>
    </w:p>
    <w:tbl>
      <w:tblPr>
        <w:tblStyle w:val="24"/>
        <w:tblW w:w="8950" w:type="dxa"/>
        <w:tblInd w:w="-170"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autofit"/>
        <w:tblCellMar>
          <w:top w:w="0" w:type="dxa"/>
          <w:left w:w="108" w:type="dxa"/>
          <w:bottom w:w="0" w:type="dxa"/>
          <w:right w:w="108" w:type="dxa"/>
        </w:tblCellMar>
      </w:tblPr>
      <w:tblGrid>
        <w:gridCol w:w="426"/>
        <w:gridCol w:w="8531"/>
      </w:tblGrid>
      <w:tr w14:paraId="7D4FF546">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PrEx>
        <w:trPr>
          <w:trHeight w:val="2403" w:hRule="atLeast"/>
        </w:trPr>
        <w:tc>
          <w:tcPr>
            <w:tcW w:w="426" w:type="dxa"/>
            <w:tcBorders>
              <w:tl2br w:val="nil"/>
              <w:tr2bl w:val="nil"/>
            </w:tcBorders>
            <w:vAlign w:val="center"/>
          </w:tcPr>
          <w:p w14:paraId="0196B1C7">
            <w:pPr>
              <w:pStyle w:val="30"/>
              <w:jc w:val="center"/>
              <w:rPr>
                <w:rFonts w:hint="default"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施工期生态环境影响分析</w:t>
            </w:r>
          </w:p>
        </w:tc>
        <w:tc>
          <w:tcPr>
            <w:tcW w:w="8524" w:type="dxa"/>
            <w:tcBorders>
              <w:tl2br w:val="nil"/>
              <w:tr2bl w:val="nil"/>
            </w:tcBorders>
            <w:vAlign w:val="top"/>
          </w:tcPr>
          <w:p w14:paraId="13B3C5FA">
            <w:pPr>
              <w:keepNext w:val="0"/>
              <w:keepLines w:val="0"/>
              <w:suppressLineNumbers w:val="0"/>
              <w:tabs>
                <w:tab w:val="left" w:pos="6030"/>
              </w:tabs>
              <w:spacing w:before="0" w:beforeAutospacing="0" w:after="0" w:afterAutospacing="0" w:line="360" w:lineRule="auto"/>
              <w:ind w:left="0" w:right="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一、施工期环境影响分析</w:t>
            </w:r>
          </w:p>
          <w:p w14:paraId="01D5BD99">
            <w:pPr>
              <w:keepNext w:val="0"/>
              <w:keepLines w:val="0"/>
              <w:suppressLineNumbers w:val="0"/>
              <w:tabs>
                <w:tab w:val="left" w:pos="6030"/>
              </w:tabs>
              <w:spacing w:before="0" w:beforeAutospacing="0" w:after="0" w:afterAutospacing="0" w:line="360" w:lineRule="auto"/>
              <w:ind w:left="0" w:right="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1、项目施工期工艺流程</w:t>
            </w:r>
          </w:p>
          <w:p w14:paraId="62ACAA32">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本项目为桥梁工程，工程主要施工过程及施工期环境影响见图4-1。</w:t>
            </w:r>
          </w:p>
          <w:p w14:paraId="59A5C62F">
            <w:pPr>
              <w:keepNext w:val="0"/>
              <w:keepLines w:val="0"/>
              <w:suppressLineNumbers w:val="0"/>
              <w:tabs>
                <w:tab w:val="left" w:pos="6030"/>
              </w:tabs>
              <w:spacing w:before="0" w:beforeAutospacing="0" w:after="0" w:afterAutospacing="0" w:line="360" w:lineRule="auto"/>
              <w:ind w:left="0" w:leftChars="0" w:right="0" w:firstLine="0" w:firstLineChars="0"/>
              <w:jc w:val="left"/>
              <w:rPr>
                <w:rFonts w:hint="default" w:ascii="Times New Roman" w:hAnsi="Times New Roman" w:eastAsia="仿宋" w:cs="Times New Roman"/>
                <w:b/>
                <w:bCs/>
                <w:color w:val="auto"/>
                <w:kern w:val="0"/>
                <w:sz w:val="24"/>
                <w:szCs w:val="22"/>
                <w:highlight w:val="none"/>
                <w:lang w:val="en-US" w:eastAsia="zh-CN" w:bidi="ar-SA"/>
              </w:rPr>
            </w:pPr>
            <w:r>
              <w:rPr>
                <w:rFonts w:hint="default" w:ascii="Times New Roman" w:hAnsi="Times New Roman" w:eastAsia="仿宋" w:cs="Times New Roman"/>
                <w:b/>
                <w:bCs/>
                <w:color w:val="auto"/>
                <w:kern w:val="0"/>
                <w:sz w:val="24"/>
                <w:szCs w:val="22"/>
                <w:highlight w:val="none"/>
                <w:lang w:val="en-US" w:eastAsia="zh-CN" w:bidi="ar-SA"/>
              </w:rPr>
              <w:drawing>
                <wp:inline distT="0" distB="0" distL="114300" distR="114300">
                  <wp:extent cx="5265420" cy="1397635"/>
                  <wp:effectExtent l="0" t="0" r="0" b="0"/>
                  <wp:docPr id="13" name="ECB019B1-382A-4266-B25C-5B523AA43C14-6"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CB019B1-382A-4266-B25C-5B523AA43C14-6" descr="wps"/>
                          <pic:cNvPicPr>
                            <a:picLocks noChangeAspect="1"/>
                          </pic:cNvPicPr>
                        </pic:nvPicPr>
                        <pic:blipFill>
                          <a:blip r:embed="rId65"/>
                          <a:stretch>
                            <a:fillRect/>
                          </a:stretch>
                        </pic:blipFill>
                        <pic:spPr>
                          <a:xfrm>
                            <a:off x="0" y="0"/>
                            <a:ext cx="5265420" cy="1397635"/>
                          </a:xfrm>
                          <a:prstGeom prst="rect">
                            <a:avLst/>
                          </a:prstGeom>
                        </pic:spPr>
                      </pic:pic>
                    </a:graphicData>
                  </a:graphic>
                </wp:inline>
              </w:drawing>
            </w:r>
          </w:p>
          <w:p w14:paraId="37058235">
            <w:pPr>
              <w:keepNext w:val="0"/>
              <w:keepLines w:val="0"/>
              <w:widowControl/>
              <w:suppressLineNumbers w:val="0"/>
              <w:ind w:left="0" w:leftChars="0" w:firstLine="0" w:firstLineChars="0"/>
              <w:jc w:val="center"/>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图4-1施工期工艺流程图及产污环节分析</w:t>
            </w:r>
          </w:p>
          <w:p w14:paraId="1BD52AA1">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2</w:t>
            </w:r>
            <w:r>
              <w:rPr>
                <w:rFonts w:hint="eastAsia" w:ascii="Times New Roman" w:hAnsi="Times New Roman" w:eastAsia="仿宋" w:cs="Times New Roman"/>
                <w:b/>
                <w:bCs/>
                <w:color w:val="auto"/>
                <w:kern w:val="0"/>
                <w:sz w:val="24"/>
                <w:szCs w:val="22"/>
                <w:highlight w:val="none"/>
                <w:lang w:val="en-US" w:eastAsia="zh-CN" w:bidi="ar-SA"/>
              </w:rPr>
              <w:t>、施工期</w:t>
            </w:r>
            <w:r>
              <w:rPr>
                <w:rFonts w:hint="eastAsia" w:eastAsia="仿宋" w:cs="Times New Roman"/>
                <w:b/>
                <w:bCs/>
                <w:color w:val="auto"/>
                <w:kern w:val="0"/>
                <w:sz w:val="24"/>
                <w:szCs w:val="22"/>
                <w:highlight w:val="none"/>
                <w:lang w:val="en-US" w:eastAsia="zh-CN" w:bidi="ar-SA"/>
              </w:rPr>
              <w:t>环境</w:t>
            </w:r>
            <w:r>
              <w:rPr>
                <w:rFonts w:hint="eastAsia" w:ascii="Times New Roman" w:hAnsi="Times New Roman" w:eastAsia="仿宋" w:cs="Times New Roman"/>
                <w:b/>
                <w:bCs/>
                <w:color w:val="auto"/>
                <w:kern w:val="0"/>
                <w:sz w:val="24"/>
                <w:szCs w:val="22"/>
                <w:highlight w:val="none"/>
                <w:lang w:val="en-US" w:eastAsia="zh-CN" w:bidi="ar-SA"/>
              </w:rPr>
              <w:t>影响</w:t>
            </w:r>
            <w:r>
              <w:rPr>
                <w:rFonts w:hint="eastAsia" w:eastAsia="仿宋" w:cs="Times New Roman"/>
                <w:b/>
                <w:bCs/>
                <w:color w:val="auto"/>
                <w:kern w:val="0"/>
                <w:sz w:val="24"/>
                <w:szCs w:val="22"/>
                <w:highlight w:val="none"/>
                <w:lang w:val="en-US" w:eastAsia="zh-CN" w:bidi="ar-SA"/>
              </w:rPr>
              <w:t>因素</w:t>
            </w:r>
            <w:r>
              <w:rPr>
                <w:rFonts w:hint="eastAsia" w:ascii="Times New Roman" w:hAnsi="Times New Roman" w:eastAsia="仿宋" w:cs="Times New Roman"/>
                <w:b/>
                <w:bCs/>
                <w:color w:val="auto"/>
                <w:kern w:val="0"/>
                <w:sz w:val="24"/>
                <w:szCs w:val="22"/>
                <w:highlight w:val="none"/>
                <w:lang w:val="en-US" w:eastAsia="zh-CN" w:bidi="ar-SA"/>
              </w:rPr>
              <w:t>分析</w:t>
            </w:r>
          </w:p>
          <w:p w14:paraId="2FF80BC7">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本项目施工期环境影响分析见下表：</w:t>
            </w:r>
          </w:p>
          <w:p w14:paraId="2B43D08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表4-1施工期环境影响分析一览表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1140"/>
              <w:gridCol w:w="5100"/>
              <w:gridCol w:w="1397"/>
            </w:tblGrid>
            <w:tr w14:paraId="149BA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Align w:val="center"/>
                </w:tcPr>
                <w:p w14:paraId="4F5343AA">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环境要素</w:t>
                  </w:r>
                </w:p>
              </w:tc>
              <w:tc>
                <w:tcPr>
                  <w:tcW w:w="1140" w:type="dxa"/>
                  <w:vAlign w:val="center"/>
                </w:tcPr>
                <w:p w14:paraId="61DF955B">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影响因素</w:t>
                  </w:r>
                </w:p>
              </w:tc>
              <w:tc>
                <w:tcPr>
                  <w:tcW w:w="5100" w:type="dxa"/>
                  <w:vAlign w:val="center"/>
                </w:tcPr>
                <w:p w14:paraId="6BD4EF93">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环境影响</w:t>
                  </w:r>
                </w:p>
              </w:tc>
              <w:tc>
                <w:tcPr>
                  <w:tcW w:w="1397" w:type="dxa"/>
                  <w:vAlign w:val="center"/>
                </w:tcPr>
                <w:p w14:paraId="3427C298">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影响性质</w:t>
                  </w:r>
                </w:p>
              </w:tc>
            </w:tr>
            <w:tr w14:paraId="33A7E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Merge w:val="restart"/>
                  <w:vAlign w:val="center"/>
                </w:tcPr>
                <w:p w14:paraId="4609D774">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生态环境</w:t>
                  </w:r>
                </w:p>
              </w:tc>
              <w:tc>
                <w:tcPr>
                  <w:tcW w:w="1140" w:type="dxa"/>
                  <w:vAlign w:val="center"/>
                </w:tcPr>
                <w:p w14:paraId="38B289A6">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临时占地</w:t>
                  </w:r>
                </w:p>
              </w:tc>
              <w:tc>
                <w:tcPr>
                  <w:tcW w:w="5100" w:type="dxa"/>
                  <w:vAlign w:val="center"/>
                </w:tcPr>
                <w:p w14:paraId="09B278F4">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项目临时占地主要是施工区占地，包括材料堆场</w:t>
                  </w:r>
                  <w:r>
                    <w:rPr>
                      <w:rFonts w:hint="eastAsia" w:eastAsia="仿宋" w:cs="Times New Roman"/>
                      <w:b w:val="0"/>
                      <w:bCs w:val="0"/>
                      <w:color w:val="auto"/>
                      <w:sz w:val="21"/>
                      <w:szCs w:val="21"/>
                      <w:lang w:val="en-US" w:eastAsia="zh-CN"/>
                    </w:rPr>
                    <w:t>、弃土场和临时便道</w:t>
                  </w:r>
                  <w:r>
                    <w:rPr>
                      <w:rFonts w:hint="eastAsia" w:ascii="Times New Roman" w:hAnsi="Times New Roman" w:eastAsia="仿宋" w:cs="Times New Roman"/>
                      <w:b w:val="0"/>
                      <w:bCs w:val="0"/>
                      <w:color w:val="auto"/>
                      <w:sz w:val="21"/>
                      <w:szCs w:val="21"/>
                      <w:lang w:val="en-US" w:eastAsia="zh-CN"/>
                    </w:rPr>
                    <w:t>，临时用地均在项目施工用地范围内，不需另行规划临时用地。</w:t>
                  </w:r>
                </w:p>
              </w:tc>
              <w:tc>
                <w:tcPr>
                  <w:tcW w:w="1397" w:type="dxa"/>
                  <w:vMerge w:val="restart"/>
                  <w:vAlign w:val="center"/>
                </w:tcPr>
                <w:p w14:paraId="35D1A287">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短期、可逆、不利</w:t>
                  </w:r>
                </w:p>
              </w:tc>
            </w:tr>
            <w:tr w14:paraId="76EC0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Merge w:val="continue"/>
                  <w:vAlign w:val="center"/>
                </w:tcPr>
                <w:p w14:paraId="2597951D">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p>
              </w:tc>
              <w:tc>
                <w:tcPr>
                  <w:tcW w:w="1140" w:type="dxa"/>
                  <w:vAlign w:val="center"/>
                </w:tcPr>
                <w:p w14:paraId="794EE12C">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施工活动</w:t>
                  </w:r>
                </w:p>
              </w:tc>
              <w:tc>
                <w:tcPr>
                  <w:tcW w:w="5100" w:type="dxa"/>
                  <w:vAlign w:val="center"/>
                </w:tcPr>
                <w:p w14:paraId="22EC462B">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建材全部可堆放于施工区内；施工人员活动对植被和景观影响较小。</w:t>
                  </w:r>
                </w:p>
              </w:tc>
              <w:tc>
                <w:tcPr>
                  <w:tcW w:w="1397" w:type="dxa"/>
                  <w:vMerge w:val="continue"/>
                  <w:vAlign w:val="center"/>
                </w:tcPr>
                <w:p w14:paraId="0B5B1BC6">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p>
              </w:tc>
            </w:tr>
            <w:tr w14:paraId="52CE4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Merge w:val="restart"/>
                  <w:vAlign w:val="center"/>
                </w:tcPr>
                <w:p w14:paraId="33C1AEAF">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声</w:t>
                  </w:r>
                </w:p>
                <w:p w14:paraId="4CE5F52D">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环境</w:t>
                  </w:r>
                </w:p>
              </w:tc>
              <w:tc>
                <w:tcPr>
                  <w:tcW w:w="1140" w:type="dxa"/>
                  <w:vAlign w:val="center"/>
                </w:tcPr>
                <w:p w14:paraId="6DA45457">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施工机械</w:t>
                  </w:r>
                </w:p>
              </w:tc>
              <w:tc>
                <w:tcPr>
                  <w:tcW w:w="5100" w:type="dxa"/>
                  <w:vAlign w:val="center"/>
                </w:tcPr>
                <w:p w14:paraId="546897B7">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不同施工阶段施工车辆</w:t>
                  </w:r>
                  <w:r>
                    <w:rPr>
                      <w:rFonts w:hint="eastAsia" w:eastAsia="仿宋" w:cs="Times New Roman"/>
                      <w:b w:val="0"/>
                      <w:bCs w:val="0"/>
                      <w:color w:val="auto"/>
                      <w:sz w:val="21"/>
                      <w:szCs w:val="21"/>
                      <w:lang w:val="en-US" w:eastAsia="zh-CN"/>
                    </w:rPr>
                    <w:t>及</w:t>
                  </w:r>
                  <w:r>
                    <w:rPr>
                      <w:rFonts w:hint="eastAsia" w:ascii="Times New Roman" w:hAnsi="Times New Roman" w:eastAsia="仿宋" w:cs="Times New Roman"/>
                      <w:b w:val="0"/>
                      <w:bCs w:val="0"/>
                      <w:color w:val="auto"/>
                      <w:sz w:val="21"/>
                      <w:szCs w:val="21"/>
                      <w:lang w:val="en-US" w:eastAsia="zh-CN"/>
                    </w:rPr>
                    <w:t>工程机械噪声对项目周边声环境敏感点的影响。</w:t>
                  </w:r>
                </w:p>
              </w:tc>
              <w:tc>
                <w:tcPr>
                  <w:tcW w:w="1397" w:type="dxa"/>
                  <w:vMerge w:val="restart"/>
                  <w:vAlign w:val="center"/>
                </w:tcPr>
                <w:p w14:paraId="4D0CCCCA">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短期、可逆、不利</w:t>
                  </w:r>
                </w:p>
              </w:tc>
            </w:tr>
            <w:tr w14:paraId="3A52B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Merge w:val="continue"/>
                  <w:vAlign w:val="center"/>
                </w:tcPr>
                <w:p w14:paraId="6B299DBE">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p>
              </w:tc>
              <w:tc>
                <w:tcPr>
                  <w:tcW w:w="1140" w:type="dxa"/>
                  <w:vAlign w:val="center"/>
                </w:tcPr>
                <w:p w14:paraId="3265CE13">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运输载具</w:t>
                  </w:r>
                </w:p>
              </w:tc>
              <w:tc>
                <w:tcPr>
                  <w:tcW w:w="5100" w:type="dxa"/>
                  <w:vAlign w:val="center"/>
                </w:tcPr>
                <w:p w14:paraId="74422022">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运输车辆在运行中对沿线敏感点的噪声影响。</w:t>
                  </w:r>
                </w:p>
              </w:tc>
              <w:tc>
                <w:tcPr>
                  <w:tcW w:w="1397" w:type="dxa"/>
                  <w:vMerge w:val="continue"/>
                  <w:vAlign w:val="center"/>
                </w:tcPr>
                <w:p w14:paraId="3BEE26E7">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p>
              </w:tc>
            </w:tr>
            <w:tr w14:paraId="07070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Merge w:val="restart"/>
                  <w:vAlign w:val="center"/>
                </w:tcPr>
                <w:p w14:paraId="08E26FAE">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水</w:t>
                  </w:r>
                </w:p>
                <w:p w14:paraId="3333CF62">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环境</w:t>
                  </w:r>
                </w:p>
              </w:tc>
              <w:tc>
                <w:tcPr>
                  <w:tcW w:w="1140" w:type="dxa"/>
                  <w:vAlign w:val="center"/>
                </w:tcPr>
                <w:p w14:paraId="3C15F95A">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桩基础</w:t>
                  </w:r>
                </w:p>
                <w:p w14:paraId="6181FCD3">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施工</w:t>
                  </w:r>
                </w:p>
              </w:tc>
              <w:tc>
                <w:tcPr>
                  <w:tcW w:w="5100" w:type="dxa"/>
                  <w:vAlign w:val="center"/>
                </w:tcPr>
                <w:p w14:paraId="0A1BD743">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桩基础施工挖出土方将提高周边水域的悬浮物浓度，本项目采用钻孔灌注桩工艺，悬浮物生成量较少，经计算可知，以悬浮物浓度增量大于10mg/L（超二类水质标准）为限，施工产生的悬浮物影响范围仅为0.47</w:t>
                  </w:r>
                </w:p>
                <w:p w14:paraId="69E9F7A8">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m，远小于施工场地与长荡湖水厂取水区2.2km的距离，对水源地水质的影响可忽略不计。</w:t>
                  </w:r>
                </w:p>
              </w:tc>
              <w:tc>
                <w:tcPr>
                  <w:tcW w:w="1397" w:type="dxa"/>
                  <w:vAlign w:val="center"/>
                </w:tcPr>
                <w:p w14:paraId="79971F89">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短期，可逆、不利</w:t>
                  </w:r>
                </w:p>
              </w:tc>
            </w:tr>
            <w:tr w14:paraId="49639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Merge w:val="continue"/>
                  <w:vAlign w:val="center"/>
                </w:tcPr>
                <w:p w14:paraId="73A7C5CB">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p>
              </w:tc>
              <w:tc>
                <w:tcPr>
                  <w:tcW w:w="1140" w:type="dxa"/>
                  <w:vAlign w:val="center"/>
                </w:tcPr>
                <w:p w14:paraId="5BEF461D">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主体工程施工</w:t>
                  </w:r>
                </w:p>
              </w:tc>
              <w:tc>
                <w:tcPr>
                  <w:tcW w:w="5100" w:type="dxa"/>
                  <w:vAlign w:val="center"/>
                </w:tcPr>
                <w:p w14:paraId="384BE482">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施工工艺不当或施工管理不强，产生的施工泥渣、机械漏油、泥浆、施工物料受雨水冲刷入河等情况将影响水质；桩基施工引起水体浑浊、产生的钻渣管理不当进入水体。</w:t>
                  </w:r>
                </w:p>
              </w:tc>
              <w:tc>
                <w:tcPr>
                  <w:tcW w:w="1397" w:type="dxa"/>
                  <w:vMerge w:val="restart"/>
                  <w:vAlign w:val="center"/>
                </w:tcPr>
                <w:p w14:paraId="5998213B">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短期、可逆、不利</w:t>
                  </w:r>
                </w:p>
              </w:tc>
            </w:tr>
            <w:tr w14:paraId="66D39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Merge w:val="continue"/>
                  <w:vAlign w:val="center"/>
                </w:tcPr>
                <w:p w14:paraId="2B048A9D">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p>
              </w:tc>
              <w:tc>
                <w:tcPr>
                  <w:tcW w:w="1140" w:type="dxa"/>
                  <w:vAlign w:val="center"/>
                </w:tcPr>
                <w:p w14:paraId="44D55196">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施工场地</w:t>
                  </w:r>
                </w:p>
              </w:tc>
              <w:tc>
                <w:tcPr>
                  <w:tcW w:w="5100" w:type="dxa"/>
                  <w:vAlign w:val="center"/>
                </w:tcPr>
                <w:p w14:paraId="5D4F78F7">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施工机械跑、冒、滴、漏的污油及露天机械受雨水冲刷后产生的油水污染；施工场地砂石材料冲洗废水等。</w:t>
                  </w:r>
                </w:p>
              </w:tc>
              <w:tc>
                <w:tcPr>
                  <w:tcW w:w="1397" w:type="dxa"/>
                  <w:vMerge w:val="continue"/>
                  <w:vAlign w:val="center"/>
                </w:tcPr>
                <w:p w14:paraId="53522FF4">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p>
              </w:tc>
            </w:tr>
            <w:tr w14:paraId="3CE95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Align w:val="center"/>
                </w:tcPr>
                <w:p w14:paraId="100E2515">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大气环境</w:t>
                  </w:r>
                </w:p>
              </w:tc>
              <w:tc>
                <w:tcPr>
                  <w:tcW w:w="1140" w:type="dxa"/>
                  <w:vAlign w:val="center"/>
                </w:tcPr>
                <w:p w14:paraId="077ACCC2">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扬尘</w:t>
                  </w:r>
                </w:p>
              </w:tc>
              <w:tc>
                <w:tcPr>
                  <w:tcW w:w="5100" w:type="dxa"/>
                  <w:vAlign w:val="center"/>
                </w:tcPr>
                <w:p w14:paraId="15617851">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物料的装卸、运输、堆放等过程中产生的扬尘散逸到周围大气中；施工运输车辆在行驶过程中产生的扬尘。</w:t>
                  </w:r>
                </w:p>
              </w:tc>
              <w:tc>
                <w:tcPr>
                  <w:tcW w:w="1397" w:type="dxa"/>
                  <w:vAlign w:val="center"/>
                </w:tcPr>
                <w:p w14:paraId="196D1001">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短期、可逆、不利</w:t>
                  </w:r>
                </w:p>
              </w:tc>
            </w:tr>
            <w:tr w14:paraId="3C8A3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Merge w:val="restart"/>
                  <w:vAlign w:val="center"/>
                </w:tcPr>
                <w:p w14:paraId="73972AC4">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固体废物</w:t>
                  </w:r>
                </w:p>
              </w:tc>
              <w:tc>
                <w:tcPr>
                  <w:tcW w:w="1140" w:type="dxa"/>
                  <w:vAlign w:val="center"/>
                </w:tcPr>
                <w:p w14:paraId="3B7260D1">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施工废渣</w:t>
                  </w:r>
                </w:p>
              </w:tc>
              <w:tc>
                <w:tcPr>
                  <w:tcW w:w="5100" w:type="dxa"/>
                  <w:vAlign w:val="center"/>
                </w:tcPr>
                <w:p w14:paraId="48115B17">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施工过程中开挖基础产生的废土废渣，及装饰工程建设过程中产生的废包装材料等</w:t>
                  </w:r>
                </w:p>
              </w:tc>
              <w:tc>
                <w:tcPr>
                  <w:tcW w:w="1397" w:type="dxa"/>
                  <w:vMerge w:val="restart"/>
                  <w:vAlign w:val="center"/>
                </w:tcPr>
                <w:p w14:paraId="0918A7FB">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短期、可逆、不利</w:t>
                  </w:r>
                </w:p>
              </w:tc>
            </w:tr>
            <w:tr w14:paraId="347A0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vMerge w:val="continue"/>
                  <w:vAlign w:val="center"/>
                </w:tcPr>
                <w:p w14:paraId="079738F5">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p>
              </w:tc>
              <w:tc>
                <w:tcPr>
                  <w:tcW w:w="1140" w:type="dxa"/>
                  <w:vAlign w:val="center"/>
                </w:tcPr>
                <w:p w14:paraId="2ADBA1BB">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生活垃圾</w:t>
                  </w:r>
                </w:p>
              </w:tc>
              <w:tc>
                <w:tcPr>
                  <w:tcW w:w="5100" w:type="dxa"/>
                  <w:vAlign w:val="center"/>
                </w:tcPr>
                <w:p w14:paraId="4F00918B">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施工过程中工人生产间隙产生的生活垃圾</w:t>
                  </w:r>
                </w:p>
              </w:tc>
              <w:tc>
                <w:tcPr>
                  <w:tcW w:w="1397" w:type="dxa"/>
                  <w:vMerge w:val="continue"/>
                  <w:vAlign w:val="center"/>
                </w:tcPr>
                <w:p w14:paraId="44B4D7C5">
                  <w:pPr>
                    <w:pStyle w:val="7"/>
                    <w:keepNext w:val="0"/>
                    <w:keepLines w:val="0"/>
                    <w:pageBreakBefore w:val="0"/>
                    <w:widowControl w:val="0"/>
                    <w:suppressLineNumbers w:val="0"/>
                    <w:kinsoku/>
                    <w:wordWrap/>
                    <w:overflowPunct/>
                    <w:topLinePunct w:val="0"/>
                    <w:autoSpaceDE/>
                    <w:autoSpaceDN/>
                    <w:bidi w:val="0"/>
                    <w:adjustRightInd/>
                    <w:snapToGrid w:val="0"/>
                    <w:spacing w:beforeAutospacing="0" w:afterAutospacing="0"/>
                    <w:ind w:left="0" w:right="0"/>
                    <w:jc w:val="center"/>
                    <w:textAlignment w:val="auto"/>
                    <w:rPr>
                      <w:rFonts w:hint="eastAsia" w:ascii="Times New Roman" w:hAnsi="Times New Roman" w:eastAsia="仿宋" w:cs="Times New Roman"/>
                      <w:b w:val="0"/>
                      <w:bCs w:val="0"/>
                      <w:color w:val="auto"/>
                      <w:sz w:val="21"/>
                      <w:szCs w:val="21"/>
                      <w:lang w:val="en-US" w:eastAsia="zh-CN"/>
                    </w:rPr>
                  </w:pPr>
                </w:p>
              </w:tc>
            </w:tr>
          </w:tbl>
          <w:p w14:paraId="069147ED">
            <w:pPr>
              <w:keepNext w:val="0"/>
              <w:keepLines w:val="0"/>
              <w:widowControl/>
              <w:suppressLineNumbers w:val="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3、施工期生态影响分析</w:t>
            </w:r>
          </w:p>
          <w:p w14:paraId="19106E63">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（1）临时占地对植被的影响</w:t>
            </w:r>
          </w:p>
          <w:p w14:paraId="366E0B3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项目临时占地主要是施工区材料</w:t>
            </w:r>
            <w:r>
              <w:rPr>
                <w:rFonts w:hint="eastAsia" w:eastAsia="仿宋" w:cs="Times New Roman"/>
                <w:color w:val="auto"/>
                <w:kern w:val="0"/>
                <w:sz w:val="24"/>
                <w:szCs w:val="22"/>
                <w:highlight w:val="none"/>
                <w:lang w:val="en-US" w:eastAsia="zh-CN" w:bidi="ar-SA"/>
              </w:rPr>
              <w:t>机械</w:t>
            </w:r>
            <w:r>
              <w:rPr>
                <w:rFonts w:hint="eastAsia" w:ascii="Times New Roman" w:hAnsi="Times New Roman" w:eastAsia="仿宋" w:cs="Times New Roman"/>
                <w:color w:val="auto"/>
                <w:kern w:val="0"/>
                <w:sz w:val="24"/>
                <w:szCs w:val="22"/>
                <w:highlight w:val="none"/>
                <w:lang w:val="en-US" w:eastAsia="zh-CN" w:bidi="ar-SA"/>
              </w:rPr>
              <w:t>堆场占地</w:t>
            </w:r>
            <w:r>
              <w:rPr>
                <w:rFonts w:hint="eastAsia" w:eastAsia="仿宋" w:cs="Times New Roman"/>
                <w:color w:val="auto"/>
                <w:kern w:val="0"/>
                <w:sz w:val="24"/>
                <w:szCs w:val="22"/>
                <w:highlight w:val="none"/>
                <w:lang w:val="en-US" w:eastAsia="zh-CN" w:bidi="ar-SA"/>
              </w:rPr>
              <w:t>及桥梁过程中在施工区域内搭建的临时便道</w:t>
            </w:r>
            <w:r>
              <w:rPr>
                <w:rFonts w:hint="eastAsia" w:ascii="Times New Roman" w:hAnsi="Times New Roman" w:eastAsia="仿宋" w:cs="Times New Roman"/>
                <w:color w:val="auto"/>
                <w:kern w:val="0"/>
                <w:sz w:val="24"/>
                <w:szCs w:val="22"/>
                <w:highlight w:val="none"/>
                <w:lang w:val="en-US" w:eastAsia="zh-CN" w:bidi="ar-SA"/>
              </w:rPr>
              <w:t>，临时用地均在项目施工用地范围内，不需另行规划临时用地。项目建设前后临时占地范围内的植被</w:t>
            </w:r>
            <w:r>
              <w:rPr>
                <w:rFonts w:hint="eastAsia" w:eastAsia="仿宋" w:cs="Times New Roman"/>
                <w:color w:val="auto"/>
                <w:kern w:val="0"/>
                <w:sz w:val="24"/>
                <w:szCs w:val="22"/>
                <w:highlight w:val="none"/>
                <w:lang w:val="en-US" w:eastAsia="zh-CN" w:bidi="ar-SA"/>
              </w:rPr>
              <w:t>等</w:t>
            </w:r>
            <w:r>
              <w:rPr>
                <w:rFonts w:hint="eastAsia" w:ascii="Times New Roman" w:hAnsi="Times New Roman" w:eastAsia="仿宋" w:cs="Times New Roman"/>
                <w:color w:val="auto"/>
                <w:kern w:val="0"/>
                <w:sz w:val="24"/>
                <w:szCs w:val="22"/>
                <w:highlight w:val="none"/>
                <w:lang w:val="en-US" w:eastAsia="zh-CN" w:bidi="ar-SA"/>
              </w:rPr>
              <w:t>生物量不会发生显著变化。</w:t>
            </w:r>
          </w:p>
          <w:p w14:paraId="4C1DDCD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由于土地的临时占用，对项目所在区域的土地利用产生影响，并临时改变了土地利用形式</w:t>
            </w:r>
            <w:r>
              <w:rPr>
                <w:rFonts w:hint="eastAsia" w:eastAsia="仿宋" w:cs="Times New Roman"/>
                <w:color w:val="auto"/>
                <w:kern w:val="0"/>
                <w:sz w:val="24"/>
                <w:szCs w:val="22"/>
                <w:highlight w:val="none"/>
                <w:lang w:val="en-US" w:eastAsia="zh-CN" w:bidi="ar-SA"/>
              </w:rPr>
              <w:t>，</w:t>
            </w:r>
            <w:r>
              <w:rPr>
                <w:rFonts w:hint="eastAsia" w:ascii="Times New Roman" w:hAnsi="Times New Roman" w:eastAsia="仿宋" w:cs="Times New Roman"/>
                <w:color w:val="auto"/>
                <w:kern w:val="0"/>
                <w:sz w:val="24"/>
                <w:szCs w:val="22"/>
                <w:highlight w:val="none"/>
                <w:lang w:val="en-US" w:eastAsia="zh-CN" w:bidi="ar-SA"/>
              </w:rPr>
              <w:t>这种影响延续到施工结束后的一段时间内</w:t>
            </w:r>
            <w:r>
              <w:rPr>
                <w:rFonts w:hint="eastAsia" w:eastAsia="仿宋" w:cs="Times New Roman"/>
                <w:color w:val="auto"/>
                <w:kern w:val="0"/>
                <w:sz w:val="24"/>
                <w:szCs w:val="22"/>
                <w:highlight w:val="none"/>
                <w:lang w:val="en-US" w:eastAsia="zh-CN" w:bidi="ar-SA"/>
              </w:rPr>
              <w:t>，</w:t>
            </w:r>
            <w:r>
              <w:rPr>
                <w:rFonts w:hint="eastAsia" w:ascii="Times New Roman" w:hAnsi="Times New Roman" w:eastAsia="仿宋" w:cs="Times New Roman"/>
                <w:color w:val="auto"/>
                <w:kern w:val="0"/>
                <w:sz w:val="24"/>
                <w:szCs w:val="22"/>
                <w:highlight w:val="none"/>
                <w:lang w:val="en-US" w:eastAsia="zh-CN" w:bidi="ar-SA"/>
              </w:rPr>
              <w:t>施工结束后可完全恢复。</w:t>
            </w:r>
          </w:p>
          <w:p w14:paraId="3BEA4973">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（2）对土壤的影响</w:t>
            </w:r>
          </w:p>
          <w:p w14:paraId="6B31F50B">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①</w:t>
            </w:r>
            <w:r>
              <w:rPr>
                <w:rFonts w:hint="eastAsia" w:eastAsia="仿宋" w:cs="Times New Roman"/>
                <w:color w:val="auto"/>
                <w:kern w:val="0"/>
                <w:sz w:val="24"/>
                <w:szCs w:val="22"/>
                <w:highlight w:val="none"/>
                <w:lang w:val="en-US" w:eastAsia="zh-CN" w:bidi="ar-SA"/>
              </w:rPr>
              <w:t>对土壤土质的影响分析</w:t>
            </w:r>
          </w:p>
          <w:p w14:paraId="21130377">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施工期各种施工活动，如</w:t>
            </w:r>
            <w:r>
              <w:rPr>
                <w:rFonts w:hint="eastAsia" w:eastAsia="仿宋" w:cs="Times New Roman"/>
                <w:color w:val="auto"/>
                <w:kern w:val="0"/>
                <w:sz w:val="24"/>
                <w:szCs w:val="22"/>
                <w:highlight w:val="none"/>
                <w:lang w:val="en-US" w:eastAsia="zh-CN" w:bidi="ar-SA"/>
              </w:rPr>
              <w:t>铺设</w:t>
            </w:r>
            <w:r>
              <w:rPr>
                <w:rFonts w:hint="eastAsia" w:ascii="Times New Roman" w:hAnsi="Times New Roman" w:eastAsia="仿宋" w:cs="Times New Roman"/>
                <w:color w:val="auto"/>
                <w:kern w:val="0"/>
                <w:sz w:val="24"/>
                <w:szCs w:val="22"/>
                <w:highlight w:val="none"/>
                <w:lang w:val="en-US" w:eastAsia="zh-CN" w:bidi="ar-SA"/>
              </w:rPr>
              <w:t>开挖、桥梁桩基础</w:t>
            </w:r>
            <w:r>
              <w:rPr>
                <w:rFonts w:hint="eastAsia" w:eastAsia="仿宋" w:cs="Times New Roman"/>
                <w:color w:val="auto"/>
                <w:kern w:val="0"/>
                <w:sz w:val="24"/>
                <w:szCs w:val="22"/>
                <w:highlight w:val="none"/>
                <w:lang w:val="en-US" w:eastAsia="zh-CN" w:bidi="ar-SA"/>
              </w:rPr>
              <w:t>施工</w:t>
            </w:r>
            <w:r>
              <w:rPr>
                <w:rFonts w:hint="eastAsia" w:ascii="Times New Roman" w:hAnsi="Times New Roman" w:eastAsia="仿宋" w:cs="Times New Roman"/>
                <w:color w:val="auto"/>
                <w:kern w:val="0"/>
                <w:sz w:val="24"/>
                <w:szCs w:val="22"/>
                <w:highlight w:val="none"/>
                <w:lang w:val="en-US" w:eastAsia="zh-CN" w:bidi="ar-SA"/>
              </w:rPr>
              <w:t>等工程，对实施区域的土壤环境造成局部性破坏和暂时性干扰，不同程度地破坏了区域土壤结构，扰乱地表土壤层，将使受干扰点土壤的有机质和粘粒含量减少，影响土壤结构，降低土壤养分含量，从而影响植物生长。此外，施工中机械碾压、人员践踏、土体翻出堆放地表等，也会造成一定区域内的土壤板结，使土壤生产能力降低。施工回填后的土方造成土壤松散，易引起水土流失，导致土壤中养分的损失，根据类比调查及有关研究资料，这些活动将使该区域的土壤有机质降低30%左右，土壤质地粗砂成分增加，易导致土壤风蚀沙化，从而影响植物正常生长。</w:t>
            </w:r>
          </w:p>
          <w:p w14:paraId="74BEA10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因此，建设中要尽量缩小施工范围，减少人为干扰。施工完毕，应及时整理施工现场，平整土地，恢复植被。施工过程中，各种机械设备和车辆排放的废气、堆放的施工物料、施工机具车辆的洗污水等，也将对土壤环境产生一定的影响。但这类影响是暂时的，待施工完成后，将在较短时间内消失。</w:t>
            </w:r>
          </w:p>
          <w:p w14:paraId="13D0879A">
            <w:pPr>
              <w:pStyle w:val="30"/>
              <w:ind w:firstLine="480" w:firstLineChars="200"/>
              <w:rPr>
                <w:rFonts w:hint="eastAsia"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②</w:t>
            </w:r>
            <w:r>
              <w:rPr>
                <w:rFonts w:hint="eastAsia" w:ascii="Times New Roman" w:hAnsi="Times New Roman" w:eastAsia="仿宋" w:cs="Times New Roman"/>
                <w:color w:val="auto"/>
                <w:kern w:val="0"/>
                <w:sz w:val="24"/>
                <w:szCs w:val="22"/>
                <w:highlight w:val="none"/>
                <w:lang w:val="en-US" w:eastAsia="zh-CN" w:bidi="ar-SA"/>
              </w:rPr>
              <w:t>水土流失</w:t>
            </w:r>
            <w:r>
              <w:rPr>
                <w:rFonts w:hint="eastAsia" w:eastAsia="仿宋" w:cs="Times New Roman"/>
                <w:color w:val="auto"/>
                <w:kern w:val="0"/>
                <w:sz w:val="24"/>
                <w:szCs w:val="22"/>
                <w:highlight w:val="none"/>
                <w:lang w:val="en-US" w:eastAsia="zh-CN" w:bidi="ar-SA"/>
              </w:rPr>
              <w:t>影响分析</w:t>
            </w:r>
          </w:p>
          <w:p w14:paraId="57D06056">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本项目施工过程中</w:t>
            </w:r>
            <w:r>
              <w:rPr>
                <w:rFonts w:hint="eastAsia" w:eastAsia="仿宋" w:cs="Times New Roman"/>
                <w:color w:val="auto"/>
                <w:kern w:val="0"/>
                <w:sz w:val="24"/>
                <w:szCs w:val="22"/>
                <w:highlight w:val="none"/>
                <w:lang w:val="en-US" w:eastAsia="zh-CN" w:bidi="ar-SA"/>
              </w:rPr>
              <w:t>工程</w:t>
            </w:r>
            <w:r>
              <w:rPr>
                <w:rFonts w:hint="default" w:ascii="Times New Roman" w:hAnsi="Times New Roman" w:eastAsia="仿宋" w:cs="Times New Roman"/>
                <w:color w:val="auto"/>
                <w:kern w:val="0"/>
                <w:sz w:val="24"/>
                <w:szCs w:val="22"/>
                <w:highlight w:val="none"/>
                <w:lang w:val="en-US" w:eastAsia="zh-CN" w:bidi="ar-SA"/>
              </w:rPr>
              <w:t>建设需要进行场地平整、</w:t>
            </w:r>
            <w:r>
              <w:rPr>
                <w:rFonts w:hint="eastAsia" w:ascii="Times New Roman" w:hAnsi="Times New Roman" w:eastAsia="仿宋" w:cs="Times New Roman"/>
                <w:color w:val="auto"/>
                <w:kern w:val="0"/>
                <w:sz w:val="24"/>
                <w:szCs w:val="22"/>
                <w:highlight w:val="none"/>
                <w:lang w:val="en-US" w:eastAsia="zh-CN" w:bidi="ar-SA"/>
              </w:rPr>
              <w:t>桩基础</w:t>
            </w:r>
            <w:r>
              <w:rPr>
                <w:rFonts w:hint="eastAsia" w:eastAsia="仿宋" w:cs="Times New Roman"/>
                <w:color w:val="auto"/>
                <w:kern w:val="0"/>
                <w:sz w:val="24"/>
                <w:szCs w:val="22"/>
                <w:highlight w:val="none"/>
                <w:lang w:val="en-US" w:eastAsia="zh-CN" w:bidi="ar-SA"/>
              </w:rPr>
              <w:t>施工</w:t>
            </w:r>
            <w:r>
              <w:rPr>
                <w:rFonts w:hint="default" w:ascii="Times New Roman" w:hAnsi="Times New Roman" w:eastAsia="仿宋" w:cs="Times New Roman"/>
                <w:color w:val="auto"/>
                <w:kern w:val="0"/>
                <w:sz w:val="24"/>
                <w:szCs w:val="22"/>
                <w:highlight w:val="none"/>
                <w:lang w:val="en-US" w:eastAsia="zh-CN" w:bidi="ar-SA"/>
              </w:rPr>
              <w:t>等活动，</w:t>
            </w:r>
            <w:r>
              <w:rPr>
                <w:rFonts w:hint="eastAsia" w:eastAsia="仿宋" w:cs="Times New Roman"/>
                <w:color w:val="auto"/>
                <w:kern w:val="0"/>
                <w:sz w:val="24"/>
                <w:szCs w:val="22"/>
                <w:highlight w:val="none"/>
                <w:lang w:val="en-US" w:eastAsia="zh-CN" w:bidi="ar-SA"/>
              </w:rPr>
              <w:t>部分</w:t>
            </w:r>
            <w:r>
              <w:rPr>
                <w:rFonts w:hint="default" w:ascii="Times New Roman" w:hAnsi="Times New Roman" w:eastAsia="仿宋" w:cs="Times New Roman"/>
                <w:color w:val="auto"/>
                <w:kern w:val="0"/>
                <w:sz w:val="24"/>
                <w:szCs w:val="22"/>
                <w:highlight w:val="none"/>
                <w:lang w:val="en-US" w:eastAsia="zh-CN" w:bidi="ar-SA"/>
              </w:rPr>
              <w:t>表土层受到破坏，施工过程中</w:t>
            </w:r>
            <w:r>
              <w:rPr>
                <w:rFonts w:hint="eastAsia" w:ascii="Times New Roman" w:hAnsi="Times New Roman" w:eastAsia="仿宋" w:cs="Times New Roman"/>
                <w:color w:val="auto"/>
                <w:kern w:val="0"/>
                <w:sz w:val="24"/>
                <w:szCs w:val="22"/>
                <w:highlight w:val="none"/>
                <w:lang w:val="en-US" w:eastAsia="zh-CN" w:bidi="ar-SA"/>
              </w:rPr>
              <w:t>共产生弃方22920m</w:t>
            </w:r>
            <w:r>
              <w:rPr>
                <w:rFonts w:hint="eastAsia" w:ascii="Times New Roman" w:hAnsi="Times New Roman" w:eastAsia="仿宋" w:cs="Times New Roman"/>
                <w:color w:val="auto"/>
                <w:kern w:val="0"/>
                <w:sz w:val="24"/>
                <w:szCs w:val="22"/>
                <w:highlight w:val="none"/>
                <w:vertAlign w:val="superscript"/>
                <w:lang w:val="en-US" w:eastAsia="zh-CN" w:bidi="ar-SA"/>
              </w:rPr>
              <w:t>3</w:t>
            </w:r>
            <w:r>
              <w:rPr>
                <w:rFonts w:hint="eastAsia" w:ascii="Times New Roman" w:hAnsi="Times New Roman" w:eastAsia="仿宋" w:cs="Times New Roman"/>
                <w:color w:val="auto"/>
                <w:kern w:val="0"/>
                <w:sz w:val="24"/>
                <w:szCs w:val="22"/>
                <w:highlight w:val="none"/>
                <w:lang w:val="en-US" w:eastAsia="zh-CN" w:bidi="ar-SA"/>
              </w:rPr>
              <w:t>，</w:t>
            </w:r>
            <w:r>
              <w:rPr>
                <w:rFonts w:hint="default" w:ascii="Times New Roman" w:hAnsi="Times New Roman" w:eastAsia="仿宋" w:cs="Times New Roman"/>
                <w:color w:val="auto"/>
                <w:kern w:val="0"/>
                <w:sz w:val="24"/>
                <w:szCs w:val="22"/>
                <w:highlight w:val="none"/>
                <w:lang w:val="en-US" w:eastAsia="zh-CN" w:bidi="ar-SA"/>
              </w:rPr>
              <w:t>形成的</w:t>
            </w:r>
            <w:r>
              <w:rPr>
                <w:rFonts w:hint="eastAsia" w:ascii="Times New Roman" w:hAnsi="Times New Roman" w:eastAsia="仿宋" w:cs="Times New Roman"/>
                <w:color w:val="auto"/>
                <w:kern w:val="0"/>
                <w:sz w:val="24"/>
                <w:szCs w:val="22"/>
                <w:highlight w:val="none"/>
                <w:lang w:val="en-US" w:eastAsia="zh-CN" w:bidi="ar-SA"/>
              </w:rPr>
              <w:t>弃</w:t>
            </w:r>
            <w:r>
              <w:rPr>
                <w:rFonts w:hint="default" w:ascii="Times New Roman" w:hAnsi="Times New Roman" w:eastAsia="仿宋" w:cs="Times New Roman"/>
                <w:color w:val="auto"/>
                <w:kern w:val="0"/>
                <w:sz w:val="24"/>
                <w:szCs w:val="22"/>
                <w:highlight w:val="none"/>
                <w:lang w:val="en-US" w:eastAsia="zh-CN" w:bidi="ar-SA"/>
              </w:rPr>
              <w:t>土堆不能及时清理，遇到较大降雨冲刷，易发生水土流失。水土流失不仅会导致土壤质量下降，经雨水进入</w:t>
            </w:r>
            <w:r>
              <w:rPr>
                <w:rFonts w:hint="eastAsia" w:eastAsia="仿宋" w:cs="Times New Roman"/>
                <w:color w:val="auto"/>
                <w:kern w:val="0"/>
                <w:sz w:val="24"/>
                <w:szCs w:val="22"/>
                <w:highlight w:val="none"/>
                <w:lang w:val="en-US" w:eastAsia="zh-CN" w:bidi="ar-SA"/>
              </w:rPr>
              <w:t>长荡湖</w:t>
            </w:r>
            <w:r>
              <w:rPr>
                <w:rFonts w:hint="default" w:ascii="Times New Roman" w:hAnsi="Times New Roman" w:eastAsia="仿宋" w:cs="Times New Roman"/>
                <w:color w:val="auto"/>
                <w:kern w:val="0"/>
                <w:sz w:val="24"/>
                <w:szCs w:val="22"/>
                <w:highlight w:val="none"/>
                <w:lang w:val="en-US" w:eastAsia="zh-CN" w:bidi="ar-SA"/>
              </w:rPr>
              <w:t>后还可能引起泥沙淤积、水质恶化、生态系统破坏等一系列环境问题。施工过程中应合理安排施工布置，避免大规模的开挖和填方带来的水土流失影响，同时须加强施工管理、合理安排施工进度，暴雨前及时清理施工场地，遮盖砂、石料堆等切实可行的措施，修建截排水设施、设置沉砂池、植被恢复、排水沟改造等措施，以减少水土流失。随着施工期的结束，有利于消除水土流失的不利影响</w:t>
            </w:r>
            <w:r>
              <w:rPr>
                <w:rFonts w:hint="eastAsia" w:eastAsia="仿宋" w:cs="Times New Roman"/>
                <w:color w:val="auto"/>
                <w:kern w:val="0"/>
                <w:sz w:val="24"/>
                <w:szCs w:val="22"/>
                <w:highlight w:val="none"/>
                <w:lang w:val="en-US" w:eastAsia="zh-CN" w:bidi="ar-SA"/>
              </w:rPr>
              <w:t>。</w:t>
            </w:r>
          </w:p>
          <w:p w14:paraId="314937ED">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（3）对植被的影响</w:t>
            </w:r>
          </w:p>
          <w:p w14:paraId="6FD073FB">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施工过程中，临时占地内地表植被会被清除，因此会导致植物生物量损失。根据现场调查，本项目评价范围</w:t>
            </w:r>
            <w:r>
              <w:rPr>
                <w:rFonts w:hint="eastAsia" w:ascii="Times New Roman" w:hAnsi="Times New Roman" w:eastAsia="仿宋" w:cs="Times New Roman"/>
                <w:color w:val="auto"/>
                <w:kern w:val="0"/>
                <w:sz w:val="24"/>
                <w:szCs w:val="22"/>
                <w:highlight w:val="none"/>
                <w:lang w:val="en-US" w:eastAsia="zh-CN" w:bidi="ar-SA"/>
              </w:rPr>
              <w:t>内陆域部分为农田或建设用地</w:t>
            </w:r>
            <w:r>
              <w:rPr>
                <w:rFonts w:hint="default" w:ascii="Times New Roman" w:hAnsi="Times New Roman" w:eastAsia="仿宋" w:cs="Times New Roman"/>
                <w:color w:val="auto"/>
                <w:kern w:val="0"/>
                <w:sz w:val="24"/>
                <w:szCs w:val="22"/>
                <w:highlight w:val="none"/>
                <w:lang w:val="en-US" w:eastAsia="zh-CN" w:bidi="ar-SA"/>
              </w:rPr>
              <w:t>，施工过程造成的植物生物量损失</w:t>
            </w:r>
            <w:r>
              <w:rPr>
                <w:rFonts w:hint="eastAsia" w:ascii="Times New Roman" w:hAnsi="Times New Roman" w:eastAsia="仿宋" w:cs="Times New Roman"/>
                <w:color w:val="auto"/>
                <w:kern w:val="0"/>
                <w:sz w:val="24"/>
                <w:szCs w:val="22"/>
                <w:highlight w:val="none"/>
                <w:lang w:val="en-US" w:eastAsia="zh-CN" w:bidi="ar-SA"/>
              </w:rPr>
              <w:t>可控</w:t>
            </w:r>
            <w:r>
              <w:rPr>
                <w:rFonts w:hint="default" w:ascii="Times New Roman" w:hAnsi="Times New Roman" w:eastAsia="仿宋" w:cs="Times New Roman"/>
                <w:color w:val="auto"/>
                <w:kern w:val="0"/>
                <w:sz w:val="24"/>
                <w:szCs w:val="22"/>
                <w:highlight w:val="none"/>
                <w:lang w:val="en-US" w:eastAsia="zh-CN" w:bidi="ar-SA"/>
              </w:rPr>
              <w:t>。施工结束后，临时性工程占地</w:t>
            </w:r>
            <w:r>
              <w:rPr>
                <w:rFonts w:hint="eastAsia" w:eastAsia="仿宋" w:cs="Times New Roman"/>
                <w:color w:val="auto"/>
                <w:kern w:val="0"/>
                <w:sz w:val="24"/>
                <w:szCs w:val="22"/>
                <w:highlight w:val="none"/>
                <w:lang w:val="en-US" w:eastAsia="zh-CN" w:bidi="ar-SA"/>
              </w:rPr>
              <w:t>将</w:t>
            </w:r>
            <w:r>
              <w:rPr>
                <w:rFonts w:hint="default" w:ascii="Times New Roman" w:hAnsi="Times New Roman" w:eastAsia="仿宋" w:cs="Times New Roman"/>
                <w:color w:val="auto"/>
                <w:kern w:val="0"/>
                <w:sz w:val="24"/>
                <w:szCs w:val="22"/>
                <w:highlight w:val="none"/>
                <w:lang w:val="en-US" w:eastAsia="zh-CN" w:bidi="ar-SA"/>
              </w:rPr>
              <w:t>恢复为原有功能，由于损失的植被绝大多数为人工植被，因此植被恢复种植能有效减小项目建设对植被生物量的损失影响</w:t>
            </w:r>
            <w:r>
              <w:rPr>
                <w:rFonts w:hint="eastAsia" w:ascii="Times New Roman" w:hAnsi="Times New Roman" w:eastAsia="仿宋" w:cs="Times New Roman"/>
                <w:color w:val="auto"/>
                <w:kern w:val="0"/>
                <w:sz w:val="24"/>
                <w:szCs w:val="22"/>
                <w:highlight w:val="none"/>
                <w:lang w:val="en-US" w:eastAsia="zh-CN" w:bidi="ar-SA"/>
              </w:rPr>
              <w:t>。</w:t>
            </w:r>
          </w:p>
          <w:p w14:paraId="48D9F7E0">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（4）对陆生动物及鸟类的影响</w:t>
            </w:r>
          </w:p>
          <w:p w14:paraId="7232D739">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本项目施工期对野生动物的影响主要表现为：临时占地使各类动物栖息地面积缩小，施工人员的施工、生活对动物栖息地生境的干扰和破坏，施工机械噪声对动物的干扰。由于上述原因，将可能使得原来</w:t>
            </w:r>
            <w:r>
              <w:rPr>
                <w:rFonts w:hint="eastAsia" w:eastAsia="仿宋" w:cs="Times New Roman"/>
                <w:color w:val="auto"/>
                <w:kern w:val="0"/>
                <w:sz w:val="24"/>
                <w:szCs w:val="22"/>
                <w:highlight w:val="none"/>
                <w:lang w:val="en-US" w:eastAsia="zh-CN" w:bidi="ar-SA"/>
              </w:rPr>
              <w:t>栖息</w:t>
            </w:r>
            <w:r>
              <w:rPr>
                <w:rFonts w:hint="default" w:ascii="Times New Roman" w:hAnsi="Times New Roman" w:eastAsia="仿宋" w:cs="Times New Roman"/>
                <w:color w:val="auto"/>
                <w:kern w:val="0"/>
                <w:sz w:val="24"/>
                <w:szCs w:val="22"/>
                <w:highlight w:val="none"/>
                <w:lang w:val="en-US" w:eastAsia="zh-CN" w:bidi="ar-SA"/>
              </w:rPr>
              <w:t>在项目区域的大部分爬行类和</w:t>
            </w:r>
            <w:r>
              <w:rPr>
                <w:rFonts w:hint="eastAsia" w:ascii="Times New Roman" w:hAnsi="Times New Roman" w:eastAsia="仿宋" w:cs="Times New Roman"/>
                <w:color w:val="auto"/>
                <w:kern w:val="0"/>
                <w:sz w:val="24"/>
                <w:szCs w:val="22"/>
                <w:highlight w:val="none"/>
                <w:lang w:val="en-US" w:eastAsia="zh-CN" w:bidi="ar-SA"/>
              </w:rPr>
              <w:t>哺乳</w:t>
            </w:r>
            <w:r>
              <w:rPr>
                <w:rFonts w:hint="default" w:ascii="Times New Roman" w:hAnsi="Times New Roman" w:eastAsia="仿宋" w:cs="Times New Roman"/>
                <w:color w:val="auto"/>
                <w:kern w:val="0"/>
                <w:sz w:val="24"/>
                <w:szCs w:val="22"/>
                <w:highlight w:val="none"/>
                <w:lang w:val="en-US" w:eastAsia="zh-CN" w:bidi="ar-SA"/>
              </w:rPr>
              <w:t>类迁移它处；一部分鸟类会经过迁移来避免项目施工所造成的影响，从而导致周围环境的动物数量有所减少。但是，在距离施工区较远的区域中，这些被施工影响驱赶的动物会相对集中而重新分布。而在工程结束后，随着施工影响的减弱或消失，一些动物又会回到原地附近比较适宜生存和活动的地域。因此，就整个项目区而言，工程施工对动物种类多样性和种群数量不会产生大的影响，也不会导致动物多样性降低。</w:t>
            </w:r>
          </w:p>
          <w:p w14:paraId="0CB49009">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（5）对水生动物的影响</w:t>
            </w:r>
          </w:p>
          <w:p w14:paraId="11E6B36E">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本项目</w:t>
            </w:r>
            <w:r>
              <w:rPr>
                <w:rFonts w:hint="eastAsia" w:ascii="Times New Roman" w:hAnsi="Times New Roman" w:eastAsia="仿宋" w:cs="Times New Roman"/>
                <w:color w:val="auto"/>
                <w:kern w:val="0"/>
                <w:sz w:val="24"/>
                <w:szCs w:val="22"/>
                <w:highlight w:val="none"/>
                <w:lang w:val="en-US" w:eastAsia="zh-CN" w:bidi="ar-SA"/>
              </w:rPr>
              <w:t>桥梁桩基础施工</w:t>
            </w:r>
            <w:r>
              <w:rPr>
                <w:rFonts w:hint="default" w:ascii="Times New Roman" w:hAnsi="Times New Roman" w:eastAsia="仿宋" w:cs="Times New Roman"/>
                <w:color w:val="auto"/>
                <w:kern w:val="0"/>
                <w:sz w:val="24"/>
                <w:szCs w:val="22"/>
                <w:highlight w:val="none"/>
                <w:lang w:val="en-US" w:eastAsia="zh-CN" w:bidi="ar-SA"/>
              </w:rPr>
              <w:t>作业势必影响水体透明度、浊度等水体理化指标，施工过程中会扰动水体，搅动底泥，产生悬浮物，悬浮物在重力、波浪、风力等因素作用下扩散、运动，在其扩散范围内将不同程度地影响水域的浮游生物的生存环境，造成在施工点周围将会形成一定范围的悬浮物高密度分布区域，从而引起水体悬浮物浓度增加，降低水体透光率</w:t>
            </w:r>
            <w:r>
              <w:rPr>
                <w:rFonts w:hint="eastAsia" w:ascii="Times New Roman" w:hAnsi="Times New Roman" w:eastAsia="仿宋" w:cs="Times New Roman"/>
                <w:color w:val="auto"/>
                <w:kern w:val="0"/>
                <w:sz w:val="24"/>
                <w:szCs w:val="22"/>
                <w:highlight w:val="none"/>
                <w:lang w:val="en-US" w:eastAsia="zh-CN" w:bidi="ar-SA"/>
              </w:rPr>
              <w:t>，进而影响水中藻类等浮游植物、浮游动物和底栖生物的生长、繁育</w:t>
            </w:r>
            <w:r>
              <w:rPr>
                <w:rFonts w:hint="default" w:ascii="Times New Roman" w:hAnsi="Times New Roman" w:eastAsia="仿宋" w:cs="Times New Roman"/>
                <w:color w:val="auto"/>
                <w:kern w:val="0"/>
                <w:sz w:val="24"/>
                <w:szCs w:val="22"/>
                <w:highlight w:val="none"/>
                <w:lang w:val="en-US" w:eastAsia="zh-CN" w:bidi="ar-SA"/>
              </w:rPr>
              <w:t>。</w:t>
            </w:r>
            <w:r>
              <w:rPr>
                <w:rFonts w:hint="eastAsia" w:ascii="Times New Roman" w:hAnsi="Times New Roman" w:eastAsia="仿宋" w:cs="Times New Roman"/>
                <w:color w:val="auto"/>
                <w:kern w:val="0"/>
                <w:sz w:val="24"/>
                <w:szCs w:val="22"/>
                <w:highlight w:val="none"/>
                <w:lang w:val="en-US" w:eastAsia="zh-CN" w:bidi="ar-SA"/>
              </w:rPr>
              <w:t>据相关研究可知，</w:t>
            </w:r>
            <w:r>
              <w:rPr>
                <w:rFonts w:hint="default" w:ascii="Times New Roman" w:hAnsi="Times New Roman" w:eastAsia="仿宋" w:cs="Times New Roman"/>
                <w:color w:val="auto"/>
                <w:kern w:val="0"/>
                <w:sz w:val="24"/>
                <w:szCs w:val="22"/>
                <w:highlight w:val="none"/>
                <w:lang w:val="en-US" w:eastAsia="zh-CN" w:bidi="ar-SA"/>
              </w:rPr>
              <w:t>离施工作业点越近，水体中悬浮物</w:t>
            </w:r>
            <w:r>
              <w:rPr>
                <w:rFonts w:hint="eastAsia" w:ascii="Times New Roman" w:hAnsi="Times New Roman" w:eastAsia="仿宋" w:cs="Times New Roman"/>
                <w:color w:val="auto"/>
                <w:kern w:val="0"/>
                <w:sz w:val="24"/>
                <w:szCs w:val="22"/>
                <w:highlight w:val="none"/>
                <w:lang w:val="en-US" w:eastAsia="zh-CN" w:bidi="ar-SA"/>
              </w:rPr>
              <w:t>浓度</w:t>
            </w:r>
            <w:r>
              <w:rPr>
                <w:rFonts w:hint="default" w:ascii="Times New Roman" w:hAnsi="Times New Roman" w:eastAsia="仿宋" w:cs="Times New Roman"/>
                <w:color w:val="auto"/>
                <w:kern w:val="0"/>
                <w:sz w:val="24"/>
                <w:szCs w:val="22"/>
                <w:highlight w:val="none"/>
                <w:lang w:val="en-US" w:eastAsia="zh-CN" w:bidi="ar-SA"/>
              </w:rPr>
              <w:t>越高，同时由于底泥悬浮后边扩散边沉降，水体交换速率很大，水体中悬浮物含量随离源距离的增加而迅速下降，一般在施工作业停止后0.5～2h悬浮物含量可恢复到本底</w:t>
            </w:r>
            <w:r>
              <w:rPr>
                <w:rFonts w:hint="eastAsia" w:ascii="Times New Roman" w:hAnsi="Times New Roman" w:eastAsia="仿宋" w:cs="Times New Roman"/>
                <w:color w:val="auto"/>
                <w:kern w:val="0"/>
                <w:sz w:val="24"/>
                <w:szCs w:val="22"/>
                <w:highlight w:val="none"/>
                <w:lang w:val="en-US" w:eastAsia="zh-CN" w:bidi="ar-SA"/>
              </w:rPr>
              <w:t>水平</w:t>
            </w:r>
            <w:r>
              <w:rPr>
                <w:rFonts w:hint="default" w:ascii="Times New Roman" w:hAnsi="Times New Roman" w:eastAsia="仿宋" w:cs="Times New Roman"/>
                <w:color w:val="auto"/>
                <w:kern w:val="0"/>
                <w:sz w:val="24"/>
                <w:szCs w:val="22"/>
                <w:highlight w:val="none"/>
                <w:lang w:val="en-US" w:eastAsia="zh-CN" w:bidi="ar-SA"/>
              </w:rPr>
              <w:t>。因此，工程施工对浮游植物和水体透明度造成的影响是暂时的、局部的、可逆的，随着工程施工的结束，影响随即消除。</w:t>
            </w:r>
          </w:p>
          <w:p w14:paraId="6D9B0E29">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（6）施工期对农业生态的影响</w:t>
            </w:r>
          </w:p>
          <w:p w14:paraId="43FA7F6E">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①</w:t>
            </w:r>
            <w:r>
              <w:rPr>
                <w:rFonts w:hint="eastAsia" w:eastAsia="仿宋" w:cs="Times New Roman"/>
                <w:color w:val="auto"/>
                <w:kern w:val="0"/>
                <w:sz w:val="24"/>
                <w:szCs w:val="22"/>
                <w:highlight w:val="none"/>
                <w:lang w:val="en-US" w:eastAsia="zh-CN" w:bidi="ar-SA"/>
              </w:rPr>
              <w:t>对耕地资源的影响</w:t>
            </w:r>
          </w:p>
          <w:p w14:paraId="444BF500">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项目建设将使土地资源利用形式发生改变，从环境保护的角度分析，这种土地资源利用形式的改变将造成原生态环境的切割和破坏，项目造成的生态损失是不可逆的。从土地利用经济价值的改变来看，路桥建设占用的土地资源是增值的，是通过环境的局部或暂时的损失换来的。</w:t>
            </w:r>
          </w:p>
          <w:p w14:paraId="2DB0CC22">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本项目依托现有公路运输物资，不在陆域建设施工便道，临时占地在施工期结束后恢复其原有功能；工程建设占用的主要影响为永久占地，具有不可逆性，将对土地资源造成一定程度的影响。工程占地将使土地利用价值发生改变，对于耕地的占用，其原有价值被应急疏散通道运营带来的经济及安全价值所代替。工程永久占用耕地将导致一定时期内耕地面积减少，农作物减产，突出当地人多地少的矛盾，加剧对剩余耕地的压力，使农业生产受到影响，增加了当地对基本农田保护的压力。尽管项目建设对当地耕地资源有一定的影响，但是由于本工程是线性构筑物，占地主要位于长荡湖水域，陆上面积仅为直接影响区很少的一部分，对于整个区的土地平衡影响很小；工程建设单位应严格执行《中华人民共和国土地管理法》《基本农田保护条例》和《江苏省基本农田保护条例（修改）》等国家和地方相关法律，按照“占多少，垦多少”的原则，补充与所占耕地数量和质量相当的耕地，以降低对当地耕地资源总体数量造成影响；通过当地政府进行土地调整和规划，不会对当地土地利用总体格局产生大的影响。</w:t>
            </w:r>
          </w:p>
          <w:p w14:paraId="1AA74EB0">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②</w:t>
            </w:r>
            <w:r>
              <w:rPr>
                <w:rFonts w:hint="eastAsia" w:eastAsia="仿宋" w:cs="Times New Roman"/>
                <w:color w:val="auto"/>
                <w:kern w:val="0"/>
                <w:sz w:val="24"/>
                <w:szCs w:val="22"/>
                <w:highlight w:val="none"/>
                <w:lang w:val="en-US" w:eastAsia="zh-CN" w:bidi="ar-SA"/>
              </w:rPr>
              <w:t>对农业生产的影响</w:t>
            </w:r>
          </w:p>
          <w:p w14:paraId="38F83C76">
            <w:pPr>
              <w:keepNext w:val="0"/>
              <w:keepLines w:val="0"/>
              <w:widowControl/>
              <w:suppressLineNumbers w:val="0"/>
              <w:jc w:val="left"/>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本项目不涉及永久基本农田，涉及占用0.1772公顷的耕地，永久占地将完全改变耕地的现有生产功能，不可避免地导致区域农业生产的损失。根据调查，常州市粮食作物年平均亩产量约436kg/亩，按本项目占用的耕地全部种植粮食作物计，则本项目永久占地造成的粮食减产量为1.16吨/年。同时，建设单位将按照国家和地方规定补偿相同数量和质量的耕地，确保当地耕地数量不减少，因此，项目占用耕地对当地农业生产的总体影响较小。</w:t>
            </w:r>
          </w:p>
          <w:p w14:paraId="0B5C70A4">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（7）施工期对生态敏感区的影响分析</w:t>
            </w:r>
          </w:p>
          <w:p w14:paraId="00B48E0C">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①</w:t>
            </w:r>
            <w:r>
              <w:rPr>
                <w:rFonts w:hint="eastAsia" w:eastAsia="仿宋" w:cs="Times New Roman"/>
                <w:color w:val="auto"/>
                <w:kern w:val="0"/>
                <w:sz w:val="24"/>
                <w:szCs w:val="22"/>
                <w:highlight w:val="none"/>
                <w:lang w:val="en-US" w:eastAsia="zh-CN" w:bidi="ar-SA"/>
              </w:rPr>
              <w:t>对长荡湖重要渔业水域的影响</w:t>
            </w:r>
          </w:p>
          <w:p w14:paraId="125201DE">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渔业水域主要保护对象为青虾，本项目</w:t>
            </w:r>
            <w:r>
              <w:rPr>
                <w:rFonts w:hint="default" w:ascii="Times New Roman" w:hAnsi="Times New Roman" w:eastAsia="仿宋" w:cs="Times New Roman"/>
                <w:color w:val="auto"/>
                <w:kern w:val="0"/>
                <w:sz w:val="24"/>
                <w:szCs w:val="22"/>
                <w:highlight w:val="none"/>
                <w:lang w:val="en-US" w:eastAsia="zh-CN" w:bidi="ar-SA"/>
              </w:rPr>
              <w:t>对</w:t>
            </w:r>
            <w:r>
              <w:rPr>
                <w:rFonts w:hint="eastAsia" w:eastAsia="仿宋" w:cs="Times New Roman"/>
                <w:color w:val="auto"/>
                <w:kern w:val="0"/>
                <w:sz w:val="24"/>
                <w:szCs w:val="22"/>
                <w:highlight w:val="none"/>
                <w:lang w:val="en-US" w:eastAsia="zh-CN" w:bidi="ar-SA"/>
              </w:rPr>
              <w:t>青虾</w:t>
            </w:r>
            <w:r>
              <w:rPr>
                <w:rFonts w:hint="default" w:ascii="Times New Roman" w:hAnsi="Times New Roman" w:eastAsia="仿宋" w:cs="Times New Roman"/>
                <w:color w:val="auto"/>
                <w:kern w:val="0"/>
                <w:sz w:val="24"/>
                <w:szCs w:val="22"/>
                <w:highlight w:val="none"/>
                <w:lang w:val="en-US" w:eastAsia="zh-CN" w:bidi="ar-SA"/>
              </w:rPr>
              <w:t>生活习性及栖息环境影响：本项目</w:t>
            </w:r>
            <w:r>
              <w:rPr>
                <w:rFonts w:hint="eastAsia" w:eastAsia="仿宋" w:cs="Times New Roman"/>
                <w:color w:val="auto"/>
                <w:kern w:val="0"/>
                <w:sz w:val="24"/>
                <w:szCs w:val="22"/>
                <w:highlight w:val="none"/>
                <w:lang w:val="en-US" w:eastAsia="zh-CN" w:bidi="ar-SA"/>
              </w:rPr>
              <w:t>水下施工中产生的悬浮物及水体扰动较小</w:t>
            </w:r>
            <w:r>
              <w:rPr>
                <w:rFonts w:hint="default" w:ascii="Times New Roman" w:hAnsi="Times New Roman" w:eastAsia="仿宋" w:cs="Times New Roman"/>
                <w:color w:val="auto"/>
                <w:kern w:val="0"/>
                <w:sz w:val="24"/>
                <w:szCs w:val="22"/>
                <w:highlight w:val="none"/>
                <w:lang w:val="en-US" w:eastAsia="zh-CN" w:bidi="ar-SA"/>
              </w:rPr>
              <w:t>，青虾会应急躲避，不会导致青虾死亡。</w:t>
            </w:r>
            <w:r>
              <w:rPr>
                <w:rFonts w:hint="eastAsia" w:eastAsia="仿宋" w:cs="Times New Roman"/>
                <w:color w:val="auto"/>
                <w:kern w:val="0"/>
                <w:sz w:val="24"/>
                <w:szCs w:val="22"/>
                <w:highlight w:val="none"/>
                <w:lang w:val="en-US" w:eastAsia="zh-CN" w:bidi="ar-SA"/>
              </w:rPr>
              <w:t>同时</w:t>
            </w:r>
            <w:r>
              <w:rPr>
                <w:rFonts w:hint="default" w:ascii="Times New Roman" w:hAnsi="Times New Roman" w:eastAsia="仿宋" w:cs="Times New Roman"/>
                <w:color w:val="auto"/>
                <w:kern w:val="0"/>
                <w:sz w:val="24"/>
                <w:szCs w:val="22"/>
                <w:highlight w:val="none"/>
                <w:lang w:val="en-US" w:eastAsia="zh-CN" w:bidi="ar-SA"/>
              </w:rPr>
              <w:t>幼虾阶段以浮游生物为食，自然水域中的成虾主要食料是各种底栖小型无脊椎动物、水生动物的尸体、固着藻类、多种丝状藻类、有机碎屑、植物碎片等。</w:t>
            </w:r>
            <w:r>
              <w:rPr>
                <w:rFonts w:hint="eastAsia" w:eastAsia="仿宋" w:cs="Times New Roman"/>
                <w:color w:val="auto"/>
                <w:kern w:val="0"/>
                <w:sz w:val="24"/>
                <w:szCs w:val="22"/>
                <w:highlight w:val="none"/>
                <w:lang w:val="en-US" w:eastAsia="zh-CN" w:bidi="ar-SA"/>
              </w:rPr>
              <w:t>本项目后期的</w:t>
            </w:r>
            <w:r>
              <w:rPr>
                <w:rFonts w:hint="eastAsia" w:ascii="Times New Roman" w:hAnsi="Times New Roman" w:eastAsia="仿宋" w:cs="Times New Roman"/>
                <w:color w:val="auto"/>
                <w:kern w:val="0"/>
                <w:sz w:val="24"/>
                <w:szCs w:val="22"/>
                <w:highlight w:val="none"/>
                <w:lang w:val="en-US" w:eastAsia="zh-CN" w:bidi="ar-SA"/>
              </w:rPr>
              <w:t>生态浮岛的建设</w:t>
            </w:r>
            <w:r>
              <w:rPr>
                <w:rFonts w:hint="default" w:ascii="Times New Roman" w:hAnsi="Times New Roman" w:eastAsia="仿宋" w:cs="Times New Roman"/>
                <w:color w:val="auto"/>
                <w:kern w:val="0"/>
                <w:sz w:val="24"/>
                <w:szCs w:val="22"/>
                <w:highlight w:val="none"/>
                <w:lang w:val="en-US" w:eastAsia="zh-CN" w:bidi="ar-SA"/>
              </w:rPr>
              <w:t>将增加附近水域内浮游动物的种类和数量。总体而言随着</w:t>
            </w:r>
            <w:r>
              <w:rPr>
                <w:rFonts w:hint="eastAsia" w:ascii="Times New Roman" w:hAnsi="Times New Roman" w:eastAsia="仿宋" w:cs="Times New Roman"/>
                <w:color w:val="auto"/>
                <w:kern w:val="0"/>
                <w:sz w:val="24"/>
                <w:szCs w:val="22"/>
                <w:highlight w:val="none"/>
                <w:lang w:val="en-US" w:eastAsia="zh-CN" w:bidi="ar-SA"/>
              </w:rPr>
              <w:t>生态浮岛等环境治理措施的落实</w:t>
            </w:r>
            <w:r>
              <w:rPr>
                <w:rFonts w:hint="default" w:ascii="Times New Roman" w:hAnsi="Times New Roman" w:eastAsia="仿宋" w:cs="Times New Roman"/>
                <w:color w:val="auto"/>
                <w:kern w:val="0"/>
                <w:sz w:val="24"/>
                <w:szCs w:val="22"/>
                <w:highlight w:val="none"/>
                <w:lang w:val="en-US" w:eastAsia="zh-CN" w:bidi="ar-SA"/>
              </w:rPr>
              <w:t>，长荡湖水质变好，青虾的栖息环境</w:t>
            </w:r>
            <w:r>
              <w:rPr>
                <w:rFonts w:hint="eastAsia" w:eastAsia="仿宋" w:cs="Times New Roman"/>
                <w:color w:val="auto"/>
                <w:kern w:val="0"/>
                <w:sz w:val="24"/>
                <w:szCs w:val="22"/>
                <w:highlight w:val="none"/>
                <w:lang w:val="en-US" w:eastAsia="zh-CN" w:bidi="ar-SA"/>
              </w:rPr>
              <w:t>也将得到</w:t>
            </w:r>
            <w:r>
              <w:rPr>
                <w:rFonts w:hint="default" w:ascii="Times New Roman" w:hAnsi="Times New Roman" w:eastAsia="仿宋" w:cs="Times New Roman"/>
                <w:color w:val="auto"/>
                <w:kern w:val="0"/>
                <w:sz w:val="24"/>
                <w:szCs w:val="22"/>
                <w:highlight w:val="none"/>
                <w:lang w:val="en-US" w:eastAsia="zh-CN" w:bidi="ar-SA"/>
              </w:rPr>
              <w:t>提升。</w:t>
            </w:r>
          </w:p>
          <w:p w14:paraId="7BBE6675">
            <w:pPr>
              <w:keepNext w:val="0"/>
              <w:keepLines w:val="0"/>
              <w:widowControl/>
              <w:suppressLineNumbers w:val="0"/>
              <w:jc w:val="left"/>
              <w:rPr>
                <w:rFonts w:hint="default"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对于渔业水域的其他鱼类，施工期主要的环境影响为悬浮物及噪声。</w:t>
            </w:r>
          </w:p>
          <w:p w14:paraId="5CDF5480">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项目采用干法施工，先以赶网法驱逐水域内鱼类，后围堰合龙并抽水，预计围堰填补使用土方2300m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，石方4200m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，抽水27万立方米，因此对项目区底栖生物影响较大。由《长荡湖体育休闲房车营地——应急疏散通道项目渔业资源评价报告表》可知，项目围堰临时占用水域的生物资源损失量为2.72g/m</w:t>
            </w:r>
            <w:r>
              <w:rPr>
                <w:rFonts w:hint="eastAsia" w:eastAsia="仿宋" w:cs="Times New Roman"/>
                <w:color w:val="auto"/>
                <w:kern w:val="0"/>
                <w:sz w:val="24"/>
                <w:szCs w:val="22"/>
                <w:highlight w:val="none"/>
                <w:vertAlign w:val="superscript"/>
                <w:lang w:val="en-US" w:eastAsia="zh-CN" w:bidi="ar-SA"/>
              </w:rPr>
              <w:t>2</w:t>
            </w:r>
            <w:r>
              <w:rPr>
                <w:rFonts w:hint="eastAsia" w:eastAsia="仿宋" w:cs="Times New Roman"/>
                <w:color w:val="auto"/>
                <w:kern w:val="0"/>
                <w:sz w:val="24"/>
                <w:szCs w:val="22"/>
                <w:highlight w:val="none"/>
                <w:lang w:val="en-US" w:eastAsia="zh-CN" w:bidi="ar-SA"/>
              </w:rPr>
              <w:t>，干法施工区域总面积为234796.56m</w:t>
            </w:r>
            <w:r>
              <w:rPr>
                <w:rFonts w:hint="eastAsia" w:eastAsia="仿宋" w:cs="Times New Roman"/>
                <w:color w:val="auto"/>
                <w:kern w:val="0"/>
                <w:sz w:val="24"/>
                <w:szCs w:val="22"/>
                <w:highlight w:val="none"/>
                <w:vertAlign w:val="superscript"/>
                <w:lang w:val="en-US" w:eastAsia="zh-CN" w:bidi="ar-SA"/>
              </w:rPr>
              <w:t>2</w:t>
            </w:r>
            <w:r>
              <w:rPr>
                <w:rFonts w:hint="eastAsia" w:eastAsia="仿宋" w:cs="Times New Roman"/>
                <w:color w:val="auto"/>
                <w:kern w:val="0"/>
                <w:sz w:val="24"/>
                <w:szCs w:val="22"/>
                <w:highlight w:val="none"/>
                <w:lang w:val="en-US" w:eastAsia="zh-CN" w:bidi="ar-SA"/>
              </w:rPr>
              <w:t>，故围堰造成的底栖生物的损失量为638.65kg。</w:t>
            </w:r>
          </w:p>
          <w:p w14:paraId="716FCAC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施工期噪声主要来自各种施工机械作业噪声，其中以桥墩施工时的打桩噪声最大，主要施工机械在不同距离处的噪声级到达最近水面的振动值为80～101 dB(A)。施工期主要施工机械在不同距离处的噪声值如表4</w:t>
            </w:r>
            <w:r>
              <w:rPr>
                <w:rFonts w:hint="eastAsia" w:eastAsia="仿宋" w:cs="Times New Roman"/>
                <w:color w:val="auto"/>
                <w:kern w:val="0"/>
                <w:sz w:val="24"/>
                <w:szCs w:val="22"/>
                <w:highlight w:val="none"/>
                <w:lang w:val="en-US" w:eastAsia="zh-CN" w:bidi="ar-SA"/>
              </w:rPr>
              <w:t>-2</w:t>
            </w:r>
            <w:r>
              <w:rPr>
                <w:rFonts w:hint="eastAsia" w:ascii="Times New Roman" w:hAnsi="Times New Roman" w:eastAsia="仿宋" w:cs="Times New Roman"/>
                <w:color w:val="auto"/>
                <w:kern w:val="0"/>
                <w:sz w:val="24"/>
                <w:szCs w:val="22"/>
                <w:highlight w:val="none"/>
                <w:lang w:val="en-US" w:eastAsia="zh-CN" w:bidi="ar-SA"/>
              </w:rPr>
              <w:t>所示。</w:t>
            </w:r>
          </w:p>
          <w:p w14:paraId="2FE3296C">
            <w:pPr>
              <w:keepNext w:val="0"/>
              <w:keepLines w:val="0"/>
              <w:widowControl/>
              <w:suppressLineNumbers w:val="0"/>
              <w:ind w:left="0" w:leftChars="0" w:firstLine="0" w:firstLineChars="0"/>
              <w:jc w:val="center"/>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表4-</w:t>
            </w:r>
            <w:r>
              <w:rPr>
                <w:rFonts w:hint="eastAsia" w:eastAsia="仿宋" w:cs="Times New Roman"/>
                <w:b/>
                <w:bCs/>
                <w:color w:val="auto"/>
                <w:kern w:val="0"/>
                <w:sz w:val="24"/>
                <w:szCs w:val="22"/>
                <w:highlight w:val="none"/>
                <w:lang w:val="en-US" w:eastAsia="zh-CN" w:bidi="ar-SA"/>
              </w:rPr>
              <w:t>2</w:t>
            </w:r>
            <w:r>
              <w:rPr>
                <w:rFonts w:hint="eastAsia" w:ascii="Times New Roman" w:hAnsi="Times New Roman" w:eastAsia="仿宋" w:cs="Times New Roman"/>
                <w:b/>
                <w:bCs/>
                <w:color w:val="auto"/>
                <w:kern w:val="0"/>
                <w:sz w:val="24"/>
                <w:szCs w:val="22"/>
                <w:highlight w:val="none"/>
                <w:lang w:val="en-US" w:eastAsia="zh-CN" w:bidi="ar-SA"/>
              </w:rPr>
              <w:t>主要施工机械在不同距离处的噪声</w:t>
            </w:r>
            <w:r>
              <w:rPr>
                <w:rFonts w:hint="eastAsia" w:eastAsia="仿宋" w:cs="Times New Roman"/>
                <w:b/>
                <w:bCs/>
                <w:color w:val="auto"/>
                <w:kern w:val="0"/>
                <w:sz w:val="24"/>
                <w:szCs w:val="22"/>
                <w:highlight w:val="none"/>
                <w:lang w:val="en-US" w:eastAsia="zh-CN" w:bidi="ar-SA"/>
              </w:rPr>
              <w:t>峰</w:t>
            </w:r>
            <w:r>
              <w:rPr>
                <w:rFonts w:hint="eastAsia" w:ascii="Times New Roman" w:hAnsi="Times New Roman" w:eastAsia="仿宋" w:cs="Times New Roman"/>
                <w:b/>
                <w:bCs/>
                <w:color w:val="auto"/>
                <w:kern w:val="0"/>
                <w:sz w:val="24"/>
                <w:szCs w:val="22"/>
                <w:highlight w:val="none"/>
                <w:lang w:val="en-US" w:eastAsia="zh-CN" w:bidi="ar-SA"/>
              </w:rPr>
              <w:t>值</w:t>
            </w:r>
          </w:p>
          <w:tbl>
            <w:tblPr>
              <w:tblStyle w:val="24"/>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1962"/>
              <w:gridCol w:w="1239"/>
              <w:gridCol w:w="1239"/>
              <w:gridCol w:w="1239"/>
              <w:gridCol w:w="1241"/>
            </w:tblGrid>
            <w:tr w14:paraId="5738F4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3" w:type="dxa"/>
                  <w:vMerge w:val="restart"/>
                </w:tcPr>
                <w:p w14:paraId="4A8A86DE">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施工机械</w:t>
                  </w:r>
                </w:p>
              </w:tc>
              <w:tc>
                <w:tcPr>
                  <w:tcW w:w="1962" w:type="dxa"/>
                  <w:vMerge w:val="restart"/>
                </w:tcPr>
                <w:p w14:paraId="2CD71C21">
                  <w:pPr>
                    <w:pStyle w:val="7"/>
                    <w:keepNext w:val="0"/>
                    <w:keepLines w:val="0"/>
                    <w:suppressLineNumbers w:val="0"/>
                    <w:spacing w:beforeAutospacing="0" w:afterAutospacing="0"/>
                    <w:ind w:left="0" w:right="0"/>
                    <w:jc w:val="center"/>
                    <w:rPr>
                      <w:rFonts w:hint="eastAsia" w:eastAsia="仿宋" w:cs="Times New Roman"/>
                      <w:b/>
                      <w:bCs/>
                      <w:color w:val="auto"/>
                      <w:sz w:val="21"/>
                      <w:szCs w:val="21"/>
                      <w:lang w:val="en-US" w:eastAsia="zh-CN"/>
                    </w:rPr>
                  </w:pPr>
                  <w:r>
                    <w:rPr>
                      <w:rFonts w:hint="eastAsia" w:eastAsia="仿宋" w:cs="Times New Roman"/>
                      <w:b/>
                      <w:bCs/>
                      <w:color w:val="auto"/>
                      <w:sz w:val="21"/>
                      <w:szCs w:val="21"/>
                      <w:lang w:val="en-US" w:eastAsia="zh-CN"/>
                    </w:rPr>
                    <w:t>噪声峰值</w:t>
                  </w:r>
                </w:p>
                <w:p w14:paraId="41E15A23">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/dB（A）</w:t>
                  </w:r>
                </w:p>
              </w:tc>
              <w:tc>
                <w:tcPr>
                  <w:tcW w:w="4958" w:type="dxa"/>
                  <w:gridSpan w:val="4"/>
                </w:tcPr>
                <w:p w14:paraId="0898B065">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不同距离处的噪声值/dB（A）</w:t>
                  </w:r>
                </w:p>
              </w:tc>
            </w:tr>
            <w:tr w14:paraId="417F87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3" w:type="dxa"/>
                  <w:vMerge w:val="continue"/>
                </w:tcPr>
                <w:p w14:paraId="74CB42C6">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p>
              </w:tc>
              <w:tc>
                <w:tcPr>
                  <w:tcW w:w="1962" w:type="dxa"/>
                  <w:vMerge w:val="continue"/>
                </w:tcPr>
                <w:p w14:paraId="69F5A2E2">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p>
              </w:tc>
              <w:tc>
                <w:tcPr>
                  <w:tcW w:w="1239" w:type="dxa"/>
                </w:tcPr>
                <w:p w14:paraId="379CD31F">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15m</w:t>
                  </w:r>
                </w:p>
              </w:tc>
              <w:tc>
                <w:tcPr>
                  <w:tcW w:w="1239" w:type="dxa"/>
                </w:tcPr>
                <w:p w14:paraId="3CB865CA">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30m</w:t>
                  </w:r>
                </w:p>
              </w:tc>
              <w:tc>
                <w:tcPr>
                  <w:tcW w:w="1239" w:type="dxa"/>
                </w:tcPr>
                <w:p w14:paraId="1CEB804D">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80m</w:t>
                  </w:r>
                </w:p>
              </w:tc>
              <w:tc>
                <w:tcPr>
                  <w:tcW w:w="1241" w:type="dxa"/>
                </w:tcPr>
                <w:p w14:paraId="4135823F">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120m</w:t>
                  </w:r>
                </w:p>
              </w:tc>
            </w:tr>
            <w:tr w14:paraId="5A6617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3" w:type="dxa"/>
                </w:tcPr>
                <w:p w14:paraId="4F41B1D4">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打桩机</w:t>
                  </w:r>
                </w:p>
              </w:tc>
              <w:tc>
                <w:tcPr>
                  <w:tcW w:w="1962" w:type="dxa"/>
                </w:tcPr>
                <w:p w14:paraId="1F13BC52">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120</w:t>
                  </w:r>
                </w:p>
              </w:tc>
              <w:tc>
                <w:tcPr>
                  <w:tcW w:w="1239" w:type="dxa"/>
                </w:tcPr>
                <w:p w14:paraId="71072CE5">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101</w:t>
                  </w:r>
                </w:p>
              </w:tc>
              <w:tc>
                <w:tcPr>
                  <w:tcW w:w="1239" w:type="dxa"/>
                </w:tcPr>
                <w:p w14:paraId="3F8A696B">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95</w:t>
                  </w:r>
                </w:p>
              </w:tc>
              <w:tc>
                <w:tcPr>
                  <w:tcW w:w="1239" w:type="dxa"/>
                </w:tcPr>
                <w:p w14:paraId="0D0DCEBC">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89</w:t>
                  </w:r>
                </w:p>
              </w:tc>
              <w:tc>
                <w:tcPr>
                  <w:tcW w:w="1241" w:type="dxa"/>
                </w:tcPr>
                <w:p w14:paraId="64D94047">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83</w:t>
                  </w:r>
                </w:p>
              </w:tc>
            </w:tr>
            <w:tr w14:paraId="27CEF7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3" w:type="dxa"/>
                </w:tcPr>
                <w:p w14:paraId="47999194">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搅拌机</w:t>
                  </w:r>
                </w:p>
              </w:tc>
              <w:tc>
                <w:tcPr>
                  <w:tcW w:w="1962" w:type="dxa"/>
                </w:tcPr>
                <w:p w14:paraId="523C892F">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105</w:t>
                  </w:r>
                </w:p>
              </w:tc>
              <w:tc>
                <w:tcPr>
                  <w:tcW w:w="1239" w:type="dxa"/>
                </w:tcPr>
                <w:p w14:paraId="00EA021B">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85</w:t>
                  </w:r>
                </w:p>
              </w:tc>
              <w:tc>
                <w:tcPr>
                  <w:tcW w:w="1239" w:type="dxa"/>
                </w:tcPr>
                <w:p w14:paraId="57B8CABE">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79</w:t>
                  </w:r>
                </w:p>
              </w:tc>
              <w:tc>
                <w:tcPr>
                  <w:tcW w:w="1239" w:type="dxa"/>
                </w:tcPr>
                <w:p w14:paraId="5A65257C">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73</w:t>
                  </w:r>
                </w:p>
              </w:tc>
              <w:tc>
                <w:tcPr>
                  <w:tcW w:w="1241" w:type="dxa"/>
                </w:tcPr>
                <w:p w14:paraId="642CB89A">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67</w:t>
                  </w:r>
                </w:p>
              </w:tc>
            </w:tr>
            <w:tr w14:paraId="3955D9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3" w:type="dxa"/>
                </w:tcPr>
                <w:p w14:paraId="0B13F7EA">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装载机</w:t>
                  </w:r>
                </w:p>
              </w:tc>
              <w:tc>
                <w:tcPr>
                  <w:tcW w:w="1962" w:type="dxa"/>
                </w:tcPr>
                <w:p w14:paraId="4F09E990">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103</w:t>
                  </w:r>
                </w:p>
              </w:tc>
              <w:tc>
                <w:tcPr>
                  <w:tcW w:w="1239" w:type="dxa"/>
                </w:tcPr>
                <w:p w14:paraId="2B27E92E">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80</w:t>
                  </w:r>
                </w:p>
              </w:tc>
              <w:tc>
                <w:tcPr>
                  <w:tcW w:w="1239" w:type="dxa"/>
                </w:tcPr>
                <w:p w14:paraId="1FD4B4B5">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74</w:t>
                  </w:r>
                </w:p>
              </w:tc>
              <w:tc>
                <w:tcPr>
                  <w:tcW w:w="1239" w:type="dxa"/>
                </w:tcPr>
                <w:p w14:paraId="58B5A00C">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68</w:t>
                  </w:r>
                </w:p>
              </w:tc>
              <w:tc>
                <w:tcPr>
                  <w:tcW w:w="1241" w:type="dxa"/>
                </w:tcPr>
                <w:p w14:paraId="6B71E712">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60</w:t>
                  </w:r>
                </w:p>
              </w:tc>
            </w:tr>
            <w:tr w14:paraId="39E1AF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3" w:type="dxa"/>
                </w:tcPr>
                <w:p w14:paraId="389D8C21">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载重车</w:t>
                  </w:r>
                </w:p>
              </w:tc>
              <w:tc>
                <w:tcPr>
                  <w:tcW w:w="1962" w:type="dxa"/>
                </w:tcPr>
                <w:p w14:paraId="62292B98">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95</w:t>
                  </w:r>
                </w:p>
              </w:tc>
              <w:tc>
                <w:tcPr>
                  <w:tcW w:w="1239" w:type="dxa"/>
                </w:tcPr>
                <w:p w14:paraId="7B3AC838">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84</w:t>
                  </w:r>
                </w:p>
              </w:tc>
              <w:tc>
                <w:tcPr>
                  <w:tcW w:w="1239" w:type="dxa"/>
                </w:tcPr>
                <w:p w14:paraId="776F0593">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79</w:t>
                  </w:r>
                </w:p>
              </w:tc>
              <w:tc>
                <w:tcPr>
                  <w:tcW w:w="1239" w:type="dxa"/>
                </w:tcPr>
                <w:p w14:paraId="3353F50F">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72</w:t>
                  </w:r>
                </w:p>
              </w:tc>
              <w:tc>
                <w:tcPr>
                  <w:tcW w:w="1241" w:type="dxa"/>
                </w:tcPr>
                <w:p w14:paraId="1089220C">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66</w:t>
                  </w:r>
                </w:p>
              </w:tc>
            </w:tr>
          </w:tbl>
          <w:p w14:paraId="34703F0C">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采用剪鳍标记法研究钻井噪声对鲤鱼和草鱼生长的影响。研究结果表明，桥墩施工噪声对鲤鱼和草鱼的生长有显著影响，其临界等效噪声级和振动级分别约为83.9 dB(A)和84.4 dB。</w:t>
            </w:r>
            <w:r>
              <w:rPr>
                <w:rFonts w:hint="eastAsia" w:eastAsia="仿宋" w:cs="Times New Roman"/>
                <w:color w:val="auto"/>
                <w:kern w:val="0"/>
                <w:sz w:val="24"/>
                <w:szCs w:val="22"/>
                <w:highlight w:val="none"/>
                <w:lang w:val="en-US" w:eastAsia="zh-CN" w:bidi="ar-SA"/>
              </w:rPr>
              <w:t>根据张德华《剪鳍标记法测定钻井噪声与振动对草鱼生长的影响》所述，噪声</w:t>
            </w:r>
            <w:r>
              <w:rPr>
                <w:rFonts w:hint="default" w:ascii="Times New Roman" w:hAnsi="Times New Roman" w:eastAsia="仿宋" w:cs="Times New Roman"/>
                <w:color w:val="auto"/>
                <w:kern w:val="0"/>
                <w:sz w:val="24"/>
                <w:szCs w:val="22"/>
                <w:highlight w:val="none"/>
                <w:lang w:val="en-US" w:eastAsia="zh-CN" w:bidi="ar-SA"/>
              </w:rPr>
              <w:t>污染持续时间</w:t>
            </w:r>
            <w:r>
              <w:rPr>
                <w:rFonts w:hint="eastAsia" w:eastAsia="仿宋" w:cs="Times New Roman"/>
                <w:color w:val="auto"/>
                <w:kern w:val="0"/>
                <w:sz w:val="24"/>
                <w:szCs w:val="22"/>
                <w:highlight w:val="none"/>
                <w:lang w:val="en-US" w:eastAsia="zh-CN" w:bidi="ar-SA"/>
              </w:rPr>
              <w:t>内</w:t>
            </w:r>
            <w:r>
              <w:rPr>
                <w:rFonts w:hint="default" w:ascii="Times New Roman" w:hAnsi="Times New Roman" w:eastAsia="仿宋" w:cs="Times New Roman"/>
                <w:color w:val="auto"/>
                <w:kern w:val="0"/>
                <w:sz w:val="24"/>
                <w:szCs w:val="22"/>
                <w:highlight w:val="none"/>
                <w:lang w:val="en-US" w:eastAsia="zh-CN" w:bidi="ar-SA"/>
              </w:rPr>
              <w:t>鱼类体重和群居行为等生态因素能显著改变钻井噪声对鲤鱼和草鱼生长的污染效应。</w:t>
            </w:r>
            <w:r>
              <w:rPr>
                <w:rFonts w:hint="eastAsia" w:eastAsia="仿宋" w:cs="Times New Roman"/>
                <w:color w:val="auto"/>
                <w:kern w:val="0"/>
                <w:sz w:val="24"/>
                <w:szCs w:val="22"/>
                <w:highlight w:val="none"/>
                <w:lang w:val="en-US" w:eastAsia="zh-CN" w:bidi="ar-SA"/>
              </w:rPr>
              <w:t>根据孙耀《钻井噪声与振动对鲤鱼生长的影响》所述，</w:t>
            </w:r>
            <w:r>
              <w:rPr>
                <w:rFonts w:hint="default" w:ascii="Times New Roman" w:hAnsi="Times New Roman" w:eastAsia="仿宋" w:cs="Times New Roman"/>
                <w:color w:val="auto"/>
                <w:kern w:val="0"/>
                <w:sz w:val="24"/>
                <w:szCs w:val="22"/>
                <w:highlight w:val="none"/>
                <w:lang w:val="en-US" w:eastAsia="zh-CN" w:bidi="ar-SA"/>
              </w:rPr>
              <w:t>在污染消失后，鲤鱼和草鱼生长率能迅速恢复，说明钻井噪声对鲤鱼和草鱼并未产生器质性损伤。因此，工程桥基钻孔灌注桩施工会干扰临近水域鱼类的索饵和通过等行为，会对鱼类的生长等产生一定程度的不利影响，但相关影响是可逆的。</w:t>
            </w:r>
          </w:p>
          <w:p w14:paraId="1488EE0C">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项目桥梁施工建设结束后，将拆除临时便道及围堰，拆除土石方产生的弃土量为22920m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，根据渔业资源报告，本项目围堰拆除过程中悬浮物扩散导致的渔业资源损失量见下表</w:t>
            </w:r>
            <w:r>
              <w:rPr>
                <w:rFonts w:hint="default"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应急疏散通道施工期悬浮物造成渔业资源持续性损害为1020.74kg/a，合渔业资源价值5.10万元。</w:t>
            </w:r>
          </w:p>
          <w:p w14:paraId="53DCD9B0">
            <w:pPr>
              <w:pStyle w:val="30"/>
              <w:keepNext w:val="0"/>
              <w:keepLines w:val="0"/>
              <w:suppressLineNumbers w:val="0"/>
              <w:spacing w:before="0" w:beforeAutospacing="0" w:after="0" w:afterAutospacing="0"/>
              <w:ind w:left="0" w:right="0"/>
              <w:jc w:val="center"/>
              <w:rPr>
                <w:rFonts w:hint="default" w:ascii="Times New Roman" w:hAnsi="Times New Roman" w:eastAsia="仿宋" w:cs="Times New Roman"/>
                <w:b/>
                <w:color w:val="auto"/>
                <w:spacing w:val="10"/>
                <w:kern w:val="2"/>
                <w:sz w:val="24"/>
                <w:szCs w:val="24"/>
                <w:lang w:val="en-US" w:eastAsia="zh-CN"/>
              </w:rPr>
            </w:pPr>
            <w:r>
              <w:rPr>
                <w:rFonts w:hint="eastAsia" w:ascii="Times New Roman" w:hAnsi="Times New Roman" w:eastAsia="仿宋" w:cs="Times New Roman"/>
                <w:b/>
                <w:color w:val="auto"/>
                <w:spacing w:val="10"/>
                <w:kern w:val="2"/>
                <w:sz w:val="24"/>
                <w:szCs w:val="24"/>
                <w:lang w:val="en-US" w:eastAsia="zh-CN"/>
              </w:rPr>
              <w:t>表4-3 悬浮物扩散范围内水生生物资源损失量</w:t>
            </w:r>
          </w:p>
          <w:tbl>
            <w:tblPr>
              <w:tblStyle w:val="24"/>
              <w:tblW w:w="83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383"/>
              <w:gridCol w:w="1384"/>
              <w:gridCol w:w="1384"/>
              <w:gridCol w:w="1386"/>
              <w:gridCol w:w="1386"/>
            </w:tblGrid>
            <w:tr w14:paraId="7B000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382" w:type="dxa"/>
                  <w:vAlign w:val="center"/>
                </w:tcPr>
                <w:p w14:paraId="078F5EA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资源类别</w:t>
                  </w:r>
                </w:p>
              </w:tc>
              <w:tc>
                <w:tcPr>
                  <w:tcW w:w="1383" w:type="dxa"/>
                  <w:vAlign w:val="center"/>
                </w:tcPr>
                <w:p w14:paraId="756D863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eastAsia="仿宋" w:cs="Times New Roman"/>
                      <w:b/>
                      <w:bCs/>
                      <w:color w:val="auto"/>
                      <w:sz w:val="21"/>
                      <w:szCs w:val="21"/>
                      <w:lang w:val="en-US" w:eastAsia="zh-CN"/>
                    </w:rPr>
                  </w:pPr>
                  <w:r>
                    <w:rPr>
                      <w:rFonts w:hint="eastAsia" w:eastAsia="仿宋" w:cs="Times New Roman"/>
                      <w:b/>
                      <w:bCs/>
                      <w:color w:val="auto"/>
                      <w:sz w:val="21"/>
                      <w:szCs w:val="21"/>
                      <w:lang w:val="en-US" w:eastAsia="zh-CN"/>
                    </w:rPr>
                    <w:t>生物密度</w:t>
                  </w:r>
                </w:p>
                <w:p w14:paraId="06AD61C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（g/m</w:t>
                  </w:r>
                  <w:r>
                    <w:rPr>
                      <w:rFonts w:hint="eastAsia" w:eastAsia="仿宋" w:cs="Times New Roman"/>
                      <w:b/>
                      <w:bCs/>
                      <w:color w:val="auto"/>
                      <w:sz w:val="21"/>
                      <w:szCs w:val="21"/>
                      <w:vertAlign w:val="superscript"/>
                      <w:lang w:val="en-US" w:eastAsia="zh-CN"/>
                    </w:rPr>
                    <w:t>3</w:t>
                  </w:r>
                  <w:r>
                    <w:rPr>
                      <w:rFonts w:hint="eastAsia" w:eastAsia="仿宋" w:cs="Times New Roman"/>
                      <w:b/>
                      <w:bCs/>
                      <w:color w:val="auto"/>
                      <w:sz w:val="21"/>
                      <w:szCs w:val="21"/>
                      <w:lang w:val="en-US" w:eastAsia="zh-CN"/>
                    </w:rPr>
                    <w:t>）</w:t>
                  </w:r>
                </w:p>
              </w:tc>
              <w:tc>
                <w:tcPr>
                  <w:tcW w:w="1384" w:type="dxa"/>
                  <w:vAlign w:val="center"/>
                </w:tcPr>
                <w:p w14:paraId="25AE92C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eastAsia="仿宋" w:cs="Times New Roman"/>
                      <w:b/>
                      <w:bCs/>
                      <w:color w:val="auto"/>
                      <w:sz w:val="21"/>
                      <w:szCs w:val="21"/>
                      <w:lang w:val="en-US" w:eastAsia="zh-CN"/>
                    </w:rPr>
                  </w:pPr>
                  <w:r>
                    <w:rPr>
                      <w:rFonts w:hint="eastAsia" w:eastAsia="仿宋" w:cs="Times New Roman"/>
                      <w:b/>
                      <w:bCs/>
                      <w:color w:val="auto"/>
                      <w:sz w:val="21"/>
                      <w:szCs w:val="21"/>
                      <w:lang w:val="en-US" w:eastAsia="zh-CN"/>
                    </w:rPr>
                    <w:t>影响面积</w:t>
                  </w:r>
                </w:p>
                <w:p w14:paraId="441244F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（公顷）</w:t>
                  </w:r>
                </w:p>
              </w:tc>
              <w:tc>
                <w:tcPr>
                  <w:tcW w:w="1384" w:type="dxa"/>
                  <w:vAlign w:val="center"/>
                </w:tcPr>
                <w:p w14:paraId="1A24E5A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eastAsia="仿宋" w:cs="Times New Roman"/>
                      <w:b/>
                      <w:bCs/>
                      <w:color w:val="auto"/>
                      <w:sz w:val="21"/>
                      <w:szCs w:val="21"/>
                      <w:lang w:val="en-US" w:eastAsia="zh-CN"/>
                    </w:rPr>
                  </w:pPr>
                  <w:r>
                    <w:rPr>
                      <w:rFonts w:hint="eastAsia" w:eastAsia="仿宋" w:cs="Times New Roman"/>
                      <w:b/>
                      <w:bCs/>
                      <w:color w:val="auto"/>
                      <w:sz w:val="21"/>
                      <w:szCs w:val="21"/>
                      <w:lang w:val="en-US" w:eastAsia="zh-CN"/>
                    </w:rPr>
                    <w:t>损失率</w:t>
                  </w:r>
                </w:p>
                <w:p w14:paraId="069C44C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w:t>
                  </w:r>
                </w:p>
              </w:tc>
              <w:tc>
                <w:tcPr>
                  <w:tcW w:w="1386" w:type="dxa"/>
                  <w:vAlign w:val="center"/>
                </w:tcPr>
                <w:p w14:paraId="4D8D47D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一次性平均损失量（kg）</w:t>
                  </w:r>
                </w:p>
              </w:tc>
              <w:tc>
                <w:tcPr>
                  <w:tcW w:w="1386" w:type="dxa"/>
                  <w:vAlign w:val="center"/>
                </w:tcPr>
                <w:p w14:paraId="15B1B25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eastAsia="仿宋" w:cs="Times New Roman"/>
                      <w:b/>
                      <w:bCs/>
                      <w:color w:val="auto"/>
                      <w:sz w:val="21"/>
                      <w:szCs w:val="21"/>
                      <w:lang w:val="en-US" w:eastAsia="zh-CN"/>
                    </w:rPr>
                  </w:pPr>
                  <w:r>
                    <w:rPr>
                      <w:rFonts w:hint="eastAsia" w:eastAsia="仿宋" w:cs="Times New Roman"/>
                      <w:b/>
                      <w:bCs/>
                      <w:color w:val="auto"/>
                      <w:sz w:val="21"/>
                      <w:szCs w:val="21"/>
                      <w:lang w:val="en-US" w:eastAsia="zh-CN"/>
                    </w:rPr>
                    <w:t>持续性损害损失量（kg）</w:t>
                  </w:r>
                </w:p>
              </w:tc>
            </w:tr>
            <w:tr w14:paraId="70E7C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tcPr>
                <w:p w14:paraId="5A9FEF2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渔业资源</w:t>
                  </w:r>
                </w:p>
              </w:tc>
              <w:tc>
                <w:tcPr>
                  <w:tcW w:w="1383" w:type="dxa"/>
                </w:tcPr>
                <w:p w14:paraId="077880C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35.65</w:t>
                  </w:r>
                </w:p>
              </w:tc>
              <w:tc>
                <w:tcPr>
                  <w:tcW w:w="1384" w:type="dxa"/>
                </w:tcPr>
                <w:p w14:paraId="583AA06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6.06</w:t>
                  </w:r>
                </w:p>
              </w:tc>
              <w:tc>
                <w:tcPr>
                  <w:tcW w:w="1384" w:type="dxa"/>
                </w:tcPr>
                <w:p w14:paraId="133C2D1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15</w:t>
                  </w:r>
                </w:p>
              </w:tc>
              <w:tc>
                <w:tcPr>
                  <w:tcW w:w="1386" w:type="dxa"/>
                </w:tcPr>
                <w:p w14:paraId="53D3671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35.28</w:t>
                  </w:r>
                </w:p>
              </w:tc>
              <w:tc>
                <w:tcPr>
                  <w:tcW w:w="1386" w:type="dxa"/>
                </w:tcPr>
                <w:p w14:paraId="0313F57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1020.74</w:t>
                  </w:r>
                </w:p>
              </w:tc>
            </w:tr>
            <w:tr w14:paraId="669E1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tcPr>
                <w:p w14:paraId="05811F6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浮游生物</w:t>
                  </w:r>
                </w:p>
              </w:tc>
              <w:tc>
                <w:tcPr>
                  <w:tcW w:w="1383" w:type="dxa"/>
                </w:tcPr>
                <w:p w14:paraId="3DA1176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6.06</w:t>
                  </w:r>
                </w:p>
              </w:tc>
              <w:tc>
                <w:tcPr>
                  <w:tcW w:w="1384" w:type="dxa"/>
                  <w:vAlign w:val="top"/>
                </w:tcPr>
                <w:p w14:paraId="3F0BD55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6.06</w:t>
                  </w:r>
                </w:p>
              </w:tc>
              <w:tc>
                <w:tcPr>
                  <w:tcW w:w="1384" w:type="dxa"/>
                  <w:vAlign w:val="top"/>
                </w:tcPr>
                <w:p w14:paraId="793CF85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45</w:t>
                  </w:r>
                </w:p>
              </w:tc>
              <w:tc>
                <w:tcPr>
                  <w:tcW w:w="1386" w:type="dxa"/>
                </w:tcPr>
                <w:p w14:paraId="536E27B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6.64</w:t>
                  </w:r>
                </w:p>
              </w:tc>
              <w:tc>
                <w:tcPr>
                  <w:tcW w:w="1386" w:type="dxa"/>
                </w:tcPr>
                <w:p w14:paraId="1C85462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196.46</w:t>
                  </w:r>
                </w:p>
              </w:tc>
            </w:tr>
            <w:tr w14:paraId="6C4C4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tcPr>
                <w:p w14:paraId="3EAB143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蜉蝣动物</w:t>
                  </w:r>
                </w:p>
              </w:tc>
              <w:tc>
                <w:tcPr>
                  <w:tcW w:w="1383" w:type="dxa"/>
                </w:tcPr>
                <w:p w14:paraId="797AA8E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0.96</w:t>
                  </w:r>
                </w:p>
              </w:tc>
              <w:tc>
                <w:tcPr>
                  <w:tcW w:w="1384" w:type="dxa"/>
                  <w:vAlign w:val="top"/>
                </w:tcPr>
                <w:p w14:paraId="521B777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6.06</w:t>
                  </w:r>
                </w:p>
              </w:tc>
              <w:tc>
                <w:tcPr>
                  <w:tcW w:w="1384" w:type="dxa"/>
                  <w:vAlign w:val="top"/>
                </w:tcPr>
                <w:p w14:paraId="3FDC9C5C">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45</w:t>
                  </w:r>
                </w:p>
              </w:tc>
              <w:tc>
                <w:tcPr>
                  <w:tcW w:w="1386" w:type="dxa"/>
                </w:tcPr>
                <w:p w14:paraId="6A5F14C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1.05</w:t>
                  </w:r>
                </w:p>
              </w:tc>
              <w:tc>
                <w:tcPr>
                  <w:tcW w:w="1386" w:type="dxa"/>
                </w:tcPr>
                <w:p w14:paraId="303A576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3.1</w:t>
                  </w:r>
                </w:p>
              </w:tc>
            </w:tr>
            <w:tr w14:paraId="56E6A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2" w:type="dxa"/>
                </w:tcPr>
                <w:p w14:paraId="16DABAB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底栖动物</w:t>
                  </w:r>
                </w:p>
              </w:tc>
              <w:tc>
                <w:tcPr>
                  <w:tcW w:w="1383" w:type="dxa"/>
                </w:tcPr>
                <w:p w14:paraId="0D70D7A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17.29</w:t>
                  </w:r>
                </w:p>
              </w:tc>
              <w:tc>
                <w:tcPr>
                  <w:tcW w:w="1384" w:type="dxa"/>
                  <w:vAlign w:val="top"/>
                </w:tcPr>
                <w:p w14:paraId="1E3C4C4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6.06</w:t>
                  </w:r>
                </w:p>
              </w:tc>
              <w:tc>
                <w:tcPr>
                  <w:tcW w:w="1384" w:type="dxa"/>
                  <w:vAlign w:val="top"/>
                </w:tcPr>
                <w:p w14:paraId="0FB5B42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100</w:t>
                  </w:r>
                </w:p>
              </w:tc>
              <w:tc>
                <w:tcPr>
                  <w:tcW w:w="1386" w:type="dxa"/>
                </w:tcPr>
                <w:p w14:paraId="3DD3B07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345.8</w:t>
                  </w:r>
                </w:p>
              </w:tc>
              <w:tc>
                <w:tcPr>
                  <w:tcW w:w="1386" w:type="dxa"/>
                </w:tcPr>
                <w:p w14:paraId="6C8BDB9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7261.8</w:t>
                  </w:r>
                </w:p>
              </w:tc>
            </w:tr>
          </w:tbl>
          <w:p w14:paraId="21173F26">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项目区施工对三场的影响较小。</w:t>
            </w:r>
            <w:r>
              <w:rPr>
                <w:rFonts w:hint="default" w:ascii="Times New Roman" w:hAnsi="Times New Roman" w:eastAsia="仿宋" w:cs="Times New Roman"/>
                <w:color w:val="auto"/>
                <w:kern w:val="0"/>
                <w:sz w:val="24"/>
                <w:szCs w:val="22"/>
                <w:highlight w:val="none"/>
                <w:lang w:val="en-US" w:eastAsia="zh-CN" w:bidi="ar-SA"/>
              </w:rPr>
              <w:t>长荡湖鱼类以产粘性卵的鱼类为主。产粘性卵鱼类主要有鲤、鲫、黄颡鱼、光泽黄颡鱼、黄尾鲴、棒花等鱼类。根据鱼卵附着基质的差异可以分为主要以水生植物、陆生植物及水中草质漂浮物为基质的粘性卵，如鲤、鲫、花等；主要以砾石为基质的粘性卵如黄颡鱼、光泽黄颡鱼等。根据历史资料，产粘性卵鱼类产卵场主要分布在有支流水注入使水体呈微流状态的缓水区</w:t>
            </w:r>
            <w:r>
              <w:rPr>
                <w:rFonts w:hint="eastAsia" w:eastAsia="仿宋" w:cs="Times New Roman"/>
                <w:color w:val="auto"/>
                <w:kern w:val="0"/>
                <w:sz w:val="24"/>
                <w:szCs w:val="22"/>
                <w:highlight w:val="none"/>
                <w:lang w:val="en-US" w:eastAsia="zh-CN" w:bidi="ar-SA"/>
              </w:rPr>
              <w:t>，</w:t>
            </w:r>
            <w:r>
              <w:rPr>
                <w:rFonts w:hint="default" w:ascii="Times New Roman" w:hAnsi="Times New Roman" w:eastAsia="仿宋" w:cs="Times New Roman"/>
                <w:color w:val="auto"/>
                <w:kern w:val="0"/>
                <w:sz w:val="24"/>
                <w:szCs w:val="22"/>
                <w:highlight w:val="none"/>
                <w:lang w:val="en-US" w:eastAsia="zh-CN" w:bidi="ar-SA"/>
              </w:rPr>
              <w:t>产卵场通常水域较浅，水流较缓，或具沙砾底质，或水生植物密布，这是鲤、鲫、黄颡鱼等产粘性卵鱼类的产卵场，</w:t>
            </w:r>
            <w:r>
              <w:rPr>
                <w:rFonts w:hint="eastAsia" w:eastAsia="仿宋" w:cs="Times New Roman"/>
                <w:color w:val="auto"/>
                <w:kern w:val="0"/>
                <w:sz w:val="24"/>
                <w:szCs w:val="22"/>
                <w:highlight w:val="none"/>
                <w:lang w:val="en-US" w:eastAsia="zh-CN" w:bidi="ar-SA"/>
              </w:rPr>
              <w:t>本项目建设区域与长荡湖水域被土埂隔断，缺乏水体交换，水体含氧量低，且不具备原生湖床的砾石等基质</w:t>
            </w:r>
            <w:r>
              <w:rPr>
                <w:rFonts w:hint="default" w:ascii="Times New Roman" w:hAnsi="Times New Roman" w:eastAsia="仿宋" w:cs="Times New Roman"/>
                <w:color w:val="auto"/>
                <w:kern w:val="0"/>
                <w:sz w:val="24"/>
                <w:szCs w:val="22"/>
                <w:highlight w:val="none"/>
                <w:lang w:val="en-US" w:eastAsia="zh-CN" w:bidi="ar-SA"/>
              </w:rPr>
              <w:t>，因此</w:t>
            </w:r>
            <w:r>
              <w:rPr>
                <w:rFonts w:hint="eastAsia" w:eastAsia="仿宋" w:cs="Times New Roman"/>
                <w:color w:val="auto"/>
                <w:kern w:val="0"/>
                <w:sz w:val="24"/>
                <w:szCs w:val="22"/>
                <w:highlight w:val="none"/>
                <w:lang w:val="en-US" w:eastAsia="zh-CN" w:bidi="ar-SA"/>
              </w:rPr>
              <w:t>项目区非鱼类产卵及索饵区</w:t>
            </w:r>
            <w:r>
              <w:rPr>
                <w:rFonts w:hint="default" w:ascii="Times New Roman" w:hAnsi="Times New Roman" w:eastAsia="仿宋" w:cs="Times New Roman"/>
                <w:color w:val="auto"/>
                <w:kern w:val="0"/>
                <w:sz w:val="24"/>
                <w:szCs w:val="22"/>
                <w:highlight w:val="none"/>
                <w:lang w:val="en-US" w:eastAsia="zh-CN" w:bidi="ar-SA"/>
              </w:rPr>
              <w:t>。</w:t>
            </w:r>
          </w:p>
          <w:p w14:paraId="02B56A2F">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通常冬季来临之前，鱼类的活动能力将减低，为了保证在寒冷的季节有适宜的栖息条件，鱼类往往要到水深的地方越冬</w:t>
            </w:r>
            <w:r>
              <w:rPr>
                <w:rFonts w:hint="eastAsia" w:eastAsia="仿宋" w:cs="Times New Roman"/>
                <w:color w:val="auto"/>
                <w:kern w:val="0"/>
                <w:sz w:val="24"/>
                <w:szCs w:val="22"/>
                <w:highlight w:val="none"/>
                <w:lang w:val="en-US" w:eastAsia="zh-CN" w:bidi="ar-SA"/>
              </w:rPr>
              <w:t>，项目区域离岸较近，水深0.5米左右，不具备越冬条件，非鱼类越冬区，同时由于偏处长荡湖一隅，且存在土埂隔断，也不是鱼类洄游通道</w:t>
            </w:r>
            <w:r>
              <w:rPr>
                <w:rFonts w:hint="eastAsia" w:ascii="Times New Roman" w:hAnsi="Times New Roman" w:eastAsia="仿宋" w:cs="Times New Roman"/>
                <w:color w:val="auto"/>
                <w:kern w:val="0"/>
                <w:sz w:val="24"/>
                <w:szCs w:val="22"/>
                <w:highlight w:val="none"/>
                <w:lang w:val="en-US" w:eastAsia="zh-CN" w:bidi="ar-SA"/>
              </w:rPr>
              <w:t>。</w:t>
            </w:r>
          </w:p>
          <w:p w14:paraId="1105586C">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施工期避开鱼类产卵期，</w:t>
            </w:r>
            <w:r>
              <w:rPr>
                <w:rFonts w:hint="eastAsia" w:eastAsia="仿宋" w:cs="Times New Roman"/>
                <w:color w:val="auto"/>
                <w:kern w:val="0"/>
                <w:sz w:val="24"/>
                <w:szCs w:val="22"/>
                <w:highlight w:val="none"/>
                <w:lang w:val="en-US" w:eastAsia="zh-CN" w:bidi="ar-SA"/>
              </w:rPr>
              <w:t>同时在围堰施工前</w:t>
            </w:r>
            <w:r>
              <w:rPr>
                <w:rFonts w:hint="default" w:ascii="Times New Roman" w:hAnsi="Times New Roman" w:eastAsia="仿宋" w:cs="Times New Roman"/>
                <w:color w:val="auto"/>
                <w:kern w:val="0"/>
                <w:sz w:val="24"/>
                <w:szCs w:val="22"/>
                <w:highlight w:val="none"/>
                <w:lang w:val="en-US" w:eastAsia="zh-CN" w:bidi="ar-SA"/>
              </w:rPr>
              <w:t>将施工区域内的鱼类驱赶到非施工区域，</w:t>
            </w:r>
            <w:r>
              <w:rPr>
                <w:rFonts w:hint="eastAsia" w:eastAsia="仿宋" w:cs="Times New Roman"/>
                <w:color w:val="auto"/>
                <w:kern w:val="0"/>
                <w:sz w:val="24"/>
                <w:szCs w:val="22"/>
                <w:highlight w:val="none"/>
                <w:lang w:val="en-US" w:eastAsia="zh-CN" w:bidi="ar-SA"/>
              </w:rPr>
              <w:t>施工对渔业资源的影响将进一步降低。</w:t>
            </w:r>
            <w:r>
              <w:rPr>
                <w:rFonts w:hint="default" w:ascii="Times New Roman" w:hAnsi="Times New Roman" w:eastAsia="仿宋" w:cs="Times New Roman"/>
                <w:color w:val="auto"/>
                <w:kern w:val="0"/>
                <w:sz w:val="24"/>
                <w:szCs w:val="22"/>
                <w:highlight w:val="none"/>
                <w:lang w:val="en-US" w:eastAsia="zh-CN" w:bidi="ar-SA"/>
              </w:rPr>
              <w:t>施工后对湖岸浅水区进行人工种植水生植物，随着施工的结束，非汛期水流趋于平缓，流速降低，则泥沙含量减少，水深增加，水体透明度增加，将有利于轮虫、浮游甲壳动物的繁殖。预计施工结束后湖泊中的浮游动物数量会有所增加，底栖动物也会随着入湖河水迁入湖区，鱼类的产卵所需水生植物和饵料均在施工期过后可恢复，</w:t>
            </w:r>
            <w:r>
              <w:rPr>
                <w:rFonts w:hint="eastAsia" w:eastAsia="仿宋" w:cs="Times New Roman"/>
                <w:color w:val="auto"/>
                <w:kern w:val="0"/>
                <w:sz w:val="24"/>
                <w:szCs w:val="22"/>
                <w:highlight w:val="none"/>
                <w:lang w:val="en-US" w:eastAsia="zh-CN" w:bidi="ar-SA"/>
              </w:rPr>
              <w:t>本项目作为步行桥项目，运营期对鱼类繁殖及索饵几乎不产生不利</w:t>
            </w:r>
            <w:r>
              <w:rPr>
                <w:rFonts w:hint="default" w:ascii="Times New Roman" w:hAnsi="Times New Roman" w:eastAsia="仿宋" w:cs="Times New Roman"/>
                <w:color w:val="auto"/>
                <w:kern w:val="0"/>
                <w:sz w:val="24"/>
                <w:szCs w:val="22"/>
                <w:highlight w:val="none"/>
                <w:lang w:val="en-US" w:eastAsia="zh-CN" w:bidi="ar-SA"/>
              </w:rPr>
              <w:t>影响。</w:t>
            </w:r>
          </w:p>
          <w:p w14:paraId="06500297">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②对金坛长荡湖国家湿地公园（试点）的影响</w:t>
            </w:r>
          </w:p>
          <w:p w14:paraId="2D6D0990">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金坛长荡湖国家湿地公园（试点）主导生态功能为湿地生态系统保护，本项目</w:t>
            </w:r>
            <w:r>
              <w:rPr>
                <w:rFonts w:hint="eastAsia" w:eastAsia="仿宋" w:cs="Times New Roman"/>
                <w:color w:val="auto"/>
                <w:kern w:val="0"/>
                <w:sz w:val="24"/>
                <w:szCs w:val="22"/>
                <w:highlight w:val="none"/>
                <w:lang w:val="en-US" w:eastAsia="zh-CN" w:bidi="ar-SA"/>
              </w:rPr>
              <w:t>对</w:t>
            </w:r>
            <w:r>
              <w:rPr>
                <w:rFonts w:hint="default" w:ascii="Times New Roman" w:hAnsi="Times New Roman" w:eastAsia="仿宋" w:cs="Times New Roman"/>
                <w:color w:val="auto"/>
                <w:kern w:val="0"/>
                <w:sz w:val="24"/>
                <w:szCs w:val="22"/>
                <w:highlight w:val="none"/>
                <w:lang w:val="en-US" w:eastAsia="zh-CN" w:bidi="ar-SA"/>
              </w:rPr>
              <w:t>水下施工区域的水生生态</w:t>
            </w:r>
            <w:r>
              <w:rPr>
                <w:rFonts w:hint="eastAsia" w:eastAsia="仿宋" w:cs="Times New Roman"/>
                <w:color w:val="auto"/>
                <w:kern w:val="0"/>
                <w:sz w:val="24"/>
                <w:szCs w:val="22"/>
                <w:highlight w:val="none"/>
                <w:lang w:val="en-US" w:eastAsia="zh-CN" w:bidi="ar-SA"/>
              </w:rPr>
              <w:t>有一定影响</w:t>
            </w:r>
            <w:r>
              <w:rPr>
                <w:rFonts w:hint="default" w:ascii="Times New Roman" w:hAnsi="Times New Roman" w:eastAsia="仿宋" w:cs="Times New Roman"/>
                <w:color w:val="auto"/>
                <w:kern w:val="0"/>
                <w:sz w:val="24"/>
                <w:szCs w:val="22"/>
                <w:highlight w:val="none"/>
                <w:lang w:val="en-US" w:eastAsia="zh-CN" w:bidi="ar-SA"/>
              </w:rPr>
              <w:t>，水下施工导致该部分水体中的浮游动植物、底栖生物群落结构破坏，鱼类逃避到长荡湖其他未施工区域。通过水生植物</w:t>
            </w:r>
            <w:r>
              <w:rPr>
                <w:rFonts w:hint="eastAsia" w:eastAsia="仿宋" w:cs="Times New Roman"/>
                <w:color w:val="auto"/>
                <w:kern w:val="0"/>
                <w:sz w:val="24"/>
                <w:szCs w:val="22"/>
                <w:highlight w:val="none"/>
                <w:lang w:val="en-US" w:eastAsia="zh-CN" w:bidi="ar-SA"/>
              </w:rPr>
              <w:t>及鱼苗</w:t>
            </w:r>
            <w:r>
              <w:rPr>
                <w:rFonts w:hint="default" w:ascii="Times New Roman" w:hAnsi="Times New Roman" w:eastAsia="仿宋" w:cs="Times New Roman"/>
                <w:color w:val="auto"/>
                <w:kern w:val="0"/>
                <w:sz w:val="24"/>
                <w:szCs w:val="22"/>
                <w:highlight w:val="none"/>
                <w:lang w:val="en-US" w:eastAsia="zh-CN" w:bidi="ar-SA"/>
              </w:rPr>
              <w:t>投放，</w:t>
            </w:r>
            <w:r>
              <w:rPr>
                <w:rFonts w:hint="eastAsia" w:eastAsia="仿宋" w:cs="Times New Roman"/>
                <w:color w:val="auto"/>
                <w:kern w:val="0"/>
                <w:sz w:val="24"/>
                <w:szCs w:val="22"/>
                <w:highlight w:val="none"/>
                <w:lang w:val="en-US" w:eastAsia="zh-CN" w:bidi="ar-SA"/>
              </w:rPr>
              <w:t>可</w:t>
            </w:r>
            <w:r>
              <w:rPr>
                <w:rFonts w:hint="default" w:ascii="Times New Roman" w:hAnsi="Times New Roman" w:eastAsia="仿宋" w:cs="Times New Roman"/>
                <w:color w:val="auto"/>
                <w:kern w:val="0"/>
                <w:sz w:val="24"/>
                <w:szCs w:val="22"/>
                <w:highlight w:val="none"/>
                <w:lang w:val="en-US" w:eastAsia="zh-CN" w:bidi="ar-SA"/>
              </w:rPr>
              <w:t>使</w:t>
            </w:r>
            <w:r>
              <w:rPr>
                <w:rFonts w:hint="eastAsia" w:eastAsia="仿宋" w:cs="Times New Roman"/>
                <w:color w:val="auto"/>
                <w:kern w:val="0"/>
                <w:sz w:val="24"/>
                <w:szCs w:val="22"/>
                <w:highlight w:val="none"/>
                <w:lang w:val="en-US" w:eastAsia="zh-CN" w:bidi="ar-SA"/>
              </w:rPr>
              <w:t>影响范围内</w:t>
            </w:r>
            <w:r>
              <w:rPr>
                <w:rFonts w:hint="default" w:ascii="Times New Roman" w:hAnsi="Times New Roman" w:eastAsia="仿宋" w:cs="Times New Roman"/>
                <w:color w:val="auto"/>
                <w:kern w:val="0"/>
                <w:sz w:val="24"/>
                <w:szCs w:val="22"/>
                <w:highlight w:val="none"/>
                <w:lang w:val="en-US" w:eastAsia="zh-CN" w:bidi="ar-SA"/>
              </w:rPr>
              <w:t>群落结构</w:t>
            </w:r>
            <w:r>
              <w:rPr>
                <w:rFonts w:hint="eastAsia" w:eastAsia="仿宋" w:cs="Times New Roman"/>
                <w:color w:val="auto"/>
                <w:kern w:val="0"/>
                <w:sz w:val="24"/>
                <w:szCs w:val="22"/>
                <w:highlight w:val="none"/>
                <w:lang w:val="en-US" w:eastAsia="zh-CN" w:bidi="ar-SA"/>
              </w:rPr>
              <w:t>恢复</w:t>
            </w:r>
            <w:r>
              <w:rPr>
                <w:rFonts w:hint="default" w:ascii="Times New Roman" w:hAnsi="Times New Roman" w:eastAsia="仿宋" w:cs="Times New Roman"/>
                <w:color w:val="auto"/>
                <w:kern w:val="0"/>
                <w:sz w:val="24"/>
                <w:szCs w:val="22"/>
                <w:highlight w:val="none"/>
                <w:lang w:val="en-US" w:eastAsia="zh-CN" w:bidi="ar-SA"/>
              </w:rPr>
              <w:t>平衡，故本项目建设</w:t>
            </w:r>
            <w:r>
              <w:rPr>
                <w:rFonts w:hint="eastAsia" w:eastAsia="仿宋" w:cs="Times New Roman"/>
                <w:color w:val="auto"/>
                <w:kern w:val="0"/>
                <w:sz w:val="24"/>
                <w:szCs w:val="22"/>
                <w:highlight w:val="none"/>
                <w:lang w:val="en-US" w:eastAsia="zh-CN" w:bidi="ar-SA"/>
              </w:rPr>
              <w:t>可将</w:t>
            </w:r>
            <w:r>
              <w:rPr>
                <w:rFonts w:hint="default" w:ascii="Times New Roman" w:hAnsi="Times New Roman" w:eastAsia="仿宋" w:cs="Times New Roman"/>
                <w:color w:val="auto"/>
                <w:kern w:val="0"/>
                <w:sz w:val="24"/>
                <w:szCs w:val="22"/>
                <w:highlight w:val="none"/>
                <w:lang w:val="en-US" w:eastAsia="zh-CN" w:bidi="ar-SA"/>
              </w:rPr>
              <w:t>湿地生态系统的不利影响</w:t>
            </w:r>
            <w:r>
              <w:rPr>
                <w:rFonts w:hint="eastAsia" w:eastAsia="仿宋" w:cs="Times New Roman"/>
                <w:color w:val="auto"/>
                <w:kern w:val="0"/>
                <w:sz w:val="24"/>
                <w:szCs w:val="22"/>
                <w:highlight w:val="none"/>
                <w:lang w:val="en-US" w:eastAsia="zh-CN" w:bidi="ar-SA"/>
              </w:rPr>
              <w:t>限制</w:t>
            </w:r>
            <w:r>
              <w:rPr>
                <w:rFonts w:hint="default" w:ascii="Times New Roman" w:hAnsi="Times New Roman" w:eastAsia="仿宋" w:cs="Times New Roman"/>
                <w:color w:val="auto"/>
                <w:kern w:val="0"/>
                <w:sz w:val="24"/>
                <w:szCs w:val="22"/>
                <w:highlight w:val="none"/>
                <w:lang w:val="en-US" w:eastAsia="zh-CN" w:bidi="ar-SA"/>
              </w:rPr>
              <w:t>在施工期，项目</w:t>
            </w:r>
            <w:r>
              <w:rPr>
                <w:rFonts w:hint="eastAsia" w:eastAsia="仿宋" w:cs="Times New Roman"/>
                <w:color w:val="auto"/>
                <w:kern w:val="0"/>
                <w:sz w:val="24"/>
                <w:szCs w:val="22"/>
                <w:highlight w:val="none"/>
                <w:lang w:val="en-US" w:eastAsia="zh-CN" w:bidi="ar-SA"/>
              </w:rPr>
              <w:t>运营期无污染排放</w:t>
            </w:r>
            <w:r>
              <w:rPr>
                <w:rFonts w:hint="default" w:ascii="Times New Roman" w:hAnsi="Times New Roman" w:eastAsia="仿宋" w:cs="Times New Roman"/>
                <w:color w:val="auto"/>
                <w:kern w:val="0"/>
                <w:sz w:val="24"/>
                <w:szCs w:val="22"/>
                <w:highlight w:val="none"/>
                <w:lang w:val="en-US" w:eastAsia="zh-CN" w:bidi="ar-SA"/>
              </w:rPr>
              <w:t>，不会导致水生生物生物多样性的减少。</w:t>
            </w:r>
          </w:p>
          <w:p w14:paraId="7B8C988E">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工程评价范围内鸟类的栖息地主要为长荡湖湖区和岸边的湿地植被覆盖区。水下施工将扰动到鸟类栖息地。鸟类善飞翔、具有很强的迁移能力，同时野生动物迁移能力较强，很容易迁徙到施工段以外的栖息地，故对评价范围内的鸟类物影响不大。</w:t>
            </w:r>
          </w:p>
          <w:p w14:paraId="6DCF45A1">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本项目水下施工对水体扰动较小，且主要污染物为悬浮物，污染量较小，迁移距离较短，对湿地植被群落及生物生境影响可逆，</w:t>
            </w:r>
            <w:r>
              <w:rPr>
                <w:rFonts w:hint="default" w:ascii="Times New Roman" w:hAnsi="Times New Roman" w:eastAsia="仿宋" w:cs="Times New Roman"/>
                <w:color w:val="auto"/>
                <w:kern w:val="0"/>
                <w:sz w:val="24"/>
                <w:szCs w:val="22"/>
                <w:highlight w:val="none"/>
                <w:lang w:val="en-US" w:eastAsia="zh-CN" w:bidi="ar-SA"/>
              </w:rPr>
              <w:t>施工结束后，湿地植被群落和生物生境逐渐修复</w:t>
            </w:r>
            <w:r>
              <w:rPr>
                <w:rFonts w:hint="eastAsia" w:eastAsia="仿宋" w:cs="Times New Roman"/>
                <w:color w:val="auto"/>
                <w:kern w:val="0"/>
                <w:sz w:val="24"/>
                <w:szCs w:val="22"/>
                <w:highlight w:val="none"/>
                <w:lang w:val="en-US" w:eastAsia="zh-CN" w:bidi="ar-SA"/>
              </w:rPr>
              <w:t>，项目运营期无污染排放，不会破坏湖区生物多样性。</w:t>
            </w:r>
          </w:p>
          <w:p w14:paraId="4DC634F0">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③对长荡湖国家级水产种质资源保护区的影响</w:t>
            </w:r>
          </w:p>
          <w:p w14:paraId="76FF9341">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长荡湖水产种质资源保护区保护对象为青虾。</w:t>
            </w:r>
          </w:p>
          <w:p w14:paraId="20FBEB98">
            <w:pPr>
              <w:keepNext w:val="0"/>
              <w:keepLines w:val="0"/>
              <w:widowControl/>
              <w:suppressLineNumbers w:val="0"/>
              <w:jc w:val="left"/>
              <w:rPr>
                <w:rFonts w:hint="default"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对生活习性及栖息环境影响：本项目建设地点距离保护区4.5km，项目产生的主要污染物为悬浮物，湖区河床平坦，平均水深仅3m，水流速度较慢，根据相关研究，丰水期流速可达28.9cm/s，在仅考虑水动力作用条件下，悬浮物的最大迁移距离为：</w:t>
            </w:r>
          </w:p>
          <w:p w14:paraId="44636865">
            <w:pPr>
              <w:pStyle w:val="2"/>
              <w:rPr>
                <w:rFonts w:hint="default" w:hAnsi="Cambria Math" w:cs="Cambria Math"/>
                <w:b/>
                <w:bCs/>
                <w:i w:val="0"/>
                <w:kern w:val="2"/>
                <w:sz w:val="28"/>
                <w:szCs w:val="30"/>
                <w:lang w:val="en-US" w:eastAsia="zh-CN" w:bidi="ar-SA"/>
              </w:rPr>
            </w:pPr>
            <m:oMathPara>
              <m:oMath>
                <m:sSub>
                  <m:sSubPr>
                    <m:ctrlPr>
                      <w:rPr>
                        <w:rFonts w:hint="eastAsia" w:ascii="Cambria Math" w:hAnsi="Cambria Math" w:eastAsia="仿宋" w:cs="Times New Roman"/>
                        <w:b/>
                        <w:bCs/>
                        <w:color w:val="auto"/>
                        <w:kern w:val="0"/>
                        <w:sz w:val="24"/>
                        <w:szCs w:val="22"/>
                        <w:highlight w:val="none"/>
                        <w:lang w:val="en-US" w:eastAsia="zh-CN" w:bidi="ar-SA"/>
                      </w:rPr>
                    </m:ctrlPr>
                  </m:sSubPr>
                  <m:e>
                    <m:r>
                      <m:rPr>
                        <m:sty m:val="b"/>
                      </m:rPr>
                      <w:rPr>
                        <w:rFonts w:hint="default" w:ascii="Cambria Math" w:hAnsi="Cambria Math" w:eastAsia="仿宋" w:cs="Times New Roman"/>
                        <w:color w:val="auto"/>
                        <w:kern w:val="0"/>
                        <w:sz w:val="24"/>
                        <w:szCs w:val="22"/>
                        <w:highlight w:val="none"/>
                        <w:lang w:val="en-US" w:eastAsia="zh-CN" w:bidi="ar-SA"/>
                      </w:rPr>
                      <m:t>D</m:t>
                    </m:r>
                    <m:ctrlPr>
                      <w:rPr>
                        <w:rFonts w:hint="eastAsia" w:ascii="Cambria Math" w:hAnsi="Cambria Math" w:eastAsia="仿宋" w:cs="Times New Roman"/>
                        <w:b/>
                        <w:bCs/>
                        <w:color w:val="auto"/>
                        <w:kern w:val="0"/>
                        <w:sz w:val="24"/>
                        <w:szCs w:val="22"/>
                        <w:highlight w:val="none"/>
                        <w:lang w:val="en-US" w:eastAsia="zh-CN" w:bidi="ar-SA"/>
                      </w:rPr>
                    </m:ctrlPr>
                  </m:e>
                  <m:sub>
                    <m:r>
                      <m:rPr>
                        <m:sty m:val="b"/>
                      </m:rPr>
                      <w:rPr>
                        <w:rFonts w:hint="default" w:ascii="Cambria Math" w:hAnsi="Cambria Math" w:eastAsia="仿宋" w:cs="Times New Roman"/>
                        <w:color w:val="auto"/>
                        <w:kern w:val="0"/>
                        <w:sz w:val="24"/>
                        <w:szCs w:val="22"/>
                        <w:highlight w:val="none"/>
                        <w:lang w:val="en-US" w:eastAsia="zh-CN" w:bidi="ar-SA"/>
                      </w:rPr>
                      <m:t>max</m:t>
                    </m:r>
                    <m:ctrlPr>
                      <w:rPr>
                        <w:rFonts w:hint="eastAsia" w:ascii="Cambria Math" w:hAnsi="Cambria Math" w:eastAsia="仿宋" w:cs="Times New Roman"/>
                        <w:b/>
                        <w:bCs/>
                        <w:color w:val="auto"/>
                        <w:kern w:val="0"/>
                        <w:sz w:val="24"/>
                        <w:szCs w:val="22"/>
                        <w:highlight w:val="none"/>
                        <w:lang w:val="en-US" w:eastAsia="zh-CN" w:bidi="ar-SA"/>
                      </w:rPr>
                    </m:ctrlPr>
                  </m:sub>
                </m:sSub>
                <m:r>
                  <m:rPr>
                    <m:sty m:val="b"/>
                  </m:rPr>
                  <w:rPr>
                    <w:rFonts w:hint="default" w:ascii="Cambria Math" w:hAnsi="Cambria Math" w:eastAsia="仿宋" w:cs="Times New Roman"/>
                    <w:color w:val="auto"/>
                    <w:kern w:val="0"/>
                    <w:sz w:val="24"/>
                    <w:szCs w:val="22"/>
                    <w:highlight w:val="none"/>
                    <w:lang w:val="en-US" w:eastAsia="zh-CN" w:bidi="ar-SA"/>
                  </w:rPr>
                  <m:t>=</m:t>
                </m:r>
                <m:f>
                  <m:fPr>
                    <m:ctrlPr>
                      <w:rPr>
                        <w:rFonts w:hint="default" w:ascii="Cambria Math" w:hAnsi="Cambria Math" w:eastAsia="仿宋" w:cs="Times New Roman"/>
                        <w:b/>
                        <w:bCs/>
                        <w:color w:val="auto"/>
                        <w:kern w:val="0"/>
                        <w:sz w:val="24"/>
                        <w:szCs w:val="22"/>
                        <w:highlight w:val="none"/>
                        <w:lang w:val="en-US" w:eastAsia="zh-CN" w:bidi="ar-SA"/>
                      </w:rPr>
                    </m:ctrlPr>
                  </m:fPr>
                  <m:num>
                    <m:r>
                      <m:rPr>
                        <m:sty m:val="b"/>
                      </m:rPr>
                      <w:rPr>
                        <w:rFonts w:hint="default" w:ascii="Cambria Math" w:hAnsi="Cambria Math" w:eastAsia="仿宋" w:cs="Times New Roman"/>
                        <w:color w:val="auto"/>
                        <w:kern w:val="0"/>
                        <w:sz w:val="24"/>
                        <w:szCs w:val="22"/>
                        <w:highlight w:val="none"/>
                        <w:lang w:val="en-US" w:eastAsia="zh-CN" w:bidi="ar-SA"/>
                      </w:rPr>
                      <m:t>h</m:t>
                    </m:r>
                    <m:ctrlPr>
                      <w:rPr>
                        <w:rFonts w:hint="default" w:ascii="Cambria Math" w:hAnsi="Cambria Math" w:eastAsia="仿宋" w:cs="Times New Roman"/>
                        <w:b/>
                        <w:bCs/>
                        <w:color w:val="auto"/>
                        <w:kern w:val="0"/>
                        <w:sz w:val="24"/>
                        <w:szCs w:val="22"/>
                        <w:highlight w:val="none"/>
                        <w:lang w:val="en-US" w:eastAsia="zh-CN" w:bidi="ar-SA"/>
                      </w:rPr>
                    </m:ctrlPr>
                  </m:num>
                  <m:den>
                    <m:sSub>
                      <m:sSubPr>
                        <m:ctrlPr>
                          <w:rPr>
                            <w:rFonts w:hint="default" w:ascii="Cambria Math" w:hAnsi="Cambria Math" w:eastAsia="仿宋" w:cs="Times New Roman"/>
                            <w:b/>
                            <w:bCs/>
                            <w:color w:val="auto"/>
                            <w:kern w:val="0"/>
                            <w:sz w:val="24"/>
                            <w:szCs w:val="22"/>
                            <w:highlight w:val="none"/>
                            <w:lang w:val="en-US" w:eastAsia="zh-CN" w:bidi="ar-SA"/>
                          </w:rPr>
                        </m:ctrlPr>
                      </m:sSubPr>
                      <m:e>
                        <m:r>
                          <m:rPr>
                            <m:sty m:val="b"/>
                          </m:rPr>
                          <w:rPr>
                            <w:rFonts w:hint="default" w:ascii="Cambria Math" w:hAnsi="Cambria Math" w:eastAsia="仿宋" w:cs="Times New Roman"/>
                            <w:color w:val="auto"/>
                            <w:kern w:val="0"/>
                            <w:sz w:val="24"/>
                            <w:szCs w:val="22"/>
                            <w:highlight w:val="none"/>
                            <w:lang w:val="en-US" w:eastAsia="zh-CN" w:bidi="ar-SA"/>
                          </w:rPr>
                          <m:t>u</m:t>
                        </m:r>
                        <m:ctrlPr>
                          <w:rPr>
                            <w:rFonts w:hint="default" w:ascii="Cambria Math" w:hAnsi="Cambria Math" w:eastAsia="仿宋" w:cs="Times New Roman"/>
                            <w:b/>
                            <w:bCs/>
                            <w:color w:val="auto"/>
                            <w:kern w:val="0"/>
                            <w:sz w:val="24"/>
                            <w:szCs w:val="22"/>
                            <w:highlight w:val="none"/>
                            <w:lang w:val="en-US" w:eastAsia="zh-CN" w:bidi="ar-SA"/>
                          </w:rPr>
                        </m:ctrlPr>
                      </m:e>
                      <m:sub>
                        <m:r>
                          <m:rPr>
                            <m:sty m:val="b"/>
                          </m:rPr>
                          <w:rPr>
                            <w:rFonts w:hint="default" w:ascii="Cambria Math" w:hAnsi="Cambria Math" w:eastAsia="仿宋" w:cs="Times New Roman"/>
                            <w:color w:val="auto"/>
                            <w:kern w:val="0"/>
                            <w:sz w:val="24"/>
                            <w:szCs w:val="22"/>
                            <w:highlight w:val="none"/>
                            <w:lang w:val="en-US" w:eastAsia="zh-CN" w:bidi="ar-SA"/>
                          </w:rPr>
                          <m:t>h</m:t>
                        </m:r>
                        <m:ctrlPr>
                          <w:rPr>
                            <w:rFonts w:hint="default" w:ascii="Cambria Math" w:hAnsi="Cambria Math" w:eastAsia="仿宋" w:cs="Times New Roman"/>
                            <w:b/>
                            <w:bCs/>
                            <w:color w:val="auto"/>
                            <w:kern w:val="0"/>
                            <w:sz w:val="24"/>
                            <w:szCs w:val="22"/>
                            <w:highlight w:val="none"/>
                            <w:lang w:val="en-US" w:eastAsia="zh-CN" w:bidi="ar-SA"/>
                          </w:rPr>
                        </m:ctrlPr>
                      </m:sub>
                    </m:sSub>
                    <m:ctrlPr>
                      <w:rPr>
                        <w:rFonts w:hint="default" w:ascii="Cambria Math" w:hAnsi="Cambria Math" w:eastAsia="仿宋" w:cs="Times New Roman"/>
                        <w:b/>
                        <w:bCs/>
                        <w:color w:val="auto"/>
                        <w:kern w:val="0"/>
                        <w:sz w:val="24"/>
                        <w:szCs w:val="22"/>
                        <w:highlight w:val="none"/>
                        <w:lang w:val="en-US" w:eastAsia="zh-CN" w:bidi="ar-SA"/>
                      </w:rPr>
                    </m:ctrlPr>
                  </m:den>
                </m:f>
                <m:r>
                  <m:rPr>
                    <m:sty m:val="b"/>
                  </m:rPr>
                  <w:rPr>
                    <w:rFonts w:hint="eastAsia" w:ascii="Cambria Math" w:hAnsi="Cambria Math" w:eastAsia="仿宋" w:cs="Times New Roman"/>
                    <w:color w:val="auto"/>
                    <w:kern w:val="0"/>
                    <w:sz w:val="24"/>
                    <w:szCs w:val="22"/>
                    <w:highlight w:val="none"/>
                    <w:lang w:val="en-US" w:eastAsia="zh-CN" w:bidi="ar-SA"/>
                  </w:rPr>
                  <m:t>∙</m:t>
                </m:r>
                <m:sSub>
                  <m:sSubPr>
                    <m:ctrlPr>
                      <w:rPr>
                        <w:rFonts w:hint="default" w:ascii="Cambria Math" w:hAnsi="Cambria Math" w:eastAsia="仿宋" w:cs="Times New Roman"/>
                        <w:b/>
                        <w:bCs/>
                        <w:color w:val="auto"/>
                        <w:kern w:val="0"/>
                        <w:sz w:val="24"/>
                        <w:szCs w:val="22"/>
                        <w:highlight w:val="none"/>
                        <w:lang w:val="en-US" w:eastAsia="zh-CN" w:bidi="ar-SA"/>
                      </w:rPr>
                    </m:ctrlPr>
                  </m:sSubPr>
                  <m:e>
                    <m:r>
                      <m:rPr>
                        <m:sty m:val="b"/>
                      </m:rPr>
                      <w:rPr>
                        <w:rFonts w:hint="default" w:ascii="Cambria Math" w:hAnsi="Cambria Math" w:eastAsia="仿宋" w:cs="Times New Roman"/>
                        <w:color w:val="auto"/>
                        <w:kern w:val="0"/>
                        <w:sz w:val="24"/>
                        <w:szCs w:val="22"/>
                        <w:highlight w:val="none"/>
                        <w:lang w:val="en-US" w:eastAsia="zh-CN" w:bidi="ar-SA"/>
                      </w:rPr>
                      <m:t>u</m:t>
                    </m:r>
                    <m:ctrlPr>
                      <w:rPr>
                        <w:rFonts w:hint="default" w:ascii="Cambria Math" w:hAnsi="Cambria Math" w:eastAsia="仿宋" w:cs="Times New Roman"/>
                        <w:b/>
                        <w:bCs/>
                        <w:color w:val="auto"/>
                        <w:kern w:val="0"/>
                        <w:sz w:val="24"/>
                        <w:szCs w:val="22"/>
                        <w:highlight w:val="none"/>
                        <w:lang w:val="en-US" w:eastAsia="zh-CN" w:bidi="ar-SA"/>
                      </w:rPr>
                    </m:ctrlPr>
                  </m:e>
                  <m:sub>
                    <m:r>
                      <m:rPr>
                        <m:sty m:val="b"/>
                      </m:rPr>
                      <w:rPr>
                        <w:rFonts w:hint="default" w:ascii="Cambria Math" w:hAnsi="Cambria Math" w:eastAsia="仿宋" w:cs="Times New Roman"/>
                        <w:color w:val="auto"/>
                        <w:kern w:val="0"/>
                        <w:sz w:val="24"/>
                        <w:szCs w:val="22"/>
                        <w:highlight w:val="none"/>
                        <w:lang w:val="en-US" w:eastAsia="zh-CN" w:bidi="ar-SA"/>
                      </w:rPr>
                      <m:t>d</m:t>
                    </m:r>
                    <m:ctrlPr>
                      <w:rPr>
                        <w:rFonts w:hint="default" w:ascii="Cambria Math" w:hAnsi="Cambria Math" w:eastAsia="仿宋" w:cs="Times New Roman"/>
                        <w:b/>
                        <w:bCs/>
                        <w:color w:val="auto"/>
                        <w:kern w:val="0"/>
                        <w:sz w:val="24"/>
                        <w:szCs w:val="22"/>
                        <w:highlight w:val="none"/>
                        <w:lang w:val="en-US" w:eastAsia="zh-CN" w:bidi="ar-SA"/>
                      </w:rPr>
                    </m:ctrlPr>
                  </m:sub>
                </m:sSub>
              </m:oMath>
            </m:oMathPara>
          </w:p>
          <w:p w14:paraId="04527DFD">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其中D</w:t>
            </w:r>
            <w:r>
              <w:rPr>
                <w:rFonts w:hint="eastAsia" w:eastAsia="仿宋" w:cs="Times New Roman"/>
                <w:color w:val="auto"/>
                <w:kern w:val="0"/>
                <w:sz w:val="24"/>
                <w:szCs w:val="22"/>
                <w:highlight w:val="none"/>
                <w:vertAlign w:val="subscript"/>
                <w:lang w:val="en-US" w:eastAsia="zh-CN" w:bidi="ar-SA"/>
              </w:rPr>
              <w:t>max</w:t>
            </w:r>
            <w:r>
              <w:rPr>
                <w:rFonts w:hint="eastAsia" w:eastAsia="仿宋" w:cs="Times New Roman"/>
                <w:color w:val="auto"/>
                <w:kern w:val="0"/>
                <w:sz w:val="24"/>
                <w:szCs w:val="22"/>
                <w:highlight w:val="none"/>
                <w:lang w:val="en-US" w:eastAsia="zh-CN" w:bidi="ar-SA"/>
              </w:rPr>
              <w:t>为最大迁移距离，h为水深，u</w:t>
            </w:r>
            <w:r>
              <w:rPr>
                <w:rFonts w:hint="eastAsia" w:eastAsia="仿宋" w:cs="Times New Roman"/>
                <w:color w:val="auto"/>
                <w:kern w:val="0"/>
                <w:sz w:val="24"/>
                <w:szCs w:val="22"/>
                <w:highlight w:val="none"/>
                <w:vertAlign w:val="subscript"/>
                <w:lang w:val="en-US" w:eastAsia="zh-CN" w:bidi="ar-SA"/>
              </w:rPr>
              <w:t>d</w:t>
            </w:r>
            <w:r>
              <w:rPr>
                <w:rFonts w:hint="eastAsia" w:eastAsia="仿宋" w:cs="Times New Roman"/>
                <w:color w:val="auto"/>
                <w:kern w:val="0"/>
                <w:sz w:val="24"/>
                <w:szCs w:val="22"/>
                <w:highlight w:val="none"/>
                <w:lang w:val="en-US" w:eastAsia="zh-CN" w:bidi="ar-SA"/>
              </w:rPr>
              <w:t>为水平迁移速率，u</w:t>
            </w:r>
            <w:r>
              <w:rPr>
                <w:rFonts w:hint="eastAsia" w:eastAsia="仿宋" w:cs="Times New Roman"/>
                <w:color w:val="auto"/>
                <w:kern w:val="0"/>
                <w:sz w:val="24"/>
                <w:szCs w:val="22"/>
                <w:highlight w:val="none"/>
                <w:vertAlign w:val="subscript"/>
                <w:lang w:val="en-US" w:eastAsia="zh-CN" w:bidi="ar-SA"/>
              </w:rPr>
              <w:t>h</w:t>
            </w:r>
            <w:r>
              <w:rPr>
                <w:rFonts w:hint="eastAsia" w:eastAsia="仿宋" w:cs="Times New Roman"/>
                <w:color w:val="auto"/>
                <w:kern w:val="0"/>
                <w:sz w:val="24"/>
                <w:szCs w:val="22"/>
                <w:highlight w:val="none"/>
                <w:lang w:val="en-US" w:eastAsia="zh-CN" w:bidi="ar-SA"/>
              </w:rPr>
              <w:t>为垂直沉降速率，由斯托克斯静水颗粒自由沉淀公式可知：</w:t>
            </w:r>
          </w:p>
          <w:p w14:paraId="3B8D3E46">
            <w:pPr>
              <w:pStyle w:val="2"/>
              <w:rPr>
                <w:rFonts w:hint="eastAsia" w:ascii="Cambria Math" w:hAnsi="Cambria Math" w:cstheme="minorBidi"/>
                <w:b w:val="0"/>
                <w:bCs w:val="0"/>
                <w:kern w:val="2"/>
                <w:sz w:val="28"/>
                <w:szCs w:val="30"/>
                <w:lang w:val="en-US" w:eastAsia="zh-CN" w:bidi="ar-SA"/>
              </w:rPr>
            </w:pPr>
            <m:oMathPara>
              <m:oMath>
                <m:sSub>
                  <m:sSubPr>
                    <m:ctrlPr>
                      <w:rPr>
                        <w:rFonts w:hint="default" w:ascii="Cambria Math" w:hAnsi="Cambria Math" w:cs="Cambria Math"/>
                        <w:b/>
                        <w:bCs/>
                        <w:kern w:val="2"/>
                        <w:sz w:val="28"/>
                        <w:szCs w:val="30"/>
                        <w:lang w:val="en-US" w:eastAsia="zh-CN" w:bidi="ar-SA"/>
                      </w:rPr>
                    </m:ctrlPr>
                  </m:sSubPr>
                  <m:e>
                    <m:r>
                      <m:rPr>
                        <m:sty m:val="b"/>
                      </m:rPr>
                      <w:rPr>
                        <w:rFonts w:hint="default" w:ascii="Cambria Math" w:hAnsi="Cambria Math" w:cs="Cambria Math"/>
                        <w:kern w:val="2"/>
                        <w:sz w:val="28"/>
                        <w:szCs w:val="30"/>
                        <w:lang w:val="en-US" w:eastAsia="zh-CN" w:bidi="ar-SA"/>
                      </w:rPr>
                      <m:t>u</m:t>
                    </m:r>
                    <m:ctrlPr>
                      <w:rPr>
                        <w:rFonts w:hint="default" w:ascii="Cambria Math" w:hAnsi="Cambria Math" w:cs="Cambria Math"/>
                        <w:b/>
                        <w:bCs/>
                        <w:kern w:val="2"/>
                        <w:sz w:val="28"/>
                        <w:szCs w:val="30"/>
                        <w:lang w:val="en-US" w:eastAsia="zh-CN" w:bidi="ar-SA"/>
                      </w:rPr>
                    </m:ctrlPr>
                  </m:e>
                  <m:sub>
                    <m:r>
                      <m:rPr>
                        <m:sty m:val="b"/>
                      </m:rPr>
                      <w:rPr>
                        <w:rFonts w:hint="default" w:ascii="Cambria Math" w:hAnsi="Cambria Math" w:cs="Cambria Math"/>
                        <w:kern w:val="2"/>
                        <w:sz w:val="28"/>
                        <w:szCs w:val="30"/>
                        <w:lang w:val="en-US" w:eastAsia="zh-CN" w:bidi="ar-SA"/>
                      </w:rPr>
                      <m:t>h</m:t>
                    </m:r>
                    <m:ctrlPr>
                      <w:rPr>
                        <w:rFonts w:hint="default" w:ascii="Cambria Math" w:hAnsi="Cambria Math" w:cs="Cambria Math"/>
                        <w:b/>
                        <w:bCs/>
                        <w:kern w:val="2"/>
                        <w:sz w:val="28"/>
                        <w:szCs w:val="30"/>
                        <w:lang w:val="en-US" w:eastAsia="zh-CN" w:bidi="ar-SA"/>
                      </w:rPr>
                    </m:ctrlPr>
                  </m:sub>
                </m:sSub>
                <m:r>
                  <m:rPr>
                    <m:sty m:val="p"/>
                  </m:rPr>
                  <w:rPr>
                    <w:rFonts w:hint="default" w:ascii="Cambria Math" w:hAnsi="Cambria Math" w:eastAsia="仿宋" w:cs="Times New Roman"/>
                    <w:color w:val="auto"/>
                    <w:kern w:val="0"/>
                    <w:sz w:val="24"/>
                    <w:szCs w:val="22"/>
                    <w:highlight w:val="none"/>
                    <w:lang w:val="en-US" w:eastAsia="zh-CN" w:bidi="ar-SA"/>
                  </w:rPr>
                  <m:t>=</m:t>
                </m:r>
                <m:f>
                  <m:fPr>
                    <m:ctrlPr>
                      <w:rPr>
                        <w:rFonts w:hint="default" w:ascii="Cambria Math" w:hAnsi="Cambria Math" w:eastAsia="仿宋" w:cs="Times New Roman"/>
                        <w:b w:val="0"/>
                        <w:bCs w:val="0"/>
                        <w:color w:val="auto"/>
                        <w:kern w:val="0"/>
                        <w:sz w:val="24"/>
                        <w:szCs w:val="22"/>
                        <w:highlight w:val="none"/>
                        <w:lang w:val="en-US" w:eastAsia="zh-CN" w:bidi="ar-SA"/>
                      </w:rPr>
                    </m:ctrlPr>
                  </m:fPr>
                  <m:num>
                    <m:r>
                      <m:rPr>
                        <m:sty m:val="b"/>
                      </m:rPr>
                      <w:rPr>
                        <w:rFonts w:hint="default" w:ascii="Cambria Math" w:hAnsi="Cambria Math" w:eastAsia="仿宋" w:cs="Times New Roman"/>
                        <w:color w:val="auto"/>
                        <w:kern w:val="0"/>
                        <w:sz w:val="24"/>
                        <w:szCs w:val="22"/>
                        <w:highlight w:val="none"/>
                        <w:lang w:val="en-US" w:eastAsia="zh-CN" w:bidi="ar-SA"/>
                      </w:rPr>
                      <m:t>g∙</m:t>
                    </m:r>
                    <m:sSup>
                      <m:sSupPr>
                        <m:ctrlPr>
                          <w:rPr>
                            <w:rFonts w:hint="default" w:ascii="Cambria Math" w:hAnsi="Cambria Math" w:eastAsia="仿宋" w:cs="Times New Roman"/>
                            <w:b/>
                            <w:bCs/>
                            <w:color w:val="auto"/>
                            <w:kern w:val="0"/>
                            <w:sz w:val="24"/>
                            <w:szCs w:val="22"/>
                            <w:highlight w:val="none"/>
                            <w:lang w:val="en-US" w:eastAsia="zh-CN" w:bidi="ar-SA"/>
                          </w:rPr>
                        </m:ctrlPr>
                      </m:sSupPr>
                      <m:e>
                        <m:r>
                          <m:rPr>
                            <m:sty m:val="b"/>
                          </m:rPr>
                          <w:rPr>
                            <w:rFonts w:hint="default" w:ascii="Cambria Math" w:hAnsi="Cambria Math" w:eastAsia="仿宋" w:cs="Times New Roman"/>
                            <w:color w:val="auto"/>
                            <w:kern w:val="0"/>
                            <w:sz w:val="24"/>
                            <w:szCs w:val="22"/>
                            <w:highlight w:val="none"/>
                            <w:lang w:val="en-US" w:eastAsia="zh-CN" w:bidi="ar-SA"/>
                          </w:rPr>
                          <m:t>d</m:t>
                        </m:r>
                        <m:ctrlPr>
                          <w:rPr>
                            <w:rFonts w:hint="default" w:ascii="Cambria Math" w:hAnsi="Cambria Math" w:eastAsia="仿宋" w:cs="Times New Roman"/>
                            <w:b/>
                            <w:bCs/>
                            <w:color w:val="auto"/>
                            <w:kern w:val="0"/>
                            <w:sz w:val="24"/>
                            <w:szCs w:val="22"/>
                            <w:highlight w:val="none"/>
                            <w:lang w:val="en-US" w:eastAsia="zh-CN" w:bidi="ar-SA"/>
                          </w:rPr>
                        </m:ctrlPr>
                      </m:e>
                      <m:sup>
                        <m:r>
                          <m:rPr>
                            <m:sty m:val="b"/>
                          </m:rPr>
                          <w:rPr>
                            <w:rFonts w:hint="default" w:ascii="Cambria Math" w:hAnsi="Cambria Math" w:eastAsia="仿宋" w:cs="Times New Roman"/>
                            <w:color w:val="auto"/>
                            <w:kern w:val="0"/>
                            <w:sz w:val="24"/>
                            <w:szCs w:val="22"/>
                            <w:highlight w:val="none"/>
                            <w:lang w:val="en-US" w:eastAsia="zh-CN" w:bidi="ar-SA"/>
                          </w:rPr>
                          <m:t>2</m:t>
                        </m:r>
                        <m:ctrlPr>
                          <w:rPr>
                            <w:rFonts w:hint="default" w:ascii="Cambria Math" w:hAnsi="Cambria Math" w:eastAsia="仿宋" w:cs="Times New Roman"/>
                            <w:b/>
                            <w:bCs/>
                            <w:color w:val="auto"/>
                            <w:kern w:val="0"/>
                            <w:sz w:val="24"/>
                            <w:szCs w:val="22"/>
                            <w:highlight w:val="none"/>
                            <w:lang w:val="en-US" w:eastAsia="zh-CN" w:bidi="ar-SA"/>
                          </w:rPr>
                        </m:ctrlPr>
                      </m:sup>
                    </m:sSup>
                    <m:r>
                      <m:rPr>
                        <m:sty m:val="p"/>
                      </m:rPr>
                      <w:rPr>
                        <w:rFonts w:hint="eastAsia" w:ascii="Cambria Math" w:hAnsi="Cambria Math" w:eastAsia="仿宋" w:cs="Times New Roman"/>
                        <w:color w:val="auto"/>
                        <w:kern w:val="0"/>
                        <w:sz w:val="24"/>
                        <w:szCs w:val="22"/>
                        <w:highlight w:val="none"/>
                        <w:lang w:val="en-US" w:eastAsia="zh-CN" w:bidi="ar-SA"/>
                      </w:rPr>
                      <m:t>∙</m:t>
                    </m:r>
                    <m:d>
                      <m:dPr>
                        <m:ctrlPr>
                          <w:rPr>
                            <w:rFonts w:hint="eastAsia" w:ascii="Cambria Math" w:hAnsi="Cambria Math" w:eastAsia="仿宋" w:cs="Times New Roman"/>
                            <w:b w:val="0"/>
                            <w:bCs w:val="0"/>
                            <w:color w:val="auto"/>
                            <w:kern w:val="0"/>
                            <w:sz w:val="24"/>
                            <w:szCs w:val="22"/>
                            <w:highlight w:val="none"/>
                            <w:lang w:val="en-US" w:eastAsia="zh-CN" w:bidi="ar-SA"/>
                          </w:rPr>
                        </m:ctrlPr>
                      </m:dPr>
                      <m:e>
                        <m:sSub>
                          <m:sSubPr>
                            <m:ctrlPr>
                              <w:rPr>
                                <w:rFonts w:hint="eastAsia" w:ascii="Cambria Math" w:hAnsi="Cambria Math" w:eastAsia="仿宋" w:cs="Times New Roman"/>
                                <w:b/>
                                <w:bCs/>
                                <w:color w:val="auto"/>
                                <w:kern w:val="0"/>
                                <w:sz w:val="24"/>
                                <w:szCs w:val="22"/>
                                <w:highlight w:val="none"/>
                                <w:lang w:val="en-US" w:eastAsia="zh-CN" w:bidi="ar-SA"/>
                              </w:rPr>
                            </m:ctrlPr>
                          </m:sSubPr>
                          <m:e>
                            <m:r>
                              <m:rPr>
                                <m:sty m:val="b"/>
                              </m:rPr>
                              <w:rPr>
                                <w:rFonts w:hint="default" w:ascii="Cambria Math" w:hAnsi="Cambria Math" w:eastAsia="仿宋" w:cs="Times New Roman"/>
                                <w:color w:val="auto"/>
                                <w:kern w:val="0"/>
                                <w:sz w:val="24"/>
                                <w:szCs w:val="22"/>
                                <w:highlight w:val="none"/>
                                <w:lang w:val="en-US" w:eastAsia="zh-CN" w:bidi="ar-SA"/>
                              </w:rPr>
                              <m:t>ρ</m:t>
                            </m:r>
                            <m:ctrlPr>
                              <w:rPr>
                                <w:rFonts w:hint="eastAsia" w:ascii="Cambria Math" w:hAnsi="Cambria Math" w:eastAsia="仿宋" w:cs="Times New Roman"/>
                                <w:b/>
                                <w:bCs/>
                                <w:color w:val="auto"/>
                                <w:kern w:val="0"/>
                                <w:sz w:val="24"/>
                                <w:szCs w:val="22"/>
                                <w:highlight w:val="none"/>
                                <w:lang w:val="en-US" w:eastAsia="zh-CN" w:bidi="ar-SA"/>
                              </w:rPr>
                            </m:ctrlPr>
                          </m:e>
                          <m:sub>
                            <m:r>
                              <m:rPr>
                                <m:sty m:val="b"/>
                              </m:rPr>
                              <w:rPr>
                                <w:rFonts w:hint="default" w:ascii="Cambria Math" w:hAnsi="Cambria Math" w:eastAsia="仿宋" w:cs="Times New Roman"/>
                                <w:color w:val="auto"/>
                                <w:kern w:val="0"/>
                                <w:sz w:val="24"/>
                                <w:szCs w:val="22"/>
                                <w:highlight w:val="none"/>
                                <w:lang w:val="en-US" w:eastAsia="zh-CN" w:bidi="ar-SA"/>
                              </w:rPr>
                              <m:t>s</m:t>
                            </m:r>
                            <m:ctrlPr>
                              <w:rPr>
                                <w:rFonts w:hint="eastAsia" w:ascii="Cambria Math" w:hAnsi="Cambria Math" w:eastAsia="仿宋" w:cs="Times New Roman"/>
                                <w:b/>
                                <w:bCs/>
                                <w:color w:val="auto"/>
                                <w:kern w:val="0"/>
                                <w:sz w:val="24"/>
                                <w:szCs w:val="22"/>
                                <w:highlight w:val="none"/>
                                <w:lang w:val="en-US" w:eastAsia="zh-CN" w:bidi="ar-SA"/>
                              </w:rPr>
                            </m:ctrlPr>
                          </m:sub>
                        </m:sSub>
                        <m:r>
                          <m:rPr>
                            <m:sty m:val="b"/>
                          </m:rPr>
                          <w:rPr>
                            <w:rFonts w:hint="default" w:ascii="Cambria Math" w:hAnsi="Cambria Math" w:eastAsia="仿宋" w:cs="Times New Roman"/>
                            <w:color w:val="auto"/>
                            <w:kern w:val="0"/>
                            <w:sz w:val="24"/>
                            <w:szCs w:val="22"/>
                            <w:highlight w:val="none"/>
                            <w:lang w:val="en-US" w:eastAsia="zh-CN" w:bidi="ar-SA"/>
                          </w:rPr>
                          <m:t>−</m:t>
                        </m:r>
                        <m:sSub>
                          <m:sSubPr>
                            <m:ctrlPr>
                              <w:rPr>
                                <w:rFonts w:hint="default" w:ascii="Cambria Math" w:hAnsi="Cambria Math" w:eastAsia="仿宋" w:cs="Times New Roman"/>
                                <w:b/>
                                <w:bCs/>
                                <w:color w:val="auto"/>
                                <w:kern w:val="0"/>
                                <w:sz w:val="24"/>
                                <w:szCs w:val="22"/>
                                <w:highlight w:val="none"/>
                                <w:lang w:val="en-US" w:eastAsia="zh-CN" w:bidi="ar-SA"/>
                              </w:rPr>
                            </m:ctrlPr>
                          </m:sSubPr>
                          <m:e>
                            <m:r>
                              <m:rPr>
                                <m:sty m:val="b"/>
                              </m:rPr>
                              <w:rPr>
                                <w:rFonts w:hint="default" w:ascii="Cambria Math" w:hAnsi="Cambria Math" w:eastAsia="仿宋" w:cs="Times New Roman"/>
                                <w:color w:val="auto"/>
                                <w:kern w:val="0"/>
                                <w:sz w:val="24"/>
                                <w:szCs w:val="22"/>
                                <w:highlight w:val="none"/>
                                <w:lang w:val="en-US" w:eastAsia="zh-CN" w:bidi="ar-SA"/>
                              </w:rPr>
                              <m:t>ρ</m:t>
                            </m:r>
                            <m:ctrlPr>
                              <w:rPr>
                                <w:rFonts w:hint="default" w:ascii="Cambria Math" w:hAnsi="Cambria Math" w:eastAsia="仿宋" w:cs="Times New Roman"/>
                                <w:b/>
                                <w:bCs/>
                                <w:color w:val="auto"/>
                                <w:kern w:val="0"/>
                                <w:sz w:val="24"/>
                                <w:szCs w:val="22"/>
                                <w:highlight w:val="none"/>
                                <w:lang w:val="en-US" w:eastAsia="zh-CN" w:bidi="ar-SA"/>
                              </w:rPr>
                            </m:ctrlPr>
                          </m:e>
                          <m:sub>
                            <m:r>
                              <m:rPr>
                                <m:sty m:val="b"/>
                              </m:rPr>
                              <w:rPr>
                                <w:rFonts w:hint="default" w:ascii="Cambria Math" w:hAnsi="Cambria Math" w:eastAsia="仿宋" w:cs="Times New Roman"/>
                                <w:color w:val="auto"/>
                                <w:kern w:val="0"/>
                                <w:sz w:val="24"/>
                                <w:szCs w:val="22"/>
                                <w:highlight w:val="none"/>
                                <w:lang w:val="en-US" w:eastAsia="zh-CN" w:bidi="ar-SA"/>
                              </w:rPr>
                              <m:t>l</m:t>
                            </m:r>
                            <m:ctrlPr>
                              <w:rPr>
                                <w:rFonts w:hint="default" w:ascii="Cambria Math" w:hAnsi="Cambria Math" w:eastAsia="仿宋" w:cs="Times New Roman"/>
                                <w:b/>
                                <w:bCs/>
                                <w:color w:val="auto"/>
                                <w:kern w:val="0"/>
                                <w:sz w:val="24"/>
                                <w:szCs w:val="22"/>
                                <w:highlight w:val="none"/>
                                <w:lang w:val="en-US" w:eastAsia="zh-CN" w:bidi="ar-SA"/>
                              </w:rPr>
                            </m:ctrlPr>
                          </m:sub>
                        </m:sSub>
                        <m:ctrlPr>
                          <w:rPr>
                            <w:rFonts w:hint="eastAsia" w:ascii="Cambria Math" w:hAnsi="Cambria Math" w:eastAsia="仿宋" w:cs="Times New Roman"/>
                            <w:b w:val="0"/>
                            <w:bCs w:val="0"/>
                            <w:color w:val="auto"/>
                            <w:kern w:val="0"/>
                            <w:sz w:val="24"/>
                            <w:szCs w:val="22"/>
                            <w:highlight w:val="none"/>
                            <w:lang w:val="en-US" w:eastAsia="zh-CN" w:bidi="ar-SA"/>
                          </w:rPr>
                        </m:ctrlPr>
                      </m:e>
                    </m:d>
                    <m:ctrlPr>
                      <w:rPr>
                        <w:rFonts w:hint="default" w:ascii="Cambria Math" w:hAnsi="Cambria Math" w:eastAsia="仿宋" w:cs="Times New Roman"/>
                        <w:b w:val="0"/>
                        <w:bCs w:val="0"/>
                        <w:color w:val="auto"/>
                        <w:kern w:val="0"/>
                        <w:sz w:val="24"/>
                        <w:szCs w:val="22"/>
                        <w:highlight w:val="none"/>
                        <w:lang w:val="en-US" w:eastAsia="zh-CN" w:bidi="ar-SA"/>
                      </w:rPr>
                    </m:ctrlPr>
                  </m:num>
                  <m:den>
                    <m:r>
                      <m:rPr>
                        <m:sty m:val="b"/>
                      </m:rPr>
                      <w:rPr>
                        <w:rFonts w:hint="default" w:ascii="Cambria Math" w:hAnsi="Cambria Math" w:eastAsia="仿宋" w:cs="Times New Roman"/>
                        <w:color w:val="auto"/>
                        <w:kern w:val="0"/>
                        <w:sz w:val="24"/>
                        <w:szCs w:val="22"/>
                        <w:highlight w:val="none"/>
                        <w:lang w:val="en-US" w:eastAsia="zh-CN" w:bidi="ar-SA"/>
                      </w:rPr>
                      <m:t>18</m:t>
                    </m:r>
                    <m:r>
                      <m:rPr>
                        <m:sty m:val="p"/>
                      </m:rPr>
                      <w:rPr>
                        <w:rFonts w:hint="eastAsia" w:ascii="Cambria Math" w:hAnsi="Cambria Math" w:eastAsia="仿宋" w:cs="Times New Roman"/>
                        <w:color w:val="auto"/>
                        <w:kern w:val="0"/>
                        <w:sz w:val="24"/>
                        <w:szCs w:val="22"/>
                        <w:highlight w:val="none"/>
                        <w:lang w:val="en-US" w:eastAsia="zh-CN" w:bidi="ar-SA"/>
                      </w:rPr>
                      <m:t>∙</m:t>
                    </m:r>
                    <m:r>
                      <m:rPr>
                        <m:sty m:val="b"/>
                      </m:rPr>
                      <w:rPr>
                        <w:rFonts w:hint="default" w:ascii="Cambria Math" w:hAnsi="Cambria Math" w:eastAsia="仿宋" w:cs="Times New Roman"/>
                        <w:color w:val="auto"/>
                        <w:kern w:val="0"/>
                        <w:sz w:val="24"/>
                        <w:szCs w:val="22"/>
                        <w:highlight w:val="none"/>
                        <w:lang w:val="en-US" w:eastAsia="zh-CN" w:bidi="ar-SA"/>
                      </w:rPr>
                      <m:t>μ</m:t>
                    </m:r>
                    <m:ctrlPr>
                      <w:rPr>
                        <w:rFonts w:hint="default" w:ascii="Cambria Math" w:hAnsi="Cambria Math" w:eastAsia="仿宋" w:cs="Times New Roman"/>
                        <w:b w:val="0"/>
                        <w:bCs w:val="0"/>
                        <w:color w:val="auto"/>
                        <w:kern w:val="0"/>
                        <w:sz w:val="24"/>
                        <w:szCs w:val="22"/>
                        <w:highlight w:val="none"/>
                        <w:lang w:val="en-US" w:eastAsia="zh-CN" w:bidi="ar-SA"/>
                      </w:rPr>
                    </m:ctrlPr>
                  </m:den>
                </m:f>
              </m:oMath>
            </m:oMathPara>
          </w:p>
          <w:p w14:paraId="14E74B70">
            <w:pPr>
              <w:keepNext w:val="0"/>
              <w:keepLines w:val="0"/>
              <w:widowControl/>
              <w:suppressLineNumbers w:val="0"/>
              <w:jc w:val="left"/>
              <w:rPr>
                <w:rFonts w:hint="default" w:ascii="Cambria Math" w:hAnsi="Cambria Math" w:eastAsia="仿宋" w:cs="Cambria Math"/>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其中g为重力加速度，取980 cm/s</w:t>
            </w:r>
            <w:r>
              <w:rPr>
                <w:rFonts w:hint="eastAsia" w:eastAsia="仿宋" w:cs="Times New Roman"/>
                <w:color w:val="auto"/>
                <w:kern w:val="0"/>
                <w:sz w:val="24"/>
                <w:szCs w:val="22"/>
                <w:highlight w:val="none"/>
                <w:vertAlign w:val="superscript"/>
                <w:lang w:val="en-US" w:eastAsia="zh-CN" w:bidi="ar-SA"/>
              </w:rPr>
              <w:t>2</w:t>
            </w:r>
            <w:r>
              <w:rPr>
                <w:rFonts w:hint="eastAsia" w:eastAsia="仿宋" w:cs="Times New Roman"/>
                <w:color w:val="auto"/>
                <w:kern w:val="0"/>
                <w:sz w:val="24"/>
                <w:szCs w:val="22"/>
                <w:highlight w:val="none"/>
                <w:lang w:val="en-US" w:eastAsia="zh-CN" w:bidi="ar-SA"/>
              </w:rPr>
              <w:t>，d为悬浮物粒径，取0.01cm，</w:t>
            </w:r>
            <w:r>
              <w:rPr>
                <w:rFonts w:hint="default" w:ascii="Cambria Math" w:hAnsi="Cambria Math" w:eastAsia="仿宋" w:cs="Cambria Math"/>
                <w:color w:val="auto"/>
                <w:kern w:val="0"/>
                <w:sz w:val="24"/>
                <w:szCs w:val="22"/>
                <w:highlight w:val="none"/>
                <w:lang w:val="en-US" w:eastAsia="zh-CN" w:bidi="ar-SA"/>
              </w:rPr>
              <w:t>ρ</w:t>
            </w:r>
            <w:r>
              <w:rPr>
                <w:rFonts w:hint="default" w:ascii="Cambria Math" w:hAnsi="Cambria Math" w:eastAsia="仿宋" w:cs="Cambria Math"/>
                <w:color w:val="auto"/>
                <w:kern w:val="0"/>
                <w:sz w:val="24"/>
                <w:szCs w:val="22"/>
                <w:highlight w:val="none"/>
                <w:vertAlign w:val="subscript"/>
                <w:lang w:val="en-US" w:eastAsia="zh-CN" w:bidi="ar-SA"/>
              </w:rPr>
              <w:t>s</w:t>
            </w:r>
            <w:r>
              <w:rPr>
                <w:rFonts w:hint="eastAsia" w:eastAsia="仿宋" w:cs="Times New Roman"/>
                <w:color w:val="auto"/>
                <w:kern w:val="0"/>
                <w:sz w:val="24"/>
                <w:szCs w:val="22"/>
                <w:highlight w:val="none"/>
                <w:lang w:val="en-US" w:eastAsia="zh-CN" w:bidi="ar-SA"/>
              </w:rPr>
              <w:t>为悬浮物密度，取2.2g/cm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w:t>
            </w:r>
            <w:r>
              <w:rPr>
                <w:rFonts w:hint="default" w:ascii="Cambria Math" w:hAnsi="Cambria Math" w:eastAsia="仿宋" w:cs="Cambria Math"/>
                <w:color w:val="auto"/>
                <w:kern w:val="0"/>
                <w:sz w:val="24"/>
                <w:szCs w:val="22"/>
                <w:highlight w:val="none"/>
                <w:lang w:val="en-US" w:eastAsia="zh-CN" w:bidi="ar-SA"/>
              </w:rPr>
              <w:t>ρ</w:t>
            </w:r>
            <w:r>
              <w:rPr>
                <w:rFonts w:hint="eastAsia" w:ascii="Cambria Math" w:hAnsi="Cambria Math" w:eastAsia="仿宋" w:cs="Cambria Math"/>
                <w:color w:val="auto"/>
                <w:kern w:val="0"/>
                <w:sz w:val="24"/>
                <w:szCs w:val="22"/>
                <w:highlight w:val="none"/>
                <w:vertAlign w:val="subscript"/>
                <w:lang w:val="en-US" w:eastAsia="zh-CN" w:bidi="ar-SA"/>
              </w:rPr>
              <w:t>l</w:t>
            </w:r>
            <w:r>
              <w:rPr>
                <w:rFonts w:hint="eastAsia" w:eastAsia="仿宋" w:cs="Times New Roman"/>
                <w:color w:val="auto"/>
                <w:kern w:val="0"/>
                <w:sz w:val="24"/>
                <w:szCs w:val="22"/>
                <w:highlight w:val="none"/>
                <w:lang w:val="en-US" w:eastAsia="zh-CN" w:bidi="ar-SA"/>
              </w:rPr>
              <w:t>为水密度，取1g/cm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w:t>
            </w:r>
            <w:r>
              <w:rPr>
                <w:rFonts w:hint="eastAsia" w:ascii="Cambria Math" w:hAnsi="Cambria Math" w:eastAsia="仿宋" w:cs="Cambria Math"/>
                <w:color w:val="auto"/>
                <w:kern w:val="0"/>
                <w:sz w:val="24"/>
                <w:szCs w:val="22"/>
                <w:highlight w:val="none"/>
                <w:lang w:val="en-US" w:eastAsia="zh-CN" w:bidi="ar-SA"/>
              </w:rPr>
              <w:t>μ为水力粘滞系数，取</w:t>
            </w:r>
            <w:r>
              <w:rPr>
                <w:rFonts w:hint="eastAsia" w:eastAsia="仿宋" w:cs="Times New Roman"/>
                <w:color w:val="auto"/>
                <w:kern w:val="0"/>
                <w:sz w:val="24"/>
                <w:szCs w:val="22"/>
                <w:highlight w:val="none"/>
                <w:lang w:val="en-US" w:eastAsia="zh-CN" w:bidi="ar-SA"/>
              </w:rPr>
              <w:t>1</w:t>
            </w:r>
            <w:r>
              <w:rPr>
                <w:rFonts w:hint="eastAsia" w:ascii="Cambria Math" w:hAnsi="Cambria Math" w:eastAsia="仿宋" w:cs="Cambria Math"/>
                <w:color w:val="auto"/>
                <w:kern w:val="0"/>
                <w:sz w:val="24"/>
                <w:szCs w:val="22"/>
                <w:highlight w:val="none"/>
                <w:lang w:val="en-US" w:eastAsia="zh-CN" w:bidi="ar-SA"/>
              </w:rPr>
              <w:t>。</w:t>
            </w:r>
          </w:p>
          <w:p w14:paraId="6B85D64B">
            <w:pPr>
              <w:keepNext w:val="0"/>
              <w:keepLines w:val="0"/>
              <w:widowControl/>
              <w:suppressLineNumbers w:val="0"/>
              <w:jc w:val="left"/>
              <w:rPr>
                <w:rFonts w:hint="eastAsia" w:ascii="Cambria Math" w:hAnsi="Cambria Math" w:eastAsia="仿宋" w:cs="Cambria Math"/>
                <w:color w:val="auto"/>
                <w:kern w:val="0"/>
                <w:sz w:val="24"/>
                <w:szCs w:val="22"/>
                <w:highlight w:val="none"/>
                <w:lang w:val="en-US" w:eastAsia="zh-CN" w:bidi="ar-SA"/>
              </w:rPr>
            </w:pPr>
            <w:r>
              <w:rPr>
                <w:rFonts w:hint="eastAsia" w:ascii="Cambria Math" w:hAnsi="Cambria Math" w:eastAsia="仿宋" w:cs="Cambria Math"/>
                <w:color w:val="auto"/>
                <w:kern w:val="0"/>
                <w:sz w:val="24"/>
                <w:szCs w:val="22"/>
                <w:highlight w:val="none"/>
                <w:lang w:val="en-US" w:eastAsia="zh-CN" w:bidi="ar-SA"/>
              </w:rPr>
              <w:t>由上式可知，悬浮物水动力迁移距离最大为</w:t>
            </w:r>
            <w:r>
              <w:rPr>
                <w:rFonts w:hint="eastAsia" w:eastAsia="仿宋" w:cs="Times New Roman"/>
                <w:color w:val="auto"/>
                <w:kern w:val="0"/>
                <w:sz w:val="24"/>
                <w:szCs w:val="22"/>
                <w:highlight w:val="none"/>
                <w:lang w:val="en-US" w:eastAsia="zh-CN" w:bidi="ar-SA"/>
              </w:rPr>
              <w:t>13.3 km</w:t>
            </w:r>
            <w:r>
              <w:rPr>
                <w:rFonts w:hint="eastAsia" w:ascii="Cambria Math" w:hAnsi="Cambria Math" w:eastAsia="仿宋" w:cs="Cambria Math"/>
                <w:color w:val="auto"/>
                <w:kern w:val="0"/>
                <w:sz w:val="24"/>
                <w:szCs w:val="22"/>
                <w:highlight w:val="none"/>
                <w:lang w:val="en-US" w:eastAsia="zh-CN" w:bidi="ar-SA"/>
              </w:rPr>
              <w:t>。</w:t>
            </w:r>
          </w:p>
          <w:p w14:paraId="45031293">
            <w:pPr>
              <w:keepNext w:val="0"/>
              <w:keepLines w:val="0"/>
              <w:widowControl/>
              <w:suppressLineNumbers w:val="0"/>
              <w:jc w:val="left"/>
              <w:rPr>
                <w:rFonts w:hint="default"/>
                <w:lang w:val="en-US" w:eastAsia="zh-CN"/>
              </w:rPr>
            </w:pPr>
            <w:r>
              <w:rPr>
                <w:rFonts w:hint="eastAsia" w:ascii="Cambria Math" w:hAnsi="Cambria Math" w:eastAsia="仿宋" w:cs="Cambria Math"/>
                <w:color w:val="auto"/>
                <w:kern w:val="0"/>
                <w:sz w:val="24"/>
                <w:szCs w:val="22"/>
                <w:highlight w:val="none"/>
                <w:lang w:val="en-US" w:eastAsia="zh-CN" w:bidi="ar-SA"/>
              </w:rPr>
              <w:t>根据溶质运移方程可知：</w:t>
            </w:r>
          </w:p>
          <w:p w14:paraId="216A6EDC">
            <w:pPr>
              <w:keepNext w:val="0"/>
              <w:keepLines w:val="0"/>
              <w:widowControl/>
              <w:suppressLineNumbers w:val="0"/>
              <w:jc w:val="left"/>
              <w:rPr>
                <w:rFonts w:hint="default" w:eastAsia="仿宋" w:cs="Times New Roman"/>
                <w:color w:val="auto"/>
                <w:kern w:val="0"/>
                <w:sz w:val="24"/>
                <w:szCs w:val="22"/>
                <w:highlight w:val="none"/>
                <w:lang w:val="en-US" w:eastAsia="zh-CN" w:bidi="ar-SA"/>
              </w:rPr>
            </w:pPr>
            <m:oMathPara>
              <m:oMath>
                <m:sSub>
                  <m:sSubPr>
                    <m:ctrlPr>
                      <w:rPr>
                        <w:rFonts w:hint="eastAsia" w:ascii="Cambria Math" w:hAnsi="Cambria Math" w:eastAsia="仿宋" w:cs="Times New Roman"/>
                        <w:i w:val="0"/>
                        <w:color w:val="auto"/>
                        <w:kern w:val="0"/>
                        <w:sz w:val="24"/>
                        <w:szCs w:val="22"/>
                        <w:highlight w:val="none"/>
                        <w:lang w:val="en-US" w:eastAsia="zh-CN" w:bidi="ar-SA"/>
                      </w:rPr>
                    </m:ctrlPr>
                  </m:sSubPr>
                  <m:e>
                    <m:r>
                      <m:rPr>
                        <m:sty m:val="p"/>
                      </m:rPr>
                      <w:rPr>
                        <w:rFonts w:hint="eastAsia" w:ascii="Cambria Math" w:hAnsi="Cambria Math" w:eastAsia="仿宋" w:cs="Times New Roman"/>
                        <w:color w:val="auto"/>
                        <w:kern w:val="0"/>
                        <w:sz w:val="24"/>
                        <w:szCs w:val="22"/>
                        <w:highlight w:val="none"/>
                        <w:lang w:val="en-US" w:eastAsia="zh-CN" w:bidi="ar-SA"/>
                      </w:rPr>
                      <m:t>d</m:t>
                    </m:r>
                    <m:ctrlPr>
                      <w:rPr>
                        <w:rFonts w:hint="eastAsia" w:ascii="Cambria Math" w:hAnsi="Cambria Math" w:eastAsia="仿宋" w:cs="Times New Roman"/>
                        <w:i w:val="0"/>
                        <w:color w:val="auto"/>
                        <w:kern w:val="0"/>
                        <w:sz w:val="24"/>
                        <w:szCs w:val="22"/>
                        <w:highlight w:val="none"/>
                        <w:lang w:val="en-US" w:eastAsia="zh-CN" w:bidi="ar-SA"/>
                      </w:rPr>
                    </m:ctrlPr>
                  </m:e>
                  <m:sub>
                    <m:r>
                      <m:rPr>
                        <m:sty m:val="p"/>
                      </m:rPr>
                      <w:rPr>
                        <w:rFonts w:hint="eastAsia" w:ascii="Cambria Math" w:hAnsi="Cambria Math" w:eastAsia="仿宋" w:cs="Times New Roman"/>
                        <w:color w:val="auto"/>
                        <w:kern w:val="0"/>
                        <w:sz w:val="24"/>
                        <w:szCs w:val="22"/>
                        <w:highlight w:val="none"/>
                        <w:lang w:val="en-US" w:eastAsia="zh-CN" w:bidi="ar-SA"/>
                      </w:rPr>
                      <m:t>max</m:t>
                    </m:r>
                    <m:ctrlPr>
                      <w:rPr>
                        <w:rFonts w:hint="eastAsia" w:ascii="Cambria Math" w:hAnsi="Cambria Math" w:eastAsia="仿宋" w:cs="Times New Roman"/>
                        <w:i w:val="0"/>
                        <w:color w:val="auto"/>
                        <w:kern w:val="0"/>
                        <w:sz w:val="24"/>
                        <w:szCs w:val="22"/>
                        <w:highlight w:val="none"/>
                        <w:lang w:val="en-US" w:eastAsia="zh-CN" w:bidi="ar-SA"/>
                      </w:rPr>
                    </m:ctrlPr>
                  </m:sub>
                </m:sSub>
                <m:r>
                  <m:rPr>
                    <m:sty m:val="p"/>
                  </m:rPr>
                  <w:rPr>
                    <w:rFonts w:hint="default" w:ascii="Cambria Math" w:hAnsi="Cambria Math" w:eastAsia="仿宋" w:cs="Times New Roman"/>
                    <w:color w:val="auto"/>
                    <w:kern w:val="0"/>
                    <w:sz w:val="24"/>
                    <w:szCs w:val="22"/>
                    <w:highlight w:val="none"/>
                    <w:lang w:val="en-US" w:eastAsia="zh-CN" w:bidi="ar-SA"/>
                  </w:rPr>
                  <m:t>=</m:t>
                </m:r>
                <m:sSub>
                  <m:sSubPr>
                    <m:ctrlPr>
                      <w:rPr>
                        <w:rFonts w:hint="default" w:ascii="Cambria Math" w:hAnsi="Cambria Math" w:eastAsia="仿宋" w:cs="Times New Roman"/>
                        <w:i w:val="0"/>
                        <w:color w:val="auto"/>
                        <w:kern w:val="0"/>
                        <w:sz w:val="24"/>
                        <w:szCs w:val="22"/>
                        <w:highlight w:val="none"/>
                        <w:lang w:val="en-US" w:eastAsia="zh-CN" w:bidi="ar-SA"/>
                      </w:rPr>
                    </m:ctrlPr>
                  </m:sSubPr>
                  <m:e>
                    <m:r>
                      <m:rPr>
                        <m:sty m:val="p"/>
                      </m:rPr>
                      <w:rPr>
                        <w:rFonts w:hint="eastAsia" w:ascii="Cambria Math" w:hAnsi="Cambria Math" w:eastAsia="仿宋" w:cs="Times New Roman"/>
                        <w:color w:val="auto"/>
                        <w:kern w:val="0"/>
                        <w:sz w:val="24"/>
                        <w:szCs w:val="22"/>
                        <w:highlight w:val="none"/>
                        <w:lang w:val="en-US" w:eastAsia="zh-CN" w:bidi="ar-SA"/>
                      </w:rPr>
                      <m:t>u</m:t>
                    </m:r>
                    <m:ctrlPr>
                      <w:rPr>
                        <w:rFonts w:hint="default" w:ascii="Cambria Math" w:hAnsi="Cambria Math" w:eastAsia="仿宋" w:cs="Times New Roman"/>
                        <w:i w:val="0"/>
                        <w:color w:val="auto"/>
                        <w:kern w:val="0"/>
                        <w:sz w:val="24"/>
                        <w:szCs w:val="22"/>
                        <w:highlight w:val="none"/>
                        <w:lang w:val="en-US" w:eastAsia="zh-CN" w:bidi="ar-SA"/>
                      </w:rPr>
                    </m:ctrlPr>
                  </m:e>
                  <m:sub>
                    <m:r>
                      <m:rPr>
                        <m:sty m:val="p"/>
                      </m:rPr>
                      <w:rPr>
                        <w:rFonts w:hint="eastAsia" w:ascii="Cambria Math" w:hAnsi="Cambria Math" w:eastAsia="仿宋" w:cs="Times New Roman"/>
                        <w:color w:val="auto"/>
                        <w:kern w:val="0"/>
                        <w:sz w:val="24"/>
                        <w:szCs w:val="22"/>
                        <w:highlight w:val="none"/>
                        <w:lang w:val="en-US" w:eastAsia="zh-CN" w:bidi="ar-SA"/>
                      </w:rPr>
                      <m:t>d</m:t>
                    </m:r>
                    <m:ctrlPr>
                      <w:rPr>
                        <w:rFonts w:hint="default" w:ascii="Cambria Math" w:hAnsi="Cambria Math" w:eastAsia="仿宋" w:cs="Times New Roman"/>
                        <w:color w:val="auto"/>
                        <w:kern w:val="0"/>
                        <w:sz w:val="24"/>
                        <w:szCs w:val="22"/>
                        <w:highlight w:val="none"/>
                        <w:lang w:val="en-US" w:eastAsia="zh-CN" w:bidi="ar-SA"/>
                      </w:rPr>
                    </m:ctrlPr>
                  </m:sub>
                </m:sSub>
                <m:r>
                  <m:rPr>
                    <m:sty m:val="p"/>
                  </m:rPr>
                  <w:rPr>
                    <w:rFonts w:ascii="Cambria Math" w:hAnsi="Cambria Math" w:cs="Times New Roman"/>
                    <w:color w:val="auto"/>
                    <w:kern w:val="0"/>
                    <w:sz w:val="24"/>
                    <w:szCs w:val="22"/>
                    <w:highlight w:val="none"/>
                    <w:lang w:val="en-US" w:bidi="ar-SA"/>
                  </w:rPr>
                  <m:t>∙</m:t>
                </m:r>
                <m:d>
                  <m:dPr>
                    <m:ctrlPr>
                      <w:rPr>
                        <w:rFonts w:hint="default" w:ascii="Cambria Math" w:hAnsi="Cambria Math" w:eastAsia="仿宋" w:cs="Times New Roman"/>
                        <w:i w:val="0"/>
                        <w:color w:val="auto"/>
                        <w:kern w:val="0"/>
                        <w:sz w:val="24"/>
                        <w:szCs w:val="22"/>
                        <w:highlight w:val="none"/>
                        <w:lang w:val="en-US" w:eastAsia="zh-CN" w:bidi="ar-SA"/>
                      </w:rPr>
                    </m:ctrlPr>
                  </m:dPr>
                  <m:e>
                    <m:f>
                      <m:fPr>
                        <m:ctrlPr>
                          <w:rPr>
                            <w:rFonts w:hint="default" w:ascii="Cambria Math" w:hAnsi="Cambria Math" w:eastAsia="仿宋" w:cs="Times New Roman"/>
                            <w:i w:val="0"/>
                            <w:color w:val="auto"/>
                            <w:kern w:val="0"/>
                            <w:sz w:val="24"/>
                            <w:szCs w:val="22"/>
                            <w:highlight w:val="none"/>
                            <w:lang w:val="en-US" w:eastAsia="zh-CN" w:bidi="ar-SA"/>
                          </w:rPr>
                        </m:ctrlPr>
                      </m:fPr>
                      <m:num>
                        <m:func>
                          <m:funcPr>
                            <m:ctrlPr>
                              <w:rPr>
                                <w:rFonts w:hint="default" w:ascii="Cambria Math" w:hAnsi="Cambria Math" w:eastAsia="仿宋" w:cs="Times New Roman"/>
                                <w:color w:val="auto"/>
                                <w:kern w:val="0"/>
                                <w:sz w:val="24"/>
                                <w:szCs w:val="22"/>
                                <w:highlight w:val="none"/>
                                <w:lang w:val="en-US" w:eastAsia="zh-CN" w:bidi="ar-SA"/>
                              </w:rPr>
                            </m:ctrlPr>
                          </m:funcPr>
                          <m:fName>
                            <m:r>
                              <m:rPr>
                                <m:sty m:val="p"/>
                              </m:rPr>
                              <w:rPr>
                                <w:rFonts w:ascii="Cambria Math" w:hAnsi="Cambria Math" w:cs="Times New Roman"/>
                                <w:color w:val="auto"/>
                                <w:kern w:val="0"/>
                                <w:sz w:val="24"/>
                                <w:szCs w:val="22"/>
                                <w:highlight w:val="none"/>
                                <w:lang w:val="en-US" w:bidi="ar-SA"/>
                              </w:rPr>
                              <m:t>ln</m:t>
                            </m:r>
                            <m:ctrlPr>
                              <w:rPr>
                                <w:rFonts w:hint="default" w:ascii="Cambria Math" w:hAnsi="Cambria Math" w:eastAsia="仿宋" w:cs="Times New Roman"/>
                                <w:i w:val="0"/>
                                <w:color w:val="auto"/>
                                <w:kern w:val="0"/>
                                <w:sz w:val="24"/>
                                <w:szCs w:val="22"/>
                                <w:highlight w:val="none"/>
                                <w:lang w:val="en-US" w:eastAsia="zh-CN" w:bidi="ar-SA"/>
                              </w:rPr>
                            </m:ctrlPr>
                          </m:fName>
                          <m:e>
                            <m:sSub>
                              <m:sSubPr>
                                <m:ctrlPr>
                                  <w:rPr>
                                    <w:rFonts w:hint="default" w:ascii="Cambria Math" w:hAnsi="Cambria Math" w:eastAsia="仿宋" w:cs="Times New Roman"/>
                                    <w:i w:val="0"/>
                                    <w:color w:val="auto"/>
                                    <w:kern w:val="0"/>
                                    <w:sz w:val="24"/>
                                    <w:szCs w:val="22"/>
                                    <w:highlight w:val="none"/>
                                    <w:lang w:val="en-US" w:eastAsia="zh-CN" w:bidi="ar-SA"/>
                                  </w:rPr>
                                </m:ctrlPr>
                              </m:sSubPr>
                              <m:e>
                                <m:r>
                                  <m:rPr>
                                    <m:sty m:val="p"/>
                                  </m:rPr>
                                  <w:rPr>
                                    <w:rFonts w:hint="eastAsia" w:ascii="Cambria Math" w:hAnsi="Cambria Math" w:eastAsia="仿宋" w:cs="Times New Roman"/>
                                    <w:color w:val="auto"/>
                                    <w:kern w:val="0"/>
                                    <w:sz w:val="24"/>
                                    <w:szCs w:val="22"/>
                                    <w:highlight w:val="none"/>
                                    <w:lang w:val="en-US" w:eastAsia="zh-CN" w:bidi="ar-SA"/>
                                  </w:rPr>
                                  <m:t>C</m:t>
                                </m:r>
                                <m:ctrlPr>
                                  <w:rPr>
                                    <w:rFonts w:hint="default" w:ascii="Cambria Math" w:hAnsi="Cambria Math" w:eastAsia="仿宋" w:cs="Times New Roman"/>
                                    <w:i w:val="0"/>
                                    <w:color w:val="auto"/>
                                    <w:kern w:val="0"/>
                                    <w:sz w:val="24"/>
                                    <w:szCs w:val="22"/>
                                    <w:highlight w:val="none"/>
                                    <w:lang w:val="en-US" w:eastAsia="zh-CN" w:bidi="ar-SA"/>
                                  </w:rPr>
                                </m:ctrlPr>
                              </m:e>
                              <m:sub>
                                <m:r>
                                  <m:rPr>
                                    <m:sty m:val="p"/>
                                  </m:rPr>
                                  <w:rPr>
                                    <w:rFonts w:hint="default" w:ascii="Cambria Math" w:hAnsi="Cambria Math" w:eastAsia="仿宋" w:cs="Times New Roman"/>
                                    <w:color w:val="auto"/>
                                    <w:kern w:val="0"/>
                                    <w:sz w:val="24"/>
                                    <w:szCs w:val="22"/>
                                    <w:highlight w:val="none"/>
                                    <w:lang w:val="en-US" w:eastAsia="zh-CN" w:bidi="ar-SA"/>
                                  </w:rPr>
                                  <m:t>0</m:t>
                                </m:r>
                                <m:ctrlPr>
                                  <w:rPr>
                                    <w:rFonts w:hint="default" w:ascii="Cambria Math" w:hAnsi="Cambria Math" w:eastAsia="仿宋" w:cs="Times New Roman"/>
                                    <w:i w:val="0"/>
                                    <w:color w:val="auto"/>
                                    <w:kern w:val="0"/>
                                    <w:sz w:val="24"/>
                                    <w:szCs w:val="22"/>
                                    <w:highlight w:val="none"/>
                                    <w:lang w:val="en-US" w:eastAsia="zh-CN" w:bidi="ar-SA"/>
                                  </w:rPr>
                                </m:ctrlPr>
                              </m:sub>
                            </m:sSub>
                            <m:r>
                              <m:rPr>
                                <m:sty m:val="p"/>
                              </m:rPr>
                              <w:rPr>
                                <w:rFonts w:hint="default" w:ascii="Cambria Math" w:hAnsi="Cambria Math" w:eastAsia="仿宋" w:cs="Times New Roman"/>
                                <w:color w:val="auto"/>
                                <w:kern w:val="0"/>
                                <w:sz w:val="24"/>
                                <w:szCs w:val="22"/>
                                <w:highlight w:val="none"/>
                                <w:lang w:val="en-US" w:eastAsia="zh-CN" w:bidi="ar-SA"/>
                              </w:rPr>
                              <m:t>−</m:t>
                            </m:r>
                            <m:func>
                              <m:funcPr>
                                <m:ctrlPr>
                                  <w:rPr>
                                    <w:rFonts w:hint="default" w:ascii="Cambria Math" w:hAnsi="Cambria Math" w:eastAsia="仿宋" w:cs="Times New Roman"/>
                                    <w:color w:val="auto"/>
                                    <w:kern w:val="0"/>
                                    <w:sz w:val="24"/>
                                    <w:szCs w:val="22"/>
                                    <w:highlight w:val="none"/>
                                    <w:lang w:val="en-US" w:eastAsia="zh-CN" w:bidi="ar-SA"/>
                                  </w:rPr>
                                </m:ctrlPr>
                              </m:funcPr>
                              <m:fName>
                                <m:r>
                                  <m:rPr>
                                    <m:sty m:val="p"/>
                                  </m:rPr>
                                  <w:rPr>
                                    <w:rFonts w:ascii="Cambria Math" w:hAnsi="Cambria Math" w:cs="Times New Roman"/>
                                    <w:color w:val="auto"/>
                                    <w:kern w:val="0"/>
                                    <w:sz w:val="24"/>
                                    <w:szCs w:val="22"/>
                                    <w:highlight w:val="none"/>
                                    <w:lang w:val="en-US" w:bidi="ar-SA"/>
                                  </w:rPr>
                                  <m:t>ln</m:t>
                                </m:r>
                                <m:ctrlPr>
                                  <w:rPr>
                                    <w:rFonts w:hint="default" w:ascii="Cambria Math" w:hAnsi="Cambria Math" w:eastAsia="仿宋" w:cs="Times New Roman"/>
                                    <w:i w:val="0"/>
                                    <w:color w:val="auto"/>
                                    <w:kern w:val="0"/>
                                    <w:sz w:val="24"/>
                                    <w:szCs w:val="22"/>
                                    <w:highlight w:val="none"/>
                                    <w:lang w:val="en-US" w:eastAsia="zh-CN" w:bidi="ar-SA"/>
                                  </w:rPr>
                                </m:ctrlPr>
                              </m:fName>
                              <m:e>
                                <m:sSub>
                                  <m:sSubPr>
                                    <m:ctrlPr>
                                      <w:rPr>
                                        <w:rFonts w:hint="eastAsia" w:ascii="Cambria Math" w:hAnsi="Cambria Math" w:eastAsia="仿宋" w:cs="Times New Roman"/>
                                        <w:b w:val="0"/>
                                        <w:i w:val="0"/>
                                        <w:color w:val="auto"/>
                                        <w:kern w:val="0"/>
                                        <w:sz w:val="24"/>
                                        <w:szCs w:val="22"/>
                                        <w:highlight w:val="none"/>
                                        <w:lang w:val="en-US" w:eastAsia="zh-CN" w:bidi="ar-SA"/>
                                      </w:rPr>
                                    </m:ctrlPr>
                                  </m:sSubPr>
                                  <m:e>
                                    <m:r>
                                      <m:rPr>
                                        <m:sty m:val="p"/>
                                      </m:rPr>
                                      <w:rPr>
                                        <w:rFonts w:hint="eastAsia" w:ascii="Cambria Math" w:hAnsi="Cambria Math" w:eastAsia="仿宋" w:cs="Times New Roman"/>
                                        <w:color w:val="auto"/>
                                        <w:kern w:val="0"/>
                                        <w:sz w:val="24"/>
                                        <w:szCs w:val="22"/>
                                        <w:highlight w:val="none"/>
                                        <w:lang w:val="en-US" w:eastAsia="zh-CN" w:bidi="ar-SA"/>
                                      </w:rPr>
                                      <m:t>C</m:t>
                                    </m:r>
                                    <m:ctrlPr>
                                      <w:rPr>
                                        <w:rFonts w:hint="eastAsia" w:ascii="Cambria Math" w:hAnsi="Cambria Math" w:eastAsia="仿宋" w:cs="Times New Roman"/>
                                        <w:b w:val="0"/>
                                        <w:i w:val="0"/>
                                        <w:color w:val="auto"/>
                                        <w:kern w:val="0"/>
                                        <w:sz w:val="24"/>
                                        <w:szCs w:val="22"/>
                                        <w:highlight w:val="none"/>
                                        <w:lang w:val="en-US" w:eastAsia="zh-CN" w:bidi="ar-SA"/>
                                      </w:rPr>
                                    </m:ctrlPr>
                                  </m:e>
                                  <m:sub>
                                    <m:r>
                                      <m:rPr>
                                        <m:sty m:val="p"/>
                                      </m:rPr>
                                      <w:rPr>
                                        <w:rFonts w:hint="eastAsia" w:ascii="Cambria Math" w:hAnsi="Cambria Math" w:eastAsia="仿宋" w:cs="Times New Roman"/>
                                        <w:color w:val="auto"/>
                                        <w:kern w:val="0"/>
                                        <w:sz w:val="24"/>
                                        <w:szCs w:val="22"/>
                                        <w:highlight w:val="none"/>
                                        <w:lang w:val="en-US" w:eastAsia="zh-CN" w:bidi="ar-SA"/>
                                      </w:rPr>
                                      <m:t>min</m:t>
                                    </m:r>
                                    <m:ctrlPr>
                                      <w:rPr>
                                        <w:rFonts w:hint="eastAsia" w:ascii="Cambria Math" w:hAnsi="Cambria Math" w:eastAsia="仿宋" w:cs="Times New Roman"/>
                                        <w:b w:val="0"/>
                                        <w:i w:val="0"/>
                                        <w:color w:val="auto"/>
                                        <w:kern w:val="0"/>
                                        <w:sz w:val="24"/>
                                        <w:szCs w:val="22"/>
                                        <w:highlight w:val="none"/>
                                        <w:lang w:val="en-US" w:eastAsia="zh-CN" w:bidi="ar-SA"/>
                                      </w:rPr>
                                    </m:ctrlPr>
                                  </m:sub>
                                </m:sSub>
                                <m:ctrlPr>
                                  <w:rPr>
                                    <w:rFonts w:hint="default" w:ascii="Cambria Math" w:hAnsi="Cambria Math" w:eastAsia="仿宋" w:cs="Times New Roman"/>
                                    <w:i w:val="0"/>
                                    <w:color w:val="auto"/>
                                    <w:kern w:val="0"/>
                                    <w:sz w:val="24"/>
                                    <w:szCs w:val="22"/>
                                    <w:highlight w:val="none"/>
                                    <w:lang w:val="en-US" w:eastAsia="zh-CN" w:bidi="ar-SA"/>
                                  </w:rPr>
                                </m:ctrlPr>
                              </m:e>
                            </m:func>
                            <m:ctrlPr>
                              <w:rPr>
                                <w:rFonts w:hint="default" w:ascii="Cambria Math" w:hAnsi="Cambria Math" w:eastAsia="仿宋" w:cs="Times New Roman"/>
                                <w:i w:val="0"/>
                                <w:color w:val="auto"/>
                                <w:kern w:val="0"/>
                                <w:sz w:val="24"/>
                                <w:szCs w:val="22"/>
                                <w:highlight w:val="none"/>
                                <w:lang w:val="en-US" w:eastAsia="zh-CN" w:bidi="ar-SA"/>
                              </w:rPr>
                            </m:ctrlPr>
                          </m:e>
                        </m:func>
                        <m:ctrlPr>
                          <w:rPr>
                            <w:rFonts w:hint="default" w:ascii="Cambria Math" w:hAnsi="Cambria Math" w:eastAsia="仿宋" w:cs="Times New Roman"/>
                            <w:i w:val="0"/>
                            <w:color w:val="auto"/>
                            <w:kern w:val="0"/>
                            <w:sz w:val="24"/>
                            <w:szCs w:val="22"/>
                            <w:highlight w:val="none"/>
                            <w:lang w:val="en-US" w:eastAsia="zh-CN" w:bidi="ar-SA"/>
                          </w:rPr>
                        </m:ctrlPr>
                      </m:num>
                      <m:den>
                        <m:sSub>
                          <m:sSubPr>
                            <m:ctrlPr>
                              <w:rPr>
                                <w:rFonts w:hint="default" w:ascii="Cambria Math" w:hAnsi="Cambria Math" w:eastAsia="仿宋" w:cs="Times New Roman"/>
                                <w:i w:val="0"/>
                                <w:color w:val="auto"/>
                                <w:kern w:val="0"/>
                                <w:sz w:val="24"/>
                                <w:szCs w:val="22"/>
                                <w:highlight w:val="none"/>
                                <w:lang w:val="en-US" w:eastAsia="zh-CN" w:bidi="ar-SA"/>
                              </w:rPr>
                            </m:ctrlPr>
                          </m:sSubPr>
                          <m:e>
                            <m:r>
                              <m:rPr>
                                <m:sty m:val="p"/>
                              </m:rPr>
                              <w:rPr>
                                <w:rFonts w:hint="eastAsia" w:ascii="Cambria Math" w:hAnsi="Cambria Math" w:eastAsia="仿宋" w:cs="Times New Roman"/>
                                <w:color w:val="auto"/>
                                <w:kern w:val="0"/>
                                <w:sz w:val="24"/>
                                <w:szCs w:val="22"/>
                                <w:highlight w:val="none"/>
                                <w:lang w:val="en-US" w:eastAsia="zh-CN" w:bidi="ar-SA"/>
                              </w:rPr>
                              <m:t>k</m:t>
                            </m:r>
                            <m:ctrlPr>
                              <w:rPr>
                                <w:rFonts w:hint="default" w:ascii="Cambria Math" w:hAnsi="Cambria Math" w:eastAsia="仿宋" w:cs="Times New Roman"/>
                                <w:i w:val="0"/>
                                <w:color w:val="auto"/>
                                <w:kern w:val="0"/>
                                <w:sz w:val="24"/>
                                <w:szCs w:val="22"/>
                                <w:highlight w:val="none"/>
                                <w:lang w:val="en-US" w:eastAsia="zh-CN" w:bidi="ar-SA"/>
                              </w:rPr>
                            </m:ctrlPr>
                          </m:e>
                          <m:sub>
                            <m:r>
                              <m:rPr>
                                <m:sty m:val="p"/>
                              </m:rPr>
                              <w:rPr>
                                <w:rFonts w:hint="eastAsia" w:ascii="Cambria Math" w:hAnsi="Cambria Math" w:eastAsia="仿宋" w:cs="Times New Roman"/>
                                <w:color w:val="auto"/>
                                <w:kern w:val="0"/>
                                <w:sz w:val="24"/>
                                <w:szCs w:val="22"/>
                                <w:highlight w:val="none"/>
                                <w:lang w:val="en-US" w:eastAsia="zh-CN" w:bidi="ar-SA"/>
                              </w:rPr>
                              <m:t>d</m:t>
                            </m:r>
                            <m:ctrlPr>
                              <w:rPr>
                                <w:rFonts w:hint="default" w:ascii="Cambria Math" w:hAnsi="Cambria Math" w:eastAsia="仿宋" w:cs="Times New Roman"/>
                                <w:i w:val="0"/>
                                <w:color w:val="auto"/>
                                <w:kern w:val="0"/>
                                <w:sz w:val="24"/>
                                <w:szCs w:val="22"/>
                                <w:highlight w:val="none"/>
                                <w:lang w:val="en-US" w:eastAsia="zh-CN" w:bidi="ar-SA"/>
                              </w:rPr>
                            </m:ctrlPr>
                          </m:sub>
                        </m:sSub>
                        <m:ctrlPr>
                          <w:rPr>
                            <w:rFonts w:hint="default" w:ascii="Cambria Math" w:hAnsi="Cambria Math" w:eastAsia="仿宋" w:cs="Times New Roman"/>
                            <w:i w:val="0"/>
                            <w:color w:val="auto"/>
                            <w:kern w:val="0"/>
                            <w:sz w:val="24"/>
                            <w:szCs w:val="22"/>
                            <w:highlight w:val="none"/>
                            <w:lang w:val="en-US" w:eastAsia="zh-CN" w:bidi="ar-SA"/>
                          </w:rPr>
                        </m:ctrlPr>
                      </m:den>
                    </m:f>
                    <m:ctrlPr>
                      <w:rPr>
                        <w:rFonts w:hint="default" w:ascii="Cambria Math" w:hAnsi="Cambria Math" w:eastAsia="仿宋" w:cs="Times New Roman"/>
                        <w:i w:val="0"/>
                        <w:color w:val="auto"/>
                        <w:kern w:val="0"/>
                        <w:sz w:val="24"/>
                        <w:szCs w:val="22"/>
                        <w:highlight w:val="none"/>
                        <w:lang w:val="en-US" w:eastAsia="zh-CN" w:bidi="ar-SA"/>
                      </w:rPr>
                    </m:ctrlPr>
                  </m:e>
                </m:d>
              </m:oMath>
            </m:oMathPara>
          </w:p>
          <w:p w14:paraId="15659695">
            <w:pPr>
              <w:keepNext w:val="0"/>
              <w:keepLines w:val="0"/>
              <w:widowControl/>
              <w:suppressLineNumbers w:val="0"/>
              <w:jc w:val="left"/>
              <w:rPr>
                <w:rFonts w:hint="eastAsia" w:eastAsia="仿宋" w:cs="Times New Roman"/>
                <w:color w:val="auto"/>
                <w:sz w:val="24"/>
                <w:highlight w:val="none"/>
                <w:lang w:val="en-US" w:eastAsia="zh-CN"/>
              </w:rPr>
            </w:pPr>
            <w:r>
              <w:rPr>
                <w:rFonts w:hint="eastAsia" w:eastAsia="仿宋" w:cs="Times New Roman"/>
                <w:color w:val="auto"/>
                <w:kern w:val="0"/>
                <w:sz w:val="24"/>
                <w:szCs w:val="22"/>
                <w:highlight w:val="none"/>
                <w:lang w:val="en-US" w:eastAsia="zh-CN" w:bidi="ar-SA"/>
              </w:rPr>
              <w:t>其中d</w:t>
            </w:r>
            <w:r>
              <w:rPr>
                <w:rFonts w:hint="eastAsia" w:eastAsia="仿宋" w:cs="Times New Roman"/>
                <w:color w:val="auto"/>
                <w:kern w:val="0"/>
                <w:sz w:val="24"/>
                <w:szCs w:val="22"/>
                <w:highlight w:val="none"/>
                <w:vertAlign w:val="subscript"/>
                <w:lang w:val="en-US" w:eastAsia="zh-CN" w:bidi="ar-SA"/>
              </w:rPr>
              <w:t>max</w:t>
            </w:r>
            <w:r>
              <w:rPr>
                <w:rFonts w:hint="eastAsia" w:eastAsia="仿宋" w:cs="Times New Roman"/>
                <w:color w:val="auto"/>
                <w:kern w:val="0"/>
                <w:sz w:val="24"/>
                <w:szCs w:val="22"/>
                <w:highlight w:val="none"/>
                <w:lang w:val="en-US" w:eastAsia="zh-CN" w:bidi="ar-SA"/>
              </w:rPr>
              <w:t>为溶质运移距离，C</w:t>
            </w:r>
            <w:r>
              <w:rPr>
                <w:rFonts w:hint="eastAsia" w:eastAsia="仿宋" w:cs="Times New Roman"/>
                <w:color w:val="auto"/>
                <w:kern w:val="0"/>
                <w:sz w:val="24"/>
                <w:szCs w:val="22"/>
                <w:highlight w:val="none"/>
                <w:vertAlign w:val="subscript"/>
                <w:lang w:val="en-US" w:eastAsia="zh-CN" w:bidi="ar-SA"/>
              </w:rPr>
              <w:t>min</w:t>
            </w:r>
            <w:r>
              <w:rPr>
                <w:rFonts w:hint="eastAsia" w:eastAsia="仿宋" w:cs="Times New Roman"/>
                <w:color w:val="auto"/>
                <w:kern w:val="0"/>
                <w:sz w:val="24"/>
                <w:szCs w:val="22"/>
                <w:highlight w:val="none"/>
                <w:lang w:val="en-US" w:eastAsia="zh-CN" w:bidi="ar-SA"/>
              </w:rPr>
              <w:t>为对鱼类产生损害的悬浮物浓度下限，由《渔业水质标准》（GB 11607-89）可知，当悬浮物浓度人为提高大于10 mg/L，合10mg/L时，会对鱼虾造成不利影响，C</w:t>
            </w:r>
            <w:r>
              <w:rPr>
                <w:rFonts w:hint="eastAsia" w:eastAsia="仿宋" w:cs="Times New Roman"/>
                <w:color w:val="auto"/>
                <w:kern w:val="0"/>
                <w:sz w:val="24"/>
                <w:szCs w:val="22"/>
                <w:highlight w:val="none"/>
                <w:vertAlign w:val="subscript"/>
                <w:lang w:val="en-US" w:eastAsia="zh-CN" w:bidi="ar-SA"/>
              </w:rPr>
              <w:t>0</w:t>
            </w:r>
            <w:r>
              <w:rPr>
                <w:rFonts w:hint="eastAsia" w:eastAsia="仿宋" w:cs="Times New Roman"/>
                <w:color w:val="auto"/>
                <w:kern w:val="0"/>
                <w:sz w:val="24"/>
                <w:szCs w:val="22"/>
                <w:highlight w:val="none"/>
                <w:lang w:val="en-US" w:eastAsia="zh-CN" w:bidi="ar-SA"/>
              </w:rPr>
              <w:t>为悬浮物初始源强，悬浮物密度取2.2*10</w:t>
            </w:r>
            <w:r>
              <w:rPr>
                <w:rFonts w:hint="eastAsia" w:eastAsia="仿宋" w:cs="Times New Roman"/>
                <w:color w:val="auto"/>
                <w:kern w:val="0"/>
                <w:sz w:val="24"/>
                <w:szCs w:val="22"/>
                <w:highlight w:val="none"/>
                <w:vertAlign w:val="superscript"/>
                <w:lang w:val="en-US" w:eastAsia="zh-CN" w:bidi="ar-SA"/>
              </w:rPr>
              <w:t>6</w:t>
            </w:r>
            <w:r>
              <w:rPr>
                <w:rFonts w:hint="eastAsia" w:eastAsia="仿宋" w:cs="Times New Roman"/>
                <w:color w:val="auto"/>
                <w:kern w:val="0"/>
                <w:sz w:val="24"/>
                <w:szCs w:val="22"/>
                <w:highlight w:val="none"/>
                <w:lang w:val="en-US" w:eastAsia="zh-CN" w:bidi="ar-SA"/>
              </w:rPr>
              <w:t>mg/L</w:t>
            </w:r>
            <w:r>
              <w:rPr>
                <w:rFonts w:hint="eastAsia" w:eastAsia="仿宋" w:cs="Times New Roman"/>
                <w:color w:val="auto"/>
                <w:sz w:val="24"/>
                <w:highlight w:val="none"/>
                <w:lang w:val="en-US" w:eastAsia="zh-CN"/>
              </w:rPr>
              <w:t>，k</w:t>
            </w:r>
            <w:r>
              <w:rPr>
                <w:rFonts w:hint="eastAsia" w:eastAsia="仿宋" w:cs="Times New Roman"/>
                <w:color w:val="auto"/>
                <w:sz w:val="24"/>
                <w:highlight w:val="none"/>
                <w:vertAlign w:val="subscript"/>
                <w:lang w:val="en-US" w:eastAsia="zh-CN"/>
              </w:rPr>
              <w:t>d</w:t>
            </w:r>
            <w:r>
              <w:rPr>
                <w:rFonts w:hint="eastAsia" w:eastAsia="仿宋" w:cs="Times New Roman"/>
                <w:color w:val="auto"/>
                <w:sz w:val="24"/>
                <w:highlight w:val="none"/>
                <w:lang w:val="en-US" w:eastAsia="zh-CN"/>
              </w:rPr>
              <w:t>为悬浮物的水平向迁移张量，根据经验值取7.5m</w:t>
            </w:r>
            <w:r>
              <w:rPr>
                <w:rFonts w:hint="eastAsia"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/s，u</w:t>
            </w:r>
            <w:r>
              <w:rPr>
                <w:rFonts w:hint="eastAsia" w:eastAsia="仿宋" w:cs="Times New Roman"/>
                <w:color w:val="auto"/>
                <w:sz w:val="24"/>
                <w:highlight w:val="none"/>
                <w:vertAlign w:val="subscript"/>
                <w:lang w:val="en-US" w:eastAsia="zh-CN"/>
              </w:rPr>
              <w:t>d</w:t>
            </w:r>
            <w:r>
              <w:rPr>
                <w:rFonts w:hint="eastAsia" w:eastAsia="仿宋" w:cs="Times New Roman"/>
                <w:color w:val="auto"/>
                <w:sz w:val="24"/>
                <w:highlight w:val="none"/>
                <w:lang w:val="en-US" w:eastAsia="zh-CN"/>
              </w:rPr>
              <w:t>根据相关研究，取丰水期流速最大值28.9 cm/s。</w:t>
            </w:r>
          </w:p>
          <w:p w14:paraId="2A84351A">
            <w:pPr>
              <w:keepNext w:val="0"/>
              <w:keepLines w:val="0"/>
              <w:widowControl/>
              <w:suppressLineNumbers w:val="0"/>
              <w:jc w:val="left"/>
              <w:rPr>
                <w:rFonts w:hint="eastAsia" w:eastAsia="仿宋" w:cs="Times New Roman"/>
                <w:color w:val="auto"/>
                <w:sz w:val="24"/>
                <w:highlight w:val="none"/>
                <w:lang w:val="en-US" w:eastAsia="zh-CN"/>
              </w:rPr>
            </w:pPr>
            <w:r>
              <w:rPr>
                <w:rFonts w:hint="eastAsia" w:eastAsia="仿宋" w:cs="Times New Roman"/>
                <w:color w:val="auto"/>
                <w:sz w:val="24"/>
                <w:highlight w:val="none"/>
                <w:lang w:val="en-US" w:eastAsia="zh-CN"/>
              </w:rPr>
              <w:t>由上式可知，当水中悬浮物浓度增长量降至10 mg/L时，最大迁移距离为0.47m，最大影响面积约为18083.78m</w:t>
            </w:r>
            <w:r>
              <w:rPr>
                <w:rFonts w:hint="eastAsia" w:eastAsia="仿宋" w:cs="Times New Roman"/>
                <w:color w:val="auto"/>
                <w:sz w:val="24"/>
                <w:highlight w:val="none"/>
                <w:vertAlign w:val="superscript"/>
                <w:lang w:val="en-US" w:eastAsia="zh-CN"/>
              </w:rPr>
              <w:t>2</w:t>
            </w:r>
            <w:r>
              <w:rPr>
                <w:rFonts w:hint="eastAsia" w:eastAsia="仿宋" w:cs="Times New Roman"/>
                <w:color w:val="auto"/>
                <w:sz w:val="24"/>
                <w:highlight w:val="none"/>
                <w:lang w:val="en-US" w:eastAsia="zh-CN"/>
              </w:rPr>
              <w:t>。同时，当最大迁移距离达到4.5km时，悬浮物浓度趋于零。</w:t>
            </w:r>
          </w:p>
          <w:p w14:paraId="06DD8944">
            <w:pPr>
              <w:pStyle w:val="2"/>
              <w:ind w:firstLine="480" w:firstLineChars="200"/>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sz w:val="24"/>
                <w:highlight w:val="none"/>
                <w:lang w:val="en-US" w:eastAsia="zh-CN"/>
              </w:rPr>
              <w:t>由此可知，项目施工产生的悬浮物存在迁移至</w:t>
            </w:r>
            <w:r>
              <w:rPr>
                <w:rFonts w:hint="default" w:ascii="Times New Roman" w:hAnsi="Times New Roman" w:eastAsia="仿宋" w:cs="Times New Roman"/>
                <w:b w:val="0"/>
                <w:bCs w:val="0"/>
                <w:color w:val="auto"/>
                <w:kern w:val="0"/>
                <w:sz w:val="24"/>
                <w:szCs w:val="22"/>
                <w:highlight w:val="none"/>
                <w:lang w:val="en-US" w:eastAsia="zh-CN" w:bidi="ar-SA"/>
              </w:rPr>
              <w:t>长荡湖国家级水产种质资源保护区</w:t>
            </w:r>
            <w:r>
              <w:rPr>
                <w:rFonts w:hint="eastAsia" w:eastAsia="仿宋" w:cs="Times New Roman"/>
                <w:b w:val="0"/>
                <w:bCs w:val="0"/>
                <w:color w:val="auto"/>
                <w:kern w:val="0"/>
                <w:sz w:val="24"/>
                <w:szCs w:val="22"/>
                <w:highlight w:val="none"/>
                <w:lang w:val="en-US" w:eastAsia="zh-CN" w:bidi="ar-SA"/>
              </w:rPr>
              <w:t>的可能性，但当悬浮物迁移至保护区范围内时，污染物浓度已无法对青虾等渔业资源产生不利影响。</w:t>
            </w:r>
          </w:p>
          <w:p w14:paraId="1773FC43">
            <w:pPr>
              <w:keepNext w:val="0"/>
              <w:keepLines w:val="0"/>
              <w:widowControl/>
              <w:suppressLineNumbers w:val="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4、施工期废水环境影响分析</w:t>
            </w:r>
          </w:p>
          <w:p w14:paraId="3433638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（1）施工生活污水</w:t>
            </w:r>
          </w:p>
          <w:p w14:paraId="4A01350C">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本项目利用沿线附近</w:t>
            </w:r>
            <w:r>
              <w:rPr>
                <w:rFonts w:hint="eastAsia" w:eastAsia="仿宋" w:cs="Times New Roman"/>
                <w:color w:val="auto"/>
                <w:kern w:val="0"/>
                <w:sz w:val="24"/>
                <w:szCs w:val="22"/>
                <w:highlight w:val="none"/>
                <w:lang w:val="en-US" w:eastAsia="zh-CN" w:bidi="ar-SA"/>
              </w:rPr>
              <w:t>公辅设施</w:t>
            </w:r>
            <w:r>
              <w:rPr>
                <w:rFonts w:hint="eastAsia" w:ascii="Times New Roman" w:hAnsi="Times New Roman" w:eastAsia="仿宋" w:cs="Times New Roman"/>
                <w:color w:val="auto"/>
                <w:kern w:val="0"/>
                <w:sz w:val="24"/>
                <w:szCs w:val="22"/>
                <w:highlight w:val="none"/>
                <w:lang w:val="en-US" w:eastAsia="zh-CN" w:bidi="ar-SA"/>
              </w:rPr>
              <w:t>，不设施工营地，项目施工人数约为</w:t>
            </w:r>
            <w:r>
              <w:rPr>
                <w:rFonts w:hint="eastAsia" w:eastAsia="仿宋" w:cs="Times New Roman"/>
                <w:color w:val="auto"/>
                <w:kern w:val="0"/>
                <w:sz w:val="24"/>
                <w:szCs w:val="22"/>
                <w:highlight w:val="none"/>
                <w:lang w:val="en-US" w:eastAsia="zh-CN" w:bidi="ar-SA"/>
              </w:rPr>
              <w:t>80</w:t>
            </w:r>
            <w:r>
              <w:rPr>
                <w:rFonts w:hint="eastAsia" w:ascii="Times New Roman" w:hAnsi="Times New Roman" w:eastAsia="仿宋" w:cs="Times New Roman"/>
                <w:color w:val="auto"/>
                <w:kern w:val="0"/>
                <w:sz w:val="24"/>
                <w:szCs w:val="22"/>
                <w:highlight w:val="none"/>
                <w:lang w:val="en-US" w:eastAsia="zh-CN" w:bidi="ar-SA"/>
              </w:rPr>
              <w:t>人。根据《常州市工业和城市生活用水定额》，每人每天用水定额100L/人•天，排污系数取0.8，则生活污水产生量约</w:t>
            </w:r>
            <w:r>
              <w:rPr>
                <w:rFonts w:hint="eastAsia" w:eastAsia="仿宋" w:cs="Times New Roman"/>
                <w:color w:val="auto"/>
                <w:kern w:val="0"/>
                <w:sz w:val="24"/>
                <w:szCs w:val="22"/>
                <w:highlight w:val="none"/>
                <w:lang w:val="en-US" w:eastAsia="zh-CN" w:bidi="ar-SA"/>
              </w:rPr>
              <w:t>6.4</w:t>
            </w:r>
            <w:r>
              <w:rPr>
                <w:rFonts w:hint="eastAsia" w:ascii="Times New Roman" w:hAnsi="Times New Roman" w:eastAsia="仿宋" w:cs="Times New Roman"/>
                <w:color w:val="auto"/>
                <w:kern w:val="0"/>
                <w:sz w:val="24"/>
                <w:szCs w:val="22"/>
                <w:highlight w:val="none"/>
                <w:lang w:val="en-US" w:eastAsia="zh-CN" w:bidi="ar-SA"/>
              </w:rPr>
              <w:t>t/d，NH</w:t>
            </w:r>
            <w:r>
              <w:rPr>
                <w:rFonts w:hint="eastAsia" w:ascii="Times New Roman" w:hAnsi="Times New Roman" w:eastAsia="仿宋" w:cs="Times New Roman"/>
                <w:color w:val="auto"/>
                <w:kern w:val="0"/>
                <w:sz w:val="24"/>
                <w:szCs w:val="22"/>
                <w:highlight w:val="none"/>
                <w:vertAlign w:val="subscript"/>
                <w:lang w:val="en-US" w:eastAsia="zh-CN" w:bidi="ar-SA"/>
              </w:rPr>
              <w:t>3</w:t>
            </w:r>
            <w:r>
              <w:rPr>
                <w:rFonts w:hint="eastAsia" w:ascii="Times New Roman" w:hAnsi="Times New Roman" w:eastAsia="仿宋" w:cs="Times New Roman"/>
                <w:color w:val="auto"/>
                <w:kern w:val="0"/>
                <w:sz w:val="24"/>
                <w:szCs w:val="22"/>
                <w:highlight w:val="none"/>
                <w:lang w:val="en-US" w:eastAsia="zh-CN" w:bidi="ar-SA"/>
              </w:rPr>
              <w:t>-N产生量约0.</w:t>
            </w:r>
            <w:r>
              <w:rPr>
                <w:rFonts w:hint="eastAsia" w:eastAsia="仿宋" w:cs="Times New Roman"/>
                <w:color w:val="auto"/>
                <w:kern w:val="0"/>
                <w:sz w:val="24"/>
                <w:szCs w:val="22"/>
                <w:highlight w:val="none"/>
                <w:lang w:val="en-US" w:eastAsia="zh-CN" w:bidi="ar-SA"/>
              </w:rPr>
              <w:t>24</w:t>
            </w:r>
            <w:r>
              <w:rPr>
                <w:rFonts w:hint="eastAsia" w:ascii="Times New Roman" w:hAnsi="Times New Roman" w:eastAsia="仿宋" w:cs="Times New Roman"/>
                <w:color w:val="auto"/>
                <w:kern w:val="0"/>
                <w:sz w:val="24"/>
                <w:szCs w:val="22"/>
                <w:highlight w:val="none"/>
                <w:lang w:val="en-US" w:eastAsia="zh-CN" w:bidi="ar-SA"/>
              </w:rPr>
              <w:t>kg/d（35mg/L），COD产生量约</w:t>
            </w:r>
            <w:r>
              <w:rPr>
                <w:rFonts w:hint="eastAsia" w:eastAsia="仿宋" w:cs="Times New Roman"/>
                <w:color w:val="auto"/>
                <w:kern w:val="0"/>
                <w:sz w:val="24"/>
                <w:szCs w:val="22"/>
                <w:highlight w:val="none"/>
                <w:lang w:val="en-US" w:eastAsia="zh-CN" w:bidi="ar-SA"/>
              </w:rPr>
              <w:t>2.24</w:t>
            </w:r>
            <w:r>
              <w:rPr>
                <w:rFonts w:hint="eastAsia" w:ascii="Times New Roman" w:hAnsi="Times New Roman" w:eastAsia="仿宋" w:cs="Times New Roman"/>
                <w:color w:val="auto"/>
                <w:kern w:val="0"/>
                <w:sz w:val="24"/>
                <w:szCs w:val="22"/>
                <w:highlight w:val="none"/>
                <w:lang w:val="en-US" w:eastAsia="zh-CN" w:bidi="ar-SA"/>
              </w:rPr>
              <w:t>kg/d（350mg/L），SS产生量约0.</w:t>
            </w:r>
            <w:r>
              <w:rPr>
                <w:rFonts w:hint="eastAsia" w:eastAsia="仿宋" w:cs="Times New Roman"/>
                <w:color w:val="auto"/>
                <w:kern w:val="0"/>
                <w:sz w:val="24"/>
                <w:szCs w:val="22"/>
                <w:highlight w:val="none"/>
                <w:lang w:val="en-US" w:eastAsia="zh-CN" w:bidi="ar-SA"/>
              </w:rPr>
              <w:t>2</w:t>
            </w:r>
            <w:r>
              <w:rPr>
                <w:rFonts w:hint="eastAsia" w:ascii="Times New Roman" w:hAnsi="Times New Roman" w:eastAsia="仿宋" w:cs="Times New Roman"/>
                <w:color w:val="auto"/>
                <w:kern w:val="0"/>
                <w:sz w:val="24"/>
                <w:szCs w:val="22"/>
                <w:highlight w:val="none"/>
                <w:lang w:val="en-US" w:eastAsia="zh-CN" w:bidi="ar-SA"/>
              </w:rPr>
              <w:t>kg/d（300mg/L），TP产生量约0.0</w:t>
            </w:r>
            <w:r>
              <w:rPr>
                <w:rFonts w:hint="eastAsia" w:eastAsia="仿宋" w:cs="Times New Roman"/>
                <w:color w:val="auto"/>
                <w:kern w:val="0"/>
                <w:sz w:val="24"/>
                <w:szCs w:val="22"/>
                <w:highlight w:val="none"/>
                <w:lang w:val="en-US" w:eastAsia="zh-CN" w:bidi="ar-SA"/>
              </w:rPr>
              <w:t>4</w:t>
            </w:r>
            <w:r>
              <w:rPr>
                <w:rFonts w:hint="eastAsia" w:ascii="Times New Roman" w:hAnsi="Times New Roman" w:eastAsia="仿宋" w:cs="Times New Roman"/>
                <w:color w:val="auto"/>
                <w:kern w:val="0"/>
                <w:sz w:val="24"/>
                <w:szCs w:val="22"/>
                <w:highlight w:val="none"/>
                <w:lang w:val="en-US" w:eastAsia="zh-CN" w:bidi="ar-SA"/>
              </w:rPr>
              <w:t>kg/d（5mg/L）。本项目建设地周边管网配套齐全，施工单位产生的生活污水依托</w:t>
            </w:r>
            <w:r>
              <w:rPr>
                <w:rFonts w:hint="eastAsia" w:eastAsia="仿宋" w:cs="Times New Roman"/>
                <w:color w:val="auto"/>
                <w:kern w:val="0"/>
                <w:sz w:val="24"/>
                <w:szCs w:val="22"/>
                <w:highlight w:val="none"/>
                <w:lang w:val="en-US" w:eastAsia="zh-CN" w:bidi="ar-SA"/>
              </w:rPr>
              <w:t>周边商业区公厕设施</w:t>
            </w:r>
            <w:r>
              <w:rPr>
                <w:rFonts w:hint="eastAsia" w:ascii="Times New Roman" w:hAnsi="Times New Roman" w:eastAsia="仿宋" w:cs="Times New Roman"/>
                <w:color w:val="auto"/>
                <w:kern w:val="0"/>
                <w:sz w:val="24"/>
                <w:szCs w:val="22"/>
                <w:highlight w:val="none"/>
                <w:lang w:val="en-US" w:eastAsia="zh-CN" w:bidi="ar-SA"/>
              </w:rPr>
              <w:t>进入市政污水管网是可行的，严禁将未经过处理的生活污水排入</w:t>
            </w:r>
            <w:r>
              <w:rPr>
                <w:rFonts w:hint="eastAsia" w:eastAsia="仿宋" w:cs="Times New Roman"/>
                <w:color w:val="auto"/>
                <w:kern w:val="0"/>
                <w:sz w:val="24"/>
                <w:szCs w:val="22"/>
                <w:highlight w:val="none"/>
                <w:lang w:val="en-US" w:eastAsia="zh-CN" w:bidi="ar-SA"/>
              </w:rPr>
              <w:t>长荡湖</w:t>
            </w:r>
            <w:r>
              <w:rPr>
                <w:rFonts w:hint="eastAsia" w:ascii="Times New Roman" w:hAnsi="Times New Roman" w:eastAsia="仿宋" w:cs="Times New Roman"/>
                <w:color w:val="auto"/>
                <w:kern w:val="0"/>
                <w:sz w:val="24"/>
                <w:szCs w:val="22"/>
                <w:highlight w:val="none"/>
                <w:lang w:val="en-US" w:eastAsia="zh-CN" w:bidi="ar-SA"/>
              </w:rPr>
              <w:t>。因此，施工人员生活污水对水环境的影响较小。</w:t>
            </w:r>
          </w:p>
          <w:p w14:paraId="49C0BAD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（2）施工废水</w:t>
            </w:r>
          </w:p>
          <w:p w14:paraId="0C8B3448">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施工产生废水主要是各种施工机械设备冲洗废水，</w:t>
            </w:r>
            <w:r>
              <w:rPr>
                <w:rFonts w:hint="eastAsia" w:eastAsia="仿宋" w:cs="Times New Roman"/>
                <w:color w:val="auto"/>
                <w:kern w:val="0"/>
                <w:sz w:val="24"/>
                <w:szCs w:val="22"/>
                <w:highlight w:val="none"/>
                <w:lang w:val="en-US" w:eastAsia="zh-CN" w:bidi="ar-SA"/>
              </w:rPr>
              <w:t>本项目在东、西两岸施工区均</w:t>
            </w:r>
            <w:r>
              <w:rPr>
                <w:rFonts w:hint="eastAsia" w:ascii="Times New Roman" w:hAnsi="Times New Roman" w:eastAsia="仿宋" w:cs="Times New Roman"/>
                <w:color w:val="auto"/>
                <w:kern w:val="0"/>
                <w:sz w:val="24"/>
                <w:szCs w:val="22"/>
                <w:highlight w:val="none"/>
                <w:lang w:val="en-US" w:eastAsia="zh-CN" w:bidi="ar-SA"/>
              </w:rPr>
              <w:t>设置沉淀池，沉淀后回用，不外排。在施工期对</w:t>
            </w:r>
            <w:r>
              <w:rPr>
                <w:rFonts w:hint="eastAsia" w:eastAsia="仿宋" w:cs="Times New Roman"/>
                <w:color w:val="auto"/>
                <w:kern w:val="0"/>
                <w:sz w:val="24"/>
                <w:szCs w:val="22"/>
                <w:highlight w:val="none"/>
                <w:lang w:val="en-US" w:eastAsia="zh-CN" w:bidi="ar-SA"/>
              </w:rPr>
              <w:t>长荡湖</w:t>
            </w:r>
            <w:r>
              <w:rPr>
                <w:rFonts w:hint="eastAsia" w:ascii="Times New Roman" w:hAnsi="Times New Roman" w:eastAsia="仿宋" w:cs="Times New Roman"/>
                <w:color w:val="auto"/>
                <w:kern w:val="0"/>
                <w:sz w:val="24"/>
                <w:szCs w:val="22"/>
                <w:highlight w:val="none"/>
                <w:lang w:val="en-US" w:eastAsia="zh-CN" w:bidi="ar-SA"/>
              </w:rPr>
              <w:t>水质影响较小。</w:t>
            </w:r>
            <w:r>
              <w:rPr>
                <w:rFonts w:hint="eastAsia" w:eastAsia="仿宋" w:cs="Times New Roman"/>
                <w:color w:val="auto"/>
                <w:kern w:val="0"/>
                <w:sz w:val="24"/>
                <w:szCs w:val="22"/>
                <w:highlight w:val="none"/>
                <w:lang w:val="en-US" w:eastAsia="zh-CN" w:bidi="ar-SA"/>
              </w:rPr>
              <w:t>应急疏散通道</w:t>
            </w:r>
            <w:r>
              <w:rPr>
                <w:rFonts w:hint="eastAsia" w:ascii="Times New Roman" w:hAnsi="Times New Roman" w:eastAsia="仿宋" w:cs="Times New Roman"/>
                <w:color w:val="auto"/>
                <w:kern w:val="0"/>
                <w:sz w:val="24"/>
                <w:szCs w:val="22"/>
                <w:highlight w:val="none"/>
                <w:lang w:val="en-US" w:eastAsia="zh-CN" w:bidi="ar-SA"/>
              </w:rPr>
              <w:t>位于</w:t>
            </w:r>
            <w:r>
              <w:rPr>
                <w:rFonts w:hint="eastAsia" w:eastAsia="仿宋" w:cs="Times New Roman"/>
                <w:color w:val="auto"/>
                <w:kern w:val="0"/>
                <w:sz w:val="24"/>
                <w:szCs w:val="22"/>
                <w:highlight w:val="none"/>
                <w:lang w:val="en-US" w:eastAsia="zh-CN" w:bidi="ar-SA"/>
              </w:rPr>
              <w:t>金坛区河海大学长荡湖校区南侧，项目建设水域位于金坛区长荡湖水厂取水区的准保护区内，桥梁建设主要污染物质为钻孔灌注桩桩基础施工产生的泥沙，</w:t>
            </w:r>
            <w:r>
              <w:rPr>
                <w:rFonts w:hint="eastAsia" w:ascii="Times New Roman" w:hAnsi="Times New Roman" w:eastAsia="仿宋" w:cs="Times New Roman"/>
                <w:color w:val="auto"/>
                <w:kern w:val="0"/>
                <w:sz w:val="24"/>
                <w:szCs w:val="22"/>
                <w:highlight w:val="none"/>
                <w:lang w:val="en-US" w:eastAsia="zh-CN" w:bidi="ar-SA"/>
              </w:rPr>
              <w:t>将使一定区域内的</w:t>
            </w:r>
            <w:r>
              <w:rPr>
                <w:rFonts w:hint="eastAsia" w:eastAsia="仿宋" w:cs="Times New Roman"/>
                <w:color w:val="auto"/>
                <w:kern w:val="0"/>
                <w:sz w:val="24"/>
                <w:szCs w:val="22"/>
                <w:highlight w:val="none"/>
                <w:lang w:val="en-US" w:eastAsia="zh-CN" w:bidi="ar-SA"/>
              </w:rPr>
              <w:t>悬浮物浓度</w:t>
            </w:r>
            <w:r>
              <w:rPr>
                <w:rFonts w:hint="eastAsia" w:ascii="Times New Roman" w:hAnsi="Times New Roman" w:eastAsia="仿宋" w:cs="Times New Roman"/>
                <w:color w:val="auto"/>
                <w:kern w:val="0"/>
                <w:sz w:val="24"/>
                <w:szCs w:val="22"/>
                <w:highlight w:val="none"/>
                <w:lang w:val="en-US" w:eastAsia="zh-CN" w:bidi="ar-SA"/>
              </w:rPr>
              <w:t>迅速升高，造成局部水质</w:t>
            </w:r>
            <w:r>
              <w:rPr>
                <w:rFonts w:hint="eastAsia" w:eastAsia="仿宋" w:cs="Times New Roman"/>
                <w:color w:val="auto"/>
                <w:kern w:val="0"/>
                <w:sz w:val="24"/>
                <w:szCs w:val="22"/>
                <w:highlight w:val="none"/>
                <w:lang w:val="en-US" w:eastAsia="zh-CN" w:bidi="ar-SA"/>
              </w:rPr>
              <w:t>悬浮物</w:t>
            </w:r>
            <w:r>
              <w:rPr>
                <w:rFonts w:hint="eastAsia" w:ascii="Times New Roman" w:hAnsi="Times New Roman" w:eastAsia="仿宋" w:cs="Times New Roman"/>
                <w:color w:val="auto"/>
                <w:kern w:val="0"/>
                <w:sz w:val="24"/>
                <w:szCs w:val="22"/>
                <w:highlight w:val="none"/>
                <w:lang w:val="en-US" w:eastAsia="zh-CN" w:bidi="ar-SA"/>
              </w:rPr>
              <w:t>过高，但污染点范围较小，具有阶段性和临时性</w:t>
            </w:r>
            <w:r>
              <w:rPr>
                <w:rFonts w:hint="eastAsia" w:eastAsia="仿宋" w:cs="Times New Roman"/>
                <w:color w:val="auto"/>
                <w:kern w:val="0"/>
                <w:sz w:val="24"/>
                <w:szCs w:val="22"/>
                <w:highlight w:val="none"/>
                <w:lang w:val="en-US" w:eastAsia="zh-CN" w:bidi="ar-SA"/>
              </w:rPr>
              <w:t>。因此，</w:t>
            </w:r>
            <w:r>
              <w:rPr>
                <w:rFonts w:hint="eastAsia" w:ascii="Times New Roman" w:hAnsi="Times New Roman" w:eastAsia="仿宋" w:cs="Times New Roman"/>
                <w:color w:val="auto"/>
                <w:kern w:val="0"/>
                <w:sz w:val="24"/>
                <w:szCs w:val="22"/>
                <w:highlight w:val="none"/>
                <w:lang w:val="en-US" w:eastAsia="zh-CN" w:bidi="ar-SA"/>
              </w:rPr>
              <w:t>桥梁建设与饮用水源地保护并无冲突。对</w:t>
            </w:r>
            <w:r>
              <w:rPr>
                <w:rFonts w:hint="eastAsia" w:eastAsia="仿宋" w:cs="Times New Roman"/>
                <w:color w:val="auto"/>
                <w:kern w:val="0"/>
                <w:sz w:val="24"/>
                <w:szCs w:val="22"/>
                <w:highlight w:val="none"/>
                <w:lang w:val="en-US" w:eastAsia="zh-CN" w:bidi="ar-SA"/>
              </w:rPr>
              <w:t>湖泊</w:t>
            </w:r>
            <w:r>
              <w:rPr>
                <w:rFonts w:hint="eastAsia" w:ascii="Times New Roman" w:hAnsi="Times New Roman" w:eastAsia="仿宋" w:cs="Times New Roman"/>
                <w:color w:val="auto"/>
                <w:kern w:val="0"/>
                <w:sz w:val="24"/>
                <w:szCs w:val="22"/>
                <w:highlight w:val="none"/>
                <w:lang w:val="en-US" w:eastAsia="zh-CN" w:bidi="ar-SA"/>
              </w:rPr>
              <w:t>整体生态系统和</w:t>
            </w:r>
            <w:r>
              <w:rPr>
                <w:rFonts w:hint="eastAsia" w:eastAsia="仿宋" w:cs="Times New Roman"/>
                <w:color w:val="auto"/>
                <w:kern w:val="0"/>
                <w:sz w:val="24"/>
                <w:szCs w:val="22"/>
                <w:highlight w:val="none"/>
                <w:lang w:val="en-US" w:eastAsia="zh-CN" w:bidi="ar-SA"/>
              </w:rPr>
              <w:t>渔业资源</w:t>
            </w:r>
            <w:r>
              <w:rPr>
                <w:rFonts w:hint="eastAsia" w:ascii="Times New Roman" w:hAnsi="Times New Roman" w:eastAsia="仿宋" w:cs="Times New Roman"/>
                <w:color w:val="auto"/>
                <w:kern w:val="0"/>
                <w:sz w:val="24"/>
                <w:szCs w:val="22"/>
                <w:highlight w:val="none"/>
                <w:lang w:val="en-US" w:eastAsia="zh-CN" w:bidi="ar-SA"/>
              </w:rPr>
              <w:t>影响较小。</w:t>
            </w:r>
          </w:p>
          <w:p w14:paraId="744D8C12">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5</w:t>
            </w:r>
            <w:r>
              <w:rPr>
                <w:rFonts w:hint="eastAsia" w:ascii="Times New Roman" w:hAnsi="Times New Roman" w:eastAsia="仿宋" w:cs="Times New Roman"/>
                <w:b/>
                <w:bCs/>
                <w:color w:val="auto"/>
                <w:kern w:val="0"/>
                <w:sz w:val="24"/>
                <w:szCs w:val="22"/>
                <w:highlight w:val="none"/>
                <w:lang w:val="en-US" w:eastAsia="zh-CN" w:bidi="ar-SA"/>
              </w:rPr>
              <w:t>、施工期废气环境影响分析</w:t>
            </w:r>
          </w:p>
          <w:p w14:paraId="59B1B0BA">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（1）道路扬尘</w:t>
            </w:r>
          </w:p>
          <w:p w14:paraId="4BD94597">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引起道路扬尘的因素较多，主要与车辆行驶速度、载重量、轮胎与路面的接触面积、风速、路面积尘量和路面积尘湿度有关，其中风速还直接影响到扬尘的传输距离。本工程所用的原料将采用公路运输的方式，运输过程中如果遮盖不严密，所起的扬尘将影响到运输道路两侧的居民，特别是大风天气，这种影响将更严重。因此在运输过程中要严密遮盖，防止大风扬尘。</w:t>
            </w:r>
          </w:p>
          <w:p w14:paraId="438C4192">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（2）施工扬尘</w:t>
            </w:r>
          </w:p>
          <w:p w14:paraId="4A4C8E1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根据有关施工工程的调查资料，施工现场近地面粉尘浓度可达</w:t>
            </w:r>
            <w:r>
              <w:rPr>
                <w:rFonts w:hint="default" w:ascii="Times New Roman" w:hAnsi="Times New Roman" w:eastAsia="仿宋" w:cs="Times New Roman"/>
                <w:color w:val="auto"/>
                <w:kern w:val="0"/>
                <w:sz w:val="24"/>
                <w:szCs w:val="22"/>
                <w:highlight w:val="none"/>
                <w:lang w:val="en-US" w:eastAsia="zh-CN" w:bidi="ar-SA"/>
              </w:rPr>
              <w:t>1.5</w:t>
            </w:r>
            <w:r>
              <w:rPr>
                <w:rFonts w:hint="eastAsia" w:ascii="Times New Roman" w:hAnsi="Times New Roman" w:eastAsia="仿宋" w:cs="Times New Roman"/>
                <w:color w:val="auto"/>
                <w:kern w:val="0"/>
                <w:sz w:val="24"/>
                <w:szCs w:val="22"/>
                <w:highlight w:val="none"/>
                <w:lang w:val="en-US" w:eastAsia="zh-CN" w:bidi="ar-SA"/>
              </w:rPr>
              <w:t>～</w:t>
            </w:r>
            <w:r>
              <w:rPr>
                <w:rFonts w:hint="default" w:ascii="Times New Roman" w:hAnsi="Times New Roman" w:eastAsia="仿宋" w:cs="Times New Roman"/>
                <w:color w:val="auto"/>
                <w:kern w:val="0"/>
                <w:sz w:val="24"/>
                <w:szCs w:val="22"/>
                <w:highlight w:val="none"/>
                <w:lang w:val="en-US" w:eastAsia="zh-CN" w:bidi="ar-SA"/>
              </w:rPr>
              <w:t>30mg/m</w:t>
            </w:r>
            <w:r>
              <w:rPr>
                <w:rFonts w:hint="default" w:ascii="Times New Roman" w:hAnsi="Times New Roman" w:eastAsia="仿宋" w:cs="Times New Roman"/>
                <w:color w:val="auto"/>
                <w:kern w:val="0"/>
                <w:sz w:val="24"/>
                <w:szCs w:val="22"/>
                <w:highlight w:val="none"/>
                <w:vertAlign w:val="superscript"/>
                <w:lang w:val="en-US" w:eastAsia="zh-CN" w:bidi="ar-SA"/>
              </w:rPr>
              <w:t>3</w:t>
            </w:r>
            <w:r>
              <w:rPr>
                <w:rFonts w:hint="eastAsia" w:ascii="Times New Roman" w:hAnsi="Times New Roman" w:eastAsia="仿宋" w:cs="Times New Roman"/>
                <w:color w:val="auto"/>
                <w:kern w:val="0"/>
                <w:sz w:val="24"/>
                <w:szCs w:val="22"/>
                <w:highlight w:val="none"/>
                <w:lang w:val="en-US" w:eastAsia="zh-CN" w:bidi="ar-SA"/>
              </w:rPr>
              <w:t>；道路扬尘在下风向</w:t>
            </w:r>
            <w:r>
              <w:rPr>
                <w:rFonts w:hint="default" w:ascii="Times New Roman" w:hAnsi="Times New Roman" w:eastAsia="仿宋" w:cs="Times New Roman"/>
                <w:color w:val="auto"/>
                <w:kern w:val="0"/>
                <w:sz w:val="24"/>
                <w:szCs w:val="22"/>
                <w:highlight w:val="none"/>
                <w:lang w:val="en-US" w:eastAsia="zh-CN" w:bidi="ar-SA"/>
              </w:rPr>
              <w:t>80</w:t>
            </w:r>
            <w:r>
              <w:rPr>
                <w:rFonts w:hint="eastAsia" w:ascii="Times New Roman" w:hAnsi="Times New Roman" w:eastAsia="仿宋" w:cs="Times New Roman"/>
                <w:color w:val="auto"/>
                <w:kern w:val="0"/>
                <w:sz w:val="24"/>
                <w:szCs w:val="22"/>
                <w:highlight w:val="none"/>
                <w:lang w:val="en-US" w:eastAsia="zh-CN" w:bidi="ar-SA"/>
              </w:rPr>
              <w:t>～</w:t>
            </w:r>
            <w:r>
              <w:rPr>
                <w:rFonts w:hint="default" w:ascii="Times New Roman" w:hAnsi="Times New Roman" w:eastAsia="仿宋" w:cs="Times New Roman"/>
                <w:color w:val="auto"/>
                <w:kern w:val="0"/>
                <w:sz w:val="24"/>
                <w:szCs w:val="22"/>
                <w:highlight w:val="none"/>
                <w:lang w:val="en-US" w:eastAsia="zh-CN" w:bidi="ar-SA"/>
              </w:rPr>
              <w:t>120m</w:t>
            </w:r>
            <w:r>
              <w:rPr>
                <w:rFonts w:hint="eastAsia" w:ascii="Times New Roman" w:hAnsi="Times New Roman" w:eastAsia="仿宋" w:cs="Times New Roman"/>
                <w:color w:val="auto"/>
                <w:kern w:val="0"/>
                <w:sz w:val="24"/>
                <w:szCs w:val="22"/>
                <w:highlight w:val="none"/>
                <w:lang w:val="en-US" w:eastAsia="zh-CN" w:bidi="ar-SA"/>
              </w:rPr>
              <w:t>范围内超过《江苏省大气污染物综合排放标准》（DB32/4041-2021）；堆土区的扬尘在下风向</w:t>
            </w:r>
            <w:r>
              <w:rPr>
                <w:rFonts w:hint="default" w:ascii="Times New Roman" w:hAnsi="Times New Roman" w:eastAsia="仿宋" w:cs="Times New Roman"/>
                <w:color w:val="auto"/>
                <w:kern w:val="0"/>
                <w:sz w:val="24"/>
                <w:szCs w:val="22"/>
                <w:highlight w:val="none"/>
                <w:lang w:val="en-US" w:eastAsia="zh-CN" w:bidi="ar-SA"/>
              </w:rPr>
              <w:t>100</w:t>
            </w:r>
            <w:r>
              <w:rPr>
                <w:rFonts w:hint="eastAsia" w:ascii="Times New Roman" w:hAnsi="Times New Roman" w:eastAsia="仿宋" w:cs="Times New Roman"/>
                <w:color w:val="auto"/>
                <w:kern w:val="0"/>
                <w:sz w:val="24"/>
                <w:szCs w:val="22"/>
                <w:highlight w:val="none"/>
                <w:lang w:val="en-US" w:eastAsia="zh-CN" w:bidi="ar-SA"/>
              </w:rPr>
              <w:t>～</w:t>
            </w:r>
            <w:r>
              <w:rPr>
                <w:rFonts w:hint="default" w:ascii="Times New Roman" w:hAnsi="Times New Roman" w:eastAsia="仿宋" w:cs="Times New Roman"/>
                <w:color w:val="auto"/>
                <w:kern w:val="0"/>
                <w:sz w:val="24"/>
                <w:szCs w:val="22"/>
                <w:highlight w:val="none"/>
                <w:lang w:val="en-US" w:eastAsia="zh-CN" w:bidi="ar-SA"/>
              </w:rPr>
              <w:t>150m</w:t>
            </w:r>
            <w:r>
              <w:rPr>
                <w:rFonts w:hint="eastAsia" w:ascii="Times New Roman" w:hAnsi="Times New Roman" w:eastAsia="仿宋" w:cs="Times New Roman"/>
                <w:color w:val="auto"/>
                <w:kern w:val="0"/>
                <w:sz w:val="24"/>
                <w:szCs w:val="22"/>
                <w:highlight w:val="none"/>
                <w:lang w:val="en-US" w:eastAsia="zh-CN" w:bidi="ar-SA"/>
              </w:rPr>
              <w:t>范围内超过标准，通过采取洒水等措施后，道路扬尘</w:t>
            </w:r>
            <w:r>
              <w:rPr>
                <w:rFonts w:hint="default" w:ascii="Times New Roman" w:hAnsi="Times New Roman" w:eastAsia="仿宋" w:cs="Times New Roman"/>
                <w:color w:val="auto"/>
                <w:kern w:val="0"/>
                <w:sz w:val="24"/>
                <w:szCs w:val="22"/>
                <w:highlight w:val="none"/>
                <w:lang w:val="en-US" w:eastAsia="zh-CN" w:bidi="ar-SA"/>
              </w:rPr>
              <w:t>TSP</w:t>
            </w:r>
            <w:r>
              <w:rPr>
                <w:rFonts w:hint="eastAsia" w:ascii="Times New Roman" w:hAnsi="Times New Roman" w:eastAsia="仿宋" w:cs="Times New Roman"/>
                <w:color w:val="auto"/>
                <w:kern w:val="0"/>
                <w:sz w:val="24"/>
                <w:szCs w:val="22"/>
                <w:highlight w:val="none"/>
                <w:lang w:val="en-US" w:eastAsia="zh-CN" w:bidi="ar-SA"/>
              </w:rPr>
              <w:t>可减少</w:t>
            </w:r>
            <w:r>
              <w:rPr>
                <w:rFonts w:hint="default" w:ascii="Times New Roman" w:hAnsi="Times New Roman" w:eastAsia="仿宋" w:cs="Times New Roman"/>
                <w:color w:val="auto"/>
                <w:kern w:val="0"/>
                <w:sz w:val="24"/>
                <w:szCs w:val="22"/>
                <w:highlight w:val="none"/>
                <w:lang w:val="en-US" w:eastAsia="zh-CN" w:bidi="ar-SA"/>
              </w:rPr>
              <w:t>50%</w:t>
            </w:r>
            <w:r>
              <w:rPr>
                <w:rFonts w:hint="eastAsia" w:ascii="Times New Roman" w:hAnsi="Times New Roman" w:eastAsia="仿宋" w:cs="Times New Roman"/>
                <w:color w:val="auto"/>
                <w:kern w:val="0"/>
                <w:sz w:val="24"/>
                <w:szCs w:val="22"/>
                <w:highlight w:val="none"/>
                <w:lang w:val="en-US" w:eastAsia="zh-CN" w:bidi="ar-SA"/>
              </w:rPr>
              <w:t>左右，施工场地</w:t>
            </w:r>
            <w:r>
              <w:rPr>
                <w:rFonts w:hint="default" w:ascii="Times New Roman" w:hAnsi="Times New Roman" w:eastAsia="仿宋" w:cs="Times New Roman"/>
                <w:color w:val="auto"/>
                <w:kern w:val="0"/>
                <w:sz w:val="24"/>
                <w:szCs w:val="22"/>
                <w:highlight w:val="none"/>
                <w:lang w:val="en-US" w:eastAsia="zh-CN" w:bidi="ar-SA"/>
              </w:rPr>
              <w:t>200m</w:t>
            </w:r>
            <w:r>
              <w:rPr>
                <w:rFonts w:hint="eastAsia" w:ascii="Times New Roman" w:hAnsi="Times New Roman" w:eastAsia="仿宋" w:cs="Times New Roman"/>
                <w:color w:val="auto"/>
                <w:kern w:val="0"/>
                <w:sz w:val="24"/>
                <w:szCs w:val="22"/>
                <w:highlight w:val="none"/>
                <w:lang w:val="en-US" w:eastAsia="zh-CN" w:bidi="ar-SA"/>
              </w:rPr>
              <w:t>处的</w:t>
            </w:r>
            <w:r>
              <w:rPr>
                <w:rFonts w:hint="default" w:ascii="Times New Roman" w:hAnsi="Times New Roman" w:eastAsia="仿宋" w:cs="Times New Roman"/>
                <w:color w:val="auto"/>
                <w:kern w:val="0"/>
                <w:sz w:val="24"/>
                <w:szCs w:val="22"/>
                <w:highlight w:val="none"/>
                <w:lang w:val="en-US" w:eastAsia="zh-CN" w:bidi="ar-SA"/>
              </w:rPr>
              <w:t>TSP</w:t>
            </w:r>
            <w:r>
              <w:rPr>
                <w:rFonts w:hint="eastAsia" w:ascii="Times New Roman" w:hAnsi="Times New Roman" w:eastAsia="仿宋" w:cs="Times New Roman"/>
                <w:color w:val="auto"/>
                <w:kern w:val="0"/>
                <w:sz w:val="24"/>
                <w:szCs w:val="22"/>
                <w:highlight w:val="none"/>
                <w:lang w:val="en-US" w:eastAsia="zh-CN" w:bidi="ar-SA"/>
              </w:rPr>
              <w:t>可达到标准。</w:t>
            </w:r>
          </w:p>
          <w:p w14:paraId="69F94E92">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（3）机械废气</w:t>
            </w:r>
          </w:p>
          <w:p w14:paraId="1B7E552D">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施工过程中来往车辆较多，污染物</w:t>
            </w:r>
            <w:r>
              <w:rPr>
                <w:rFonts w:hint="default" w:ascii="Times New Roman" w:hAnsi="Times New Roman" w:eastAsia="仿宋" w:cs="Times New Roman"/>
                <w:color w:val="auto"/>
                <w:kern w:val="0"/>
                <w:sz w:val="24"/>
                <w:szCs w:val="22"/>
                <w:highlight w:val="none"/>
                <w:lang w:val="en-US" w:eastAsia="zh-CN" w:bidi="ar-SA"/>
              </w:rPr>
              <w:t>CO</w:t>
            </w:r>
            <w:r>
              <w:rPr>
                <w:rFonts w:hint="eastAsia" w:ascii="Times New Roman" w:hAnsi="Times New Roman" w:eastAsia="仿宋" w:cs="Times New Roman"/>
                <w:color w:val="auto"/>
                <w:kern w:val="0"/>
                <w:sz w:val="24"/>
                <w:szCs w:val="22"/>
                <w:highlight w:val="none"/>
                <w:lang w:val="en-US" w:eastAsia="zh-CN" w:bidi="ar-SA"/>
              </w:rPr>
              <w:t>、</w:t>
            </w:r>
            <w:r>
              <w:rPr>
                <w:rFonts w:hint="default" w:ascii="Times New Roman" w:hAnsi="Times New Roman" w:eastAsia="仿宋" w:cs="Times New Roman"/>
                <w:color w:val="auto"/>
                <w:kern w:val="0"/>
                <w:sz w:val="24"/>
                <w:szCs w:val="22"/>
                <w:highlight w:val="none"/>
                <w:lang w:val="en-US" w:eastAsia="zh-CN" w:bidi="ar-SA"/>
              </w:rPr>
              <w:t>HC</w:t>
            </w:r>
            <w:r>
              <w:rPr>
                <w:rFonts w:hint="eastAsia" w:ascii="Times New Roman" w:hAnsi="Times New Roman" w:eastAsia="仿宋" w:cs="Times New Roman"/>
                <w:color w:val="auto"/>
                <w:kern w:val="0"/>
                <w:sz w:val="24"/>
                <w:szCs w:val="22"/>
                <w:highlight w:val="none"/>
                <w:lang w:val="en-US" w:eastAsia="zh-CN" w:bidi="ar-SA"/>
              </w:rPr>
              <w:t>排放量增多，汽车尾气浓度增大，从而会对局部地区大气环境造成短期污染。</w:t>
            </w:r>
          </w:p>
          <w:p w14:paraId="6DC648EB">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施工期间应在施工区域采取封闭围护或对车辆行驶路面进行洒水抑尘，每天洒水4-5次，可使扬尘减少70%左右，施工扬尘洒水抑尘的试验结果见下表。</w:t>
            </w:r>
          </w:p>
          <w:p w14:paraId="2F895232">
            <w:pPr>
              <w:keepNext w:val="0"/>
              <w:keepLines w:val="0"/>
              <w:widowControl/>
              <w:suppressLineNumbers w:val="0"/>
              <w:ind w:left="0" w:leftChars="0" w:firstLine="0" w:firstLineChars="0"/>
              <w:jc w:val="center"/>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表4-</w:t>
            </w:r>
            <w:r>
              <w:rPr>
                <w:rFonts w:hint="eastAsia" w:eastAsia="仿宋" w:cs="Times New Roman"/>
                <w:b/>
                <w:bCs/>
                <w:color w:val="auto"/>
                <w:kern w:val="0"/>
                <w:sz w:val="24"/>
                <w:szCs w:val="22"/>
                <w:highlight w:val="none"/>
                <w:lang w:val="en-US" w:eastAsia="zh-CN" w:bidi="ar-SA"/>
              </w:rPr>
              <w:t>4</w:t>
            </w:r>
            <w:r>
              <w:rPr>
                <w:rFonts w:hint="eastAsia" w:ascii="Times New Roman" w:hAnsi="Times New Roman" w:eastAsia="仿宋" w:cs="Times New Roman"/>
                <w:b/>
                <w:bCs/>
                <w:color w:val="auto"/>
                <w:kern w:val="0"/>
                <w:sz w:val="24"/>
                <w:szCs w:val="22"/>
                <w:highlight w:val="none"/>
                <w:lang w:val="en-US" w:eastAsia="zh-CN" w:bidi="ar-SA"/>
              </w:rPr>
              <w:t>施工场地扬尘污染状况对比分析表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74"/>
              <w:gridCol w:w="1181"/>
              <w:gridCol w:w="930"/>
              <w:gridCol w:w="864"/>
              <w:gridCol w:w="902"/>
              <w:gridCol w:w="1051"/>
            </w:tblGrid>
            <w:tr w14:paraId="6F554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2031" w:type="pct"/>
                  <w:vAlign w:val="center"/>
                </w:tcPr>
                <w:p w14:paraId="11BB1AFE">
                  <w:pPr>
                    <w:pStyle w:val="7"/>
                    <w:keepNext w:val="0"/>
                    <w:keepLines w:val="0"/>
                    <w:suppressLineNumbers w:val="0"/>
                    <w:spacing w:beforeAutospacing="0" w:afterAutospacing="0"/>
                    <w:ind w:left="0" w:right="0"/>
                    <w:jc w:val="center"/>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距离（m）</w:t>
                  </w:r>
                </w:p>
              </w:tc>
              <w:tc>
                <w:tcPr>
                  <w:tcW w:w="711" w:type="pct"/>
                  <w:vAlign w:val="center"/>
                </w:tcPr>
                <w:p w14:paraId="1CD871A6">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措施</w:t>
                  </w:r>
                </w:p>
              </w:tc>
              <w:tc>
                <w:tcPr>
                  <w:tcW w:w="560" w:type="pct"/>
                  <w:vAlign w:val="center"/>
                </w:tcPr>
                <w:p w14:paraId="74C38A69">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20</w:t>
                  </w:r>
                </w:p>
              </w:tc>
              <w:tc>
                <w:tcPr>
                  <w:tcW w:w="520" w:type="pct"/>
                  <w:vAlign w:val="center"/>
                </w:tcPr>
                <w:p w14:paraId="4C9523C9">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50</w:t>
                  </w:r>
                </w:p>
              </w:tc>
              <w:tc>
                <w:tcPr>
                  <w:tcW w:w="543" w:type="pct"/>
                  <w:vAlign w:val="center"/>
                </w:tcPr>
                <w:p w14:paraId="5C652BBC">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100</w:t>
                  </w:r>
                </w:p>
              </w:tc>
              <w:tc>
                <w:tcPr>
                  <w:tcW w:w="632" w:type="pct"/>
                  <w:vAlign w:val="center"/>
                </w:tcPr>
                <w:p w14:paraId="405626AA">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标准值</w:t>
                  </w:r>
                </w:p>
              </w:tc>
            </w:tr>
            <w:tr w14:paraId="32CA3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vMerge w:val="restart"/>
                  <w:vAlign w:val="center"/>
                </w:tcPr>
                <w:p w14:paraId="7ED435A0">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TSP小时平均浓度（mg/m</w:t>
                  </w:r>
                  <w:r>
                    <w:rPr>
                      <w:rFonts w:hint="eastAsia" w:ascii="Times New Roman" w:hAnsi="Times New Roman" w:eastAsia="仿宋" w:cs="Times New Roman"/>
                      <w:b w:val="0"/>
                      <w:bCs w:val="0"/>
                      <w:color w:val="auto"/>
                      <w:sz w:val="21"/>
                      <w:szCs w:val="21"/>
                      <w:vertAlign w:val="superscript"/>
                      <w:lang w:val="en-US" w:eastAsia="zh-CN"/>
                    </w:rPr>
                    <w:t>3</w:t>
                  </w:r>
                  <w:r>
                    <w:rPr>
                      <w:rFonts w:hint="eastAsia" w:ascii="Times New Roman" w:hAnsi="Times New Roman" w:eastAsia="仿宋" w:cs="Times New Roman"/>
                      <w:b w:val="0"/>
                      <w:bCs w:val="0"/>
                      <w:color w:val="auto"/>
                      <w:sz w:val="21"/>
                      <w:szCs w:val="21"/>
                      <w:lang w:val="en-US" w:eastAsia="zh-CN"/>
                    </w:rPr>
                    <w:t>）</w:t>
                  </w:r>
                </w:p>
              </w:tc>
              <w:tc>
                <w:tcPr>
                  <w:tcW w:w="711" w:type="pct"/>
                  <w:vAlign w:val="center"/>
                </w:tcPr>
                <w:p w14:paraId="22827C29">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不洒水</w:t>
                  </w:r>
                </w:p>
              </w:tc>
              <w:tc>
                <w:tcPr>
                  <w:tcW w:w="560" w:type="pct"/>
                  <w:vAlign w:val="center"/>
                </w:tcPr>
                <w:p w14:paraId="31BE9ECC">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10.14</w:t>
                  </w:r>
                </w:p>
              </w:tc>
              <w:tc>
                <w:tcPr>
                  <w:tcW w:w="520" w:type="pct"/>
                  <w:vAlign w:val="center"/>
                </w:tcPr>
                <w:p w14:paraId="5D4F6D3F">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2.89</w:t>
                  </w:r>
                </w:p>
              </w:tc>
              <w:tc>
                <w:tcPr>
                  <w:tcW w:w="543" w:type="pct"/>
                  <w:vAlign w:val="center"/>
                </w:tcPr>
                <w:p w14:paraId="44F9003E">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0.86</w:t>
                  </w:r>
                </w:p>
              </w:tc>
              <w:tc>
                <w:tcPr>
                  <w:tcW w:w="632" w:type="pct"/>
                  <w:vMerge w:val="restart"/>
                  <w:vAlign w:val="center"/>
                </w:tcPr>
                <w:p w14:paraId="4323DFCF">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0.5</w:t>
                  </w:r>
                </w:p>
              </w:tc>
            </w:tr>
            <w:tr w14:paraId="7C0C2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vMerge w:val="continue"/>
                  <w:vAlign w:val="center"/>
                </w:tcPr>
                <w:p w14:paraId="3810EDAE">
                  <w:pPr>
                    <w:pStyle w:val="7"/>
                    <w:keepNext w:val="0"/>
                    <w:keepLines w:val="0"/>
                    <w:suppressLineNumbers w:val="0"/>
                    <w:spacing w:beforeAutospacing="0" w:afterAutospacing="0"/>
                    <w:ind w:left="0" w:right="0"/>
                    <w:jc w:val="center"/>
                    <w:rPr>
                      <w:rFonts w:hint="eastAsia" w:ascii="Times New Roman" w:hAnsi="Times New Roman" w:eastAsia="仿宋" w:cs="Times New Roman"/>
                      <w:b/>
                      <w:bCs/>
                      <w:color w:val="auto"/>
                      <w:sz w:val="21"/>
                      <w:szCs w:val="21"/>
                      <w:lang w:val="en-US" w:eastAsia="zh-CN"/>
                    </w:rPr>
                  </w:pPr>
                </w:p>
              </w:tc>
              <w:tc>
                <w:tcPr>
                  <w:tcW w:w="711" w:type="pct"/>
                  <w:vAlign w:val="center"/>
                </w:tcPr>
                <w:p w14:paraId="1B1D8634">
                  <w:pPr>
                    <w:pStyle w:val="7"/>
                    <w:keepNext w:val="0"/>
                    <w:keepLines w:val="0"/>
                    <w:suppressLineNumbers w:val="0"/>
                    <w:spacing w:beforeAutospacing="0" w:afterAutospacing="0"/>
                    <w:ind w:left="0" w:right="0"/>
                    <w:jc w:val="center"/>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洒水</w:t>
                  </w:r>
                </w:p>
              </w:tc>
              <w:tc>
                <w:tcPr>
                  <w:tcW w:w="560" w:type="pct"/>
                  <w:vAlign w:val="center"/>
                </w:tcPr>
                <w:p w14:paraId="64D33102">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2.01</w:t>
                  </w:r>
                </w:p>
              </w:tc>
              <w:tc>
                <w:tcPr>
                  <w:tcW w:w="520" w:type="pct"/>
                  <w:vAlign w:val="center"/>
                </w:tcPr>
                <w:p w14:paraId="0095A261">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1.04</w:t>
                  </w:r>
                </w:p>
              </w:tc>
              <w:tc>
                <w:tcPr>
                  <w:tcW w:w="543" w:type="pct"/>
                  <w:vAlign w:val="center"/>
                </w:tcPr>
                <w:p w14:paraId="335F2F3B">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0.</w:t>
                  </w:r>
                  <w:r>
                    <w:rPr>
                      <w:rFonts w:hint="eastAsia" w:eastAsia="仿宋" w:cs="Times New Roman"/>
                      <w:b w:val="0"/>
                      <w:bCs w:val="0"/>
                      <w:color w:val="auto"/>
                      <w:sz w:val="21"/>
                      <w:szCs w:val="21"/>
                      <w:lang w:val="en-US" w:eastAsia="zh-CN"/>
                    </w:rPr>
                    <w:t>32</w:t>
                  </w:r>
                </w:p>
              </w:tc>
              <w:tc>
                <w:tcPr>
                  <w:tcW w:w="632" w:type="pct"/>
                  <w:vMerge w:val="continue"/>
                  <w:vAlign w:val="center"/>
                </w:tcPr>
                <w:p w14:paraId="4E997961">
                  <w:pPr>
                    <w:pStyle w:val="7"/>
                    <w:keepNext w:val="0"/>
                    <w:keepLines w:val="0"/>
                    <w:suppressLineNumbers w:val="0"/>
                    <w:spacing w:beforeAutospacing="0" w:afterAutospacing="0"/>
                    <w:ind w:left="0" w:right="0"/>
                    <w:jc w:val="center"/>
                    <w:rPr>
                      <w:rFonts w:hint="eastAsia" w:ascii="Times New Roman" w:hAnsi="Times New Roman" w:eastAsia="仿宋" w:cs="Times New Roman"/>
                      <w:b/>
                      <w:bCs/>
                      <w:color w:val="auto"/>
                      <w:sz w:val="21"/>
                      <w:szCs w:val="21"/>
                      <w:lang w:val="en-US" w:eastAsia="zh-CN"/>
                    </w:rPr>
                  </w:pPr>
                </w:p>
              </w:tc>
            </w:tr>
          </w:tbl>
          <w:p w14:paraId="77FE5F33">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由该表数据可看出对施工场地实施每天洒水</w:t>
            </w:r>
            <w:r>
              <w:rPr>
                <w:rFonts w:hint="default" w:ascii="Times New Roman" w:hAnsi="Times New Roman" w:eastAsia="仿宋" w:cs="Times New Roman"/>
                <w:color w:val="auto"/>
                <w:kern w:val="0"/>
                <w:sz w:val="24"/>
                <w:szCs w:val="22"/>
                <w:highlight w:val="none"/>
                <w:lang w:val="en-US" w:eastAsia="zh-CN" w:bidi="ar-SA"/>
              </w:rPr>
              <w:t>4-5</w:t>
            </w:r>
            <w:r>
              <w:rPr>
                <w:rFonts w:hint="eastAsia" w:ascii="Times New Roman" w:hAnsi="Times New Roman" w:eastAsia="仿宋" w:cs="Times New Roman"/>
                <w:color w:val="auto"/>
                <w:kern w:val="0"/>
                <w:sz w:val="24"/>
                <w:szCs w:val="22"/>
                <w:highlight w:val="none"/>
                <w:lang w:val="en-US" w:eastAsia="zh-CN" w:bidi="ar-SA"/>
              </w:rPr>
              <w:t>次进行抑尘，可有效地控制施工扬尘，并可将</w:t>
            </w:r>
            <w:r>
              <w:rPr>
                <w:rFonts w:hint="default" w:ascii="Times New Roman" w:hAnsi="Times New Roman" w:eastAsia="仿宋" w:cs="Times New Roman"/>
                <w:color w:val="auto"/>
                <w:kern w:val="0"/>
                <w:sz w:val="24"/>
                <w:szCs w:val="22"/>
                <w:highlight w:val="none"/>
                <w:lang w:val="en-US" w:eastAsia="zh-CN" w:bidi="ar-SA"/>
              </w:rPr>
              <w:t>TSP</w:t>
            </w:r>
            <w:r>
              <w:rPr>
                <w:rFonts w:hint="eastAsia" w:ascii="Times New Roman" w:hAnsi="Times New Roman" w:eastAsia="仿宋" w:cs="Times New Roman"/>
                <w:color w:val="auto"/>
                <w:kern w:val="0"/>
                <w:sz w:val="24"/>
                <w:szCs w:val="22"/>
                <w:highlight w:val="none"/>
                <w:lang w:val="en-US" w:eastAsia="zh-CN" w:bidi="ar-SA"/>
              </w:rPr>
              <w:t>污染距离缩小到</w:t>
            </w:r>
            <w:r>
              <w:rPr>
                <w:rFonts w:hint="default" w:ascii="Times New Roman" w:hAnsi="Times New Roman" w:eastAsia="仿宋" w:cs="Times New Roman"/>
                <w:color w:val="auto"/>
                <w:kern w:val="0"/>
                <w:sz w:val="24"/>
                <w:szCs w:val="22"/>
                <w:highlight w:val="none"/>
                <w:lang w:val="en-US" w:eastAsia="zh-CN" w:bidi="ar-SA"/>
              </w:rPr>
              <w:t>20-50m</w:t>
            </w:r>
            <w:r>
              <w:rPr>
                <w:rFonts w:hint="eastAsia" w:ascii="Times New Roman" w:hAnsi="Times New Roman" w:eastAsia="仿宋" w:cs="Times New Roman"/>
                <w:color w:val="auto"/>
                <w:kern w:val="0"/>
                <w:sz w:val="24"/>
                <w:szCs w:val="22"/>
                <w:highlight w:val="none"/>
                <w:lang w:val="en-US" w:eastAsia="zh-CN" w:bidi="ar-SA"/>
              </w:rPr>
              <w:t>范围。</w:t>
            </w:r>
          </w:p>
          <w:p w14:paraId="27508C69">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6</w:t>
            </w:r>
            <w:r>
              <w:rPr>
                <w:rFonts w:hint="eastAsia" w:ascii="Times New Roman" w:hAnsi="Times New Roman" w:eastAsia="仿宋" w:cs="Times New Roman"/>
                <w:b/>
                <w:bCs/>
                <w:color w:val="auto"/>
                <w:kern w:val="0"/>
                <w:sz w:val="24"/>
                <w:szCs w:val="22"/>
                <w:highlight w:val="none"/>
                <w:lang w:val="en-US" w:eastAsia="zh-CN" w:bidi="ar-SA"/>
              </w:rPr>
              <w:t>、施工期噪声环境影响分析</w:t>
            </w:r>
          </w:p>
          <w:p w14:paraId="6ECF20FF">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根据工程总布置及施工方法，施工活动产生的噪声主要来自施工过程中的施工机械噪声与交通运输</w:t>
            </w:r>
            <w:r>
              <w:rPr>
                <w:rFonts w:hint="eastAsia" w:eastAsia="仿宋" w:cs="Times New Roman"/>
                <w:color w:val="auto"/>
                <w:kern w:val="0"/>
                <w:sz w:val="24"/>
                <w:szCs w:val="22"/>
                <w:highlight w:val="none"/>
                <w:lang w:val="en-US" w:eastAsia="zh-CN" w:bidi="ar-SA"/>
              </w:rPr>
              <w:t>载具</w:t>
            </w:r>
            <w:r>
              <w:rPr>
                <w:rFonts w:hint="eastAsia" w:ascii="Times New Roman" w:hAnsi="Times New Roman" w:eastAsia="仿宋" w:cs="Times New Roman"/>
                <w:color w:val="auto"/>
                <w:kern w:val="0"/>
                <w:sz w:val="24"/>
                <w:szCs w:val="22"/>
                <w:highlight w:val="none"/>
                <w:lang w:val="en-US" w:eastAsia="zh-CN" w:bidi="ar-SA"/>
              </w:rPr>
              <w:t>噪声。</w:t>
            </w:r>
          </w:p>
          <w:p w14:paraId="74C99001">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对施工机械设备产生的噪声采用固定点源噪声衰减模型进行预测和《建筑施工场界噪声限值》（</w:t>
            </w:r>
            <w:r>
              <w:rPr>
                <w:rFonts w:hint="default" w:ascii="Times New Roman" w:hAnsi="Times New Roman" w:eastAsia="仿宋" w:cs="Times New Roman"/>
                <w:color w:val="auto"/>
                <w:kern w:val="0"/>
                <w:sz w:val="24"/>
                <w:szCs w:val="22"/>
                <w:highlight w:val="none"/>
                <w:lang w:val="en-US" w:eastAsia="zh-CN" w:bidi="ar-SA"/>
              </w:rPr>
              <w:t>GB12523-90</w:t>
            </w:r>
            <w:r>
              <w:rPr>
                <w:rFonts w:hint="eastAsia" w:ascii="Times New Roman" w:hAnsi="Times New Roman" w:eastAsia="仿宋" w:cs="Times New Roman"/>
                <w:color w:val="auto"/>
                <w:kern w:val="0"/>
                <w:sz w:val="24"/>
                <w:szCs w:val="22"/>
                <w:highlight w:val="none"/>
                <w:lang w:val="en-US" w:eastAsia="zh-CN" w:bidi="ar-SA"/>
              </w:rPr>
              <w:t>）进行评价。根据《建筑施工场界环境噪声排放标准》（GB12523-2011）限值要求，不同施工阶段作业噪声限值为：昼间70dB</w:t>
            </w:r>
            <w:r>
              <w:rPr>
                <w:rFonts w:hint="eastAsia" w:eastAsia="仿宋" w:cs="Times New Roman"/>
                <w:color w:val="auto"/>
                <w:kern w:val="0"/>
                <w:sz w:val="24"/>
                <w:szCs w:val="22"/>
                <w:highlight w:val="none"/>
                <w:lang w:val="en-US" w:eastAsia="zh-CN" w:bidi="ar-SA"/>
              </w:rPr>
              <w:t>（A）</w:t>
            </w:r>
            <w:r>
              <w:rPr>
                <w:rFonts w:hint="eastAsia" w:ascii="Times New Roman" w:hAnsi="Times New Roman" w:eastAsia="仿宋" w:cs="Times New Roman"/>
                <w:color w:val="auto"/>
                <w:kern w:val="0"/>
                <w:sz w:val="24"/>
                <w:szCs w:val="22"/>
                <w:highlight w:val="none"/>
                <w:lang w:val="en-US" w:eastAsia="zh-CN" w:bidi="ar-SA"/>
              </w:rPr>
              <w:t>，夜间55dB</w:t>
            </w:r>
            <w:r>
              <w:rPr>
                <w:rFonts w:hint="eastAsia" w:eastAsia="仿宋" w:cs="Times New Roman"/>
                <w:color w:val="auto"/>
                <w:kern w:val="0"/>
                <w:sz w:val="24"/>
                <w:szCs w:val="22"/>
                <w:highlight w:val="none"/>
                <w:lang w:val="en-US" w:eastAsia="zh-CN" w:bidi="ar-SA"/>
              </w:rPr>
              <w:t>（A）</w:t>
            </w:r>
            <w:r>
              <w:rPr>
                <w:rFonts w:hint="eastAsia" w:ascii="Times New Roman" w:hAnsi="Times New Roman" w:eastAsia="仿宋" w:cs="Times New Roman"/>
                <w:color w:val="auto"/>
                <w:kern w:val="0"/>
                <w:sz w:val="24"/>
                <w:szCs w:val="22"/>
                <w:highlight w:val="none"/>
                <w:lang w:val="en-US" w:eastAsia="zh-CN" w:bidi="ar-SA"/>
              </w:rPr>
              <w:t>。</w:t>
            </w:r>
          </w:p>
          <w:p w14:paraId="7C0C2840">
            <w:pPr>
              <w:widowControl/>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kern w:val="0"/>
                <w:sz w:val="24"/>
                <w:szCs w:val="22"/>
                <w:highlight w:val="none"/>
                <w:lang w:val="en-US" w:eastAsia="zh-CN" w:bidi="ar-SA"/>
              </w:rPr>
              <w:t>工程施工期使用的机械主要有挖掘机、拖拉机</w:t>
            </w:r>
            <w:r>
              <w:rPr>
                <w:rFonts w:hint="eastAsia" w:eastAsia="仿宋" w:cs="Times New Roman"/>
                <w:color w:val="auto"/>
                <w:kern w:val="0"/>
                <w:sz w:val="24"/>
                <w:szCs w:val="22"/>
                <w:highlight w:val="none"/>
                <w:lang w:val="en-US" w:eastAsia="zh-CN" w:bidi="ar-SA"/>
              </w:rPr>
              <w:t>、装卸机</w:t>
            </w:r>
            <w:r>
              <w:rPr>
                <w:rFonts w:hint="default" w:ascii="Times New Roman" w:hAnsi="Times New Roman" w:eastAsia="仿宋" w:cs="Times New Roman"/>
                <w:color w:val="auto"/>
                <w:kern w:val="0"/>
                <w:sz w:val="24"/>
                <w:szCs w:val="22"/>
                <w:highlight w:val="none"/>
                <w:lang w:val="en-US" w:eastAsia="zh-CN" w:bidi="ar-SA"/>
              </w:rPr>
              <w:t>、卡车等，这些施工机械的运行噪声在</w:t>
            </w:r>
            <w:r>
              <w:rPr>
                <w:rFonts w:hint="eastAsia" w:eastAsia="仿宋" w:cs="Times New Roman"/>
                <w:color w:val="auto"/>
                <w:kern w:val="0"/>
                <w:sz w:val="24"/>
                <w:szCs w:val="22"/>
                <w:highlight w:val="none"/>
                <w:lang w:val="en-US" w:eastAsia="zh-CN" w:bidi="ar-SA"/>
              </w:rPr>
              <w:t>80~90</w:t>
            </w:r>
            <w:r>
              <w:rPr>
                <w:rFonts w:hint="default" w:ascii="Times New Roman" w:hAnsi="Times New Roman" w:eastAsia="仿宋" w:cs="Times New Roman"/>
                <w:color w:val="auto"/>
                <w:kern w:val="0"/>
                <w:sz w:val="24"/>
                <w:szCs w:val="22"/>
                <w:highlight w:val="none"/>
                <w:lang w:val="en-US" w:eastAsia="zh-CN" w:bidi="ar-SA"/>
              </w:rPr>
              <w:t>dB</w:t>
            </w:r>
            <w:r>
              <w:rPr>
                <w:rFonts w:hint="eastAsia" w:eastAsia="仿宋" w:cs="Times New Roman"/>
                <w:color w:val="auto"/>
                <w:kern w:val="0"/>
                <w:sz w:val="24"/>
                <w:szCs w:val="22"/>
                <w:highlight w:val="none"/>
                <w:lang w:val="en-US" w:eastAsia="zh-CN" w:bidi="ar-SA"/>
              </w:rPr>
              <w:t>（A）</w:t>
            </w:r>
            <w:r>
              <w:rPr>
                <w:rFonts w:hint="default" w:ascii="Times New Roman" w:hAnsi="Times New Roman" w:eastAsia="仿宋" w:cs="Times New Roman"/>
                <w:color w:val="auto"/>
                <w:kern w:val="0"/>
                <w:sz w:val="24"/>
                <w:szCs w:val="22"/>
                <w:highlight w:val="none"/>
                <w:lang w:val="en-US" w:eastAsia="zh-CN" w:bidi="ar-SA"/>
              </w:rPr>
              <w:t>之间。根据预测可知，各种施工机械白天在距离噪声源7.9～149.5m之外，夜间在距离噪声源37.6～473.2m之外均能达到施工场界噪声限值。可见，施工机械噪声的昼间影响范围在7.9～149.5m以内，夜间的影响范围在37.6～473.2m以内。在实际施工过程中，往往是各种机械同时工作，各种噪声源辐射的相互迭加，噪声级将会更高，辐射面也会更大。</w:t>
            </w:r>
            <w:r>
              <w:rPr>
                <w:rFonts w:hint="default" w:ascii="Times New Roman" w:hAnsi="Times New Roman" w:eastAsia="仿宋" w:cs="Times New Roman"/>
                <w:color w:val="auto"/>
                <w:sz w:val="24"/>
              </w:rPr>
              <w:t>由此产生的噪声对周围区域环境有一定的影响，该影响是短期的、暂时的，而且具有局部路段特性</w:t>
            </w:r>
            <w:r>
              <w:rPr>
                <w:rFonts w:hint="default" w:ascii="Times New Roman" w:hAnsi="Times New Roman" w:eastAsia="仿宋" w:cs="Times New Roman"/>
                <w:color w:val="auto"/>
                <w:sz w:val="24"/>
                <w:lang w:eastAsia="zh-CN"/>
              </w:rPr>
              <w:t>，</w:t>
            </w:r>
            <w:r>
              <w:rPr>
                <w:rFonts w:hint="default" w:ascii="Times New Roman" w:hAnsi="Times New Roman" w:eastAsia="仿宋" w:cs="Times New Roman"/>
                <w:color w:val="auto"/>
                <w:lang w:val="en-US" w:eastAsia="zh-CN"/>
              </w:rPr>
              <w:t>本项目施工区距离最近的</w:t>
            </w:r>
            <w:r>
              <w:rPr>
                <w:rFonts w:hint="eastAsia" w:ascii="Times New Roman" w:hAnsi="Times New Roman" w:eastAsia="仿宋" w:cs="Times New Roman"/>
                <w:color w:val="auto"/>
                <w:lang w:val="en-US" w:eastAsia="zh-CN"/>
              </w:rPr>
              <w:t>敏感</w:t>
            </w:r>
            <w:r>
              <w:rPr>
                <w:rFonts w:hint="default" w:ascii="Times New Roman" w:hAnsi="Times New Roman" w:eastAsia="仿宋" w:cs="Times New Roman"/>
                <w:color w:val="auto"/>
                <w:lang w:val="en-US" w:eastAsia="zh-CN"/>
              </w:rPr>
              <w:t>点</w:t>
            </w:r>
            <w:r>
              <w:rPr>
                <w:rFonts w:hint="eastAsia" w:eastAsia="仿宋" w:cs="Times New Roman"/>
                <w:color w:val="auto"/>
                <w:lang w:val="en-US" w:eastAsia="zh-CN"/>
              </w:rPr>
              <w:t>河海大学长荡湖校区150</w:t>
            </w:r>
            <w:r>
              <w:rPr>
                <w:rFonts w:hint="default" w:ascii="Times New Roman" w:hAnsi="Times New Roman" w:eastAsia="仿宋" w:cs="Times New Roman"/>
                <w:color w:val="auto"/>
                <w:lang w:val="en-US" w:eastAsia="zh-CN"/>
              </w:rPr>
              <w:t>m，通过合理安排施工时间</w:t>
            </w:r>
            <w:r>
              <w:rPr>
                <w:rFonts w:hint="eastAsia" w:eastAsia="仿宋" w:cs="Times New Roman"/>
                <w:color w:val="auto"/>
                <w:lang w:val="en-US" w:eastAsia="zh-CN"/>
              </w:rPr>
              <w:t>（夜间不施工）</w:t>
            </w:r>
            <w:r>
              <w:rPr>
                <w:rFonts w:hint="default" w:ascii="Times New Roman" w:hAnsi="Times New Roman" w:eastAsia="仿宋" w:cs="Times New Roman"/>
                <w:color w:val="auto"/>
                <w:lang w:val="en-US" w:eastAsia="zh-CN"/>
              </w:rPr>
              <w:t>，在声源周围设置掩蔽物等减少噪声影响。</w:t>
            </w:r>
          </w:p>
          <w:p w14:paraId="495F2F54">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7</w:t>
            </w:r>
            <w:r>
              <w:rPr>
                <w:rFonts w:hint="eastAsia" w:ascii="Times New Roman" w:hAnsi="Times New Roman" w:eastAsia="仿宋" w:cs="Times New Roman"/>
                <w:b/>
                <w:bCs/>
                <w:color w:val="auto"/>
                <w:kern w:val="0"/>
                <w:sz w:val="24"/>
                <w:szCs w:val="22"/>
                <w:highlight w:val="none"/>
                <w:lang w:val="en-US" w:eastAsia="zh-CN" w:bidi="ar-SA"/>
              </w:rPr>
              <w:t>、施工期固废环境影响分析</w:t>
            </w:r>
          </w:p>
          <w:p w14:paraId="6324FCDF">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施工期固体废物主要包括施工人员的生活垃圾</w:t>
            </w:r>
            <w:r>
              <w:rPr>
                <w:rFonts w:hint="eastAsia" w:eastAsia="仿宋" w:cs="Times New Roman"/>
                <w:color w:val="auto"/>
                <w:kern w:val="0"/>
                <w:sz w:val="24"/>
                <w:szCs w:val="22"/>
                <w:highlight w:val="none"/>
                <w:lang w:val="en-US" w:eastAsia="zh-CN" w:bidi="ar-SA"/>
              </w:rPr>
              <w:t>、</w:t>
            </w:r>
            <w:r>
              <w:rPr>
                <w:rFonts w:hint="eastAsia" w:ascii="Times New Roman" w:hAnsi="Times New Roman" w:eastAsia="仿宋" w:cs="Times New Roman"/>
                <w:color w:val="auto"/>
                <w:kern w:val="0"/>
                <w:sz w:val="24"/>
                <w:szCs w:val="22"/>
                <w:highlight w:val="none"/>
                <w:lang w:val="en-US" w:eastAsia="zh-CN" w:bidi="ar-SA"/>
              </w:rPr>
              <w:t>建筑垃圾</w:t>
            </w:r>
            <w:r>
              <w:rPr>
                <w:rFonts w:hint="eastAsia" w:eastAsia="仿宋" w:cs="Times New Roman"/>
                <w:color w:val="auto"/>
                <w:kern w:val="0"/>
                <w:sz w:val="24"/>
                <w:szCs w:val="22"/>
                <w:highlight w:val="none"/>
                <w:lang w:val="en-US" w:eastAsia="zh-CN" w:bidi="ar-SA"/>
              </w:rPr>
              <w:t>和含油废物</w:t>
            </w:r>
            <w:r>
              <w:rPr>
                <w:rFonts w:hint="eastAsia" w:ascii="Times New Roman" w:hAnsi="Times New Roman" w:eastAsia="仿宋" w:cs="Times New Roman"/>
                <w:color w:val="auto"/>
                <w:kern w:val="0"/>
                <w:sz w:val="24"/>
                <w:szCs w:val="22"/>
                <w:highlight w:val="none"/>
                <w:lang w:val="en-US" w:eastAsia="zh-CN" w:bidi="ar-SA"/>
              </w:rPr>
              <w:t>等。</w:t>
            </w:r>
          </w:p>
          <w:p w14:paraId="1172896E">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（1）</w:t>
            </w:r>
            <w:r>
              <w:rPr>
                <w:rFonts w:hint="eastAsia" w:ascii="Times New Roman" w:hAnsi="Times New Roman" w:eastAsia="仿宋" w:cs="Times New Roman"/>
                <w:color w:val="auto"/>
                <w:kern w:val="0"/>
                <w:sz w:val="24"/>
                <w:szCs w:val="22"/>
                <w:highlight w:val="none"/>
                <w:lang w:val="en-US" w:eastAsia="zh-CN" w:bidi="ar-SA"/>
              </w:rPr>
              <w:t>生活垃圾</w:t>
            </w:r>
          </w:p>
          <w:p w14:paraId="10B4D61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项目施工期间，各类施工人员较为集中，参照《城市生活垃圾产量计算及预测方法》中的有关规定，生活垃圾排放量标准按0.5kg/人日计算，则全线施工人员生活垃圾排放量为</w:t>
            </w:r>
            <w:r>
              <w:rPr>
                <w:rFonts w:hint="eastAsia" w:eastAsia="仿宋" w:cs="Times New Roman"/>
                <w:color w:val="auto"/>
                <w:kern w:val="0"/>
                <w:sz w:val="24"/>
                <w:szCs w:val="22"/>
                <w:highlight w:val="none"/>
                <w:lang w:val="en-US" w:eastAsia="zh-CN" w:bidi="ar-SA"/>
              </w:rPr>
              <w:t>40</w:t>
            </w:r>
            <w:r>
              <w:rPr>
                <w:rFonts w:hint="eastAsia" w:ascii="Times New Roman" w:hAnsi="Times New Roman" w:eastAsia="仿宋" w:cs="Times New Roman"/>
                <w:color w:val="auto"/>
                <w:kern w:val="0"/>
                <w:sz w:val="24"/>
                <w:szCs w:val="22"/>
                <w:highlight w:val="none"/>
                <w:lang w:val="en-US" w:eastAsia="zh-CN" w:bidi="ar-SA"/>
              </w:rPr>
              <w:t>kg/d；产生的生活垃圾经集中收集后由当地环卫部门统一清运，不会对沿线生态环境及</w:t>
            </w:r>
            <w:r>
              <w:rPr>
                <w:rFonts w:hint="eastAsia" w:eastAsia="仿宋" w:cs="Times New Roman"/>
                <w:color w:val="auto"/>
                <w:kern w:val="0"/>
                <w:sz w:val="24"/>
                <w:szCs w:val="22"/>
                <w:highlight w:val="none"/>
                <w:lang w:val="en-US" w:eastAsia="zh-CN" w:bidi="ar-SA"/>
              </w:rPr>
              <w:t>长荡湖</w:t>
            </w:r>
            <w:r>
              <w:rPr>
                <w:rFonts w:hint="eastAsia" w:ascii="Times New Roman" w:hAnsi="Times New Roman" w:eastAsia="仿宋" w:cs="Times New Roman"/>
                <w:color w:val="auto"/>
                <w:kern w:val="0"/>
                <w:sz w:val="24"/>
                <w:szCs w:val="22"/>
                <w:highlight w:val="none"/>
                <w:lang w:val="en-US" w:eastAsia="zh-CN" w:bidi="ar-SA"/>
              </w:rPr>
              <w:t>等水环境造成较大的影响。</w:t>
            </w:r>
          </w:p>
          <w:p w14:paraId="6E0F185B">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（2）</w:t>
            </w:r>
            <w:r>
              <w:rPr>
                <w:rFonts w:hint="eastAsia" w:ascii="Times New Roman" w:hAnsi="Times New Roman" w:eastAsia="仿宋" w:cs="Times New Roman"/>
                <w:color w:val="auto"/>
                <w:kern w:val="0"/>
                <w:sz w:val="24"/>
                <w:szCs w:val="22"/>
                <w:highlight w:val="none"/>
                <w:lang w:val="en-US" w:eastAsia="zh-CN" w:bidi="ar-SA"/>
              </w:rPr>
              <w:t>建筑垃圾</w:t>
            </w:r>
          </w:p>
          <w:p w14:paraId="181A969D">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道路施工、桥梁施工过程中产生一定量的建筑垃圾，属特种垃圾，需移交特种垃圾管理站统一处理</w:t>
            </w:r>
            <w:r>
              <w:rPr>
                <w:rFonts w:hint="eastAsia" w:eastAsia="仿宋" w:cs="Times New Roman"/>
                <w:color w:val="auto"/>
                <w:kern w:val="0"/>
                <w:sz w:val="24"/>
                <w:szCs w:val="22"/>
                <w:highlight w:val="none"/>
                <w:lang w:val="en-US" w:eastAsia="zh-CN" w:bidi="ar-SA"/>
              </w:rPr>
              <w:t>，</w:t>
            </w:r>
            <w:r>
              <w:rPr>
                <w:rFonts w:hint="eastAsia" w:ascii="Times New Roman" w:hAnsi="Times New Roman" w:eastAsia="仿宋" w:cs="Times New Roman"/>
                <w:color w:val="auto"/>
                <w:kern w:val="0"/>
                <w:sz w:val="24"/>
                <w:szCs w:val="22"/>
                <w:highlight w:val="none"/>
                <w:lang w:val="en-US" w:eastAsia="zh-CN" w:bidi="ar-SA"/>
              </w:rPr>
              <w:t>建筑垃圾应及时清运，做到日产日清，严禁乱丢乱弃、随意焚烧、堆放或向河道倾倒，同时在运输过程中要加以覆盖，防止沿途撒落。</w:t>
            </w:r>
          </w:p>
          <w:p w14:paraId="58D8A2A8">
            <w:pPr>
              <w:keepNext w:val="0"/>
              <w:keepLines w:val="0"/>
              <w:widowControl/>
              <w:suppressLineNumbers w:val="0"/>
              <w:jc w:val="left"/>
              <w:rPr>
                <w:rFonts w:hint="default" w:hAnsi="Times New Roman" w:eastAsia="仿宋" w:cs="Times New Roman"/>
                <w:color w:val="auto"/>
                <w:kern w:val="0"/>
                <w:sz w:val="24"/>
                <w:highlight w:val="none"/>
                <w:lang w:val="en-US" w:eastAsia="zh-CN"/>
              </w:rPr>
            </w:pPr>
            <w:r>
              <w:rPr>
                <w:rFonts w:hint="eastAsia" w:hAnsi="Times New Roman" w:eastAsia="仿宋" w:cs="Times New Roman"/>
                <w:color w:val="auto"/>
                <w:kern w:val="0"/>
                <w:sz w:val="24"/>
                <w:highlight w:val="none"/>
                <w:lang w:eastAsia="zh-CN"/>
              </w:rPr>
              <w:t>（</w:t>
            </w:r>
            <w:r>
              <w:rPr>
                <w:rFonts w:hint="eastAsia" w:hAnsi="Times New Roman" w:eastAsia="仿宋" w:cs="Times New Roman"/>
                <w:color w:val="auto"/>
                <w:kern w:val="0"/>
                <w:sz w:val="24"/>
                <w:highlight w:val="none"/>
                <w:lang w:val="en-US" w:eastAsia="zh-CN"/>
              </w:rPr>
              <w:t>3</w:t>
            </w:r>
            <w:r>
              <w:rPr>
                <w:rFonts w:hint="eastAsia" w:hAnsi="Times New Roman" w:eastAsia="仿宋" w:cs="Times New Roman"/>
                <w:color w:val="auto"/>
                <w:kern w:val="0"/>
                <w:sz w:val="24"/>
                <w:highlight w:val="none"/>
                <w:lang w:eastAsia="zh-CN"/>
              </w:rPr>
              <w:t>）</w:t>
            </w:r>
            <w:r>
              <w:rPr>
                <w:rFonts w:hint="eastAsia" w:hAnsi="Times New Roman" w:eastAsia="仿宋" w:cs="Times New Roman"/>
                <w:color w:val="auto"/>
                <w:kern w:val="0"/>
                <w:sz w:val="24"/>
                <w:highlight w:val="none"/>
                <w:lang w:val="en-US" w:eastAsia="zh-CN"/>
              </w:rPr>
              <w:t>含油废物</w:t>
            </w:r>
          </w:p>
          <w:p w14:paraId="198D7120">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仿宋" w:cs="Times New Roman"/>
                <w:b w:val="0"/>
                <w:bCs w:val="0"/>
                <w:kern w:val="0"/>
                <w:sz w:val="24"/>
                <w:lang w:val="en-US" w:eastAsia="zh-CN"/>
              </w:rPr>
            </w:pPr>
            <w:r>
              <w:rPr>
                <w:rFonts w:hint="eastAsia" w:ascii="Times New Roman" w:hAnsi="Times New Roman" w:eastAsia="仿宋" w:cs="Times New Roman"/>
                <w:b w:val="0"/>
                <w:bCs w:val="0"/>
                <w:kern w:val="0"/>
                <w:sz w:val="24"/>
                <w:lang w:val="en-US" w:eastAsia="zh-CN"/>
              </w:rPr>
              <w:t>施工机械临时维修产生的废机油0.01t和含油废水经隔油池处理后产生的隔油油泥0.01t，经收集后委托有资质单位处置。</w:t>
            </w:r>
          </w:p>
          <w:p w14:paraId="1293F041">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8</w:t>
            </w:r>
            <w:r>
              <w:rPr>
                <w:rFonts w:hint="eastAsia" w:ascii="Times New Roman" w:hAnsi="Times New Roman" w:eastAsia="仿宋" w:cs="Times New Roman"/>
                <w:b/>
                <w:bCs/>
                <w:color w:val="auto"/>
                <w:kern w:val="0"/>
                <w:sz w:val="24"/>
                <w:szCs w:val="22"/>
                <w:highlight w:val="none"/>
                <w:lang w:val="en-US" w:eastAsia="zh-CN" w:bidi="ar-SA"/>
              </w:rPr>
              <w:t>、环境风险影响分析</w:t>
            </w:r>
          </w:p>
          <w:p w14:paraId="03597010">
            <w:pPr>
              <w:keepNext w:val="0"/>
              <w:keepLines w:val="0"/>
              <w:widowControl/>
              <w:suppressLineNumbers w:val="0"/>
              <w:jc w:val="left"/>
              <w:rPr>
                <w:rFonts w:hint="default" w:ascii="Times New Roman" w:hAnsi="Times New Roman" w:eastAsia="仿宋" w:cs="Times New Roman"/>
                <w:color w:val="auto"/>
                <w:kern w:val="0"/>
                <w:sz w:val="24"/>
                <w:szCs w:val="24"/>
                <w:highlight w:val="none"/>
                <w:lang w:val="en-US" w:eastAsia="zh-CN"/>
              </w:rPr>
            </w:pPr>
            <w:r>
              <w:rPr>
                <w:rFonts w:hint="eastAsia" w:ascii="Times New Roman" w:hAnsi="Times New Roman" w:eastAsia="仿宋" w:cs="Times New Roman"/>
                <w:color w:val="auto"/>
                <w:kern w:val="0"/>
                <w:sz w:val="24"/>
                <w:szCs w:val="22"/>
                <w:highlight w:val="none"/>
                <w:lang w:val="en-US" w:eastAsia="zh-CN" w:bidi="ar-SA"/>
              </w:rPr>
              <w:t>本项目使用多种机械，可能会发生跑、冒、滴、漏和机械故障的突发性排油事故等，</w:t>
            </w:r>
            <w:r>
              <w:rPr>
                <w:rFonts w:hint="eastAsia" w:eastAsia="仿宋" w:cs="Times New Roman"/>
                <w:color w:val="auto"/>
                <w:kern w:val="0"/>
                <w:sz w:val="24"/>
                <w:szCs w:val="22"/>
                <w:highlight w:val="none"/>
                <w:lang w:val="en-US" w:eastAsia="zh-CN" w:bidi="ar-SA"/>
              </w:rPr>
              <w:t>可能产生油污的机械应停置于水泥路面，不在河道边坡土地停靠，及时用吸油毡或抹布清理滴漏油污，因此，本项目对环境风险影响较小</w:t>
            </w:r>
            <w:r>
              <w:rPr>
                <w:rFonts w:hint="eastAsia" w:ascii="Times New Roman" w:hAnsi="Times New Roman" w:eastAsia="仿宋" w:cs="Times New Roman"/>
                <w:color w:val="auto"/>
                <w:kern w:val="0"/>
                <w:sz w:val="24"/>
                <w:szCs w:val="22"/>
                <w:highlight w:val="none"/>
                <w:lang w:val="en-US" w:eastAsia="zh-CN" w:bidi="ar-SA"/>
              </w:rPr>
              <w:t>。</w:t>
            </w:r>
          </w:p>
        </w:tc>
      </w:tr>
      <w:tr w14:paraId="56F96BB8">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90" w:hRule="atLeast"/>
        </w:trPr>
        <w:tc>
          <w:tcPr>
            <w:tcW w:w="426" w:type="dxa"/>
            <w:tcBorders>
              <w:bottom w:val="single" w:color="auto" w:sz="4" w:space="0"/>
            </w:tcBorders>
            <w:vAlign w:val="center"/>
          </w:tcPr>
          <w:p w14:paraId="3F191478">
            <w:pPr>
              <w:pStyle w:val="30"/>
              <w:jc w:val="center"/>
              <w:rPr>
                <w:rFonts w:hint="default" w:ascii="仿宋" w:hAnsi="仿宋" w:eastAsia="仿宋" w:cs="仿宋"/>
                <w:color w:val="auto"/>
                <w:sz w:val="21"/>
                <w:szCs w:val="21"/>
                <w:highlight w:val="none"/>
                <w:vertAlign w:val="baseline"/>
                <w:lang w:val="en-US" w:eastAsia="zh-CN" w:bidi="ar-SA"/>
              </w:rPr>
            </w:pPr>
            <w:r>
              <w:rPr>
                <w:rFonts w:hint="eastAsia" w:ascii="仿宋" w:hAnsi="仿宋" w:eastAsia="仿宋" w:cs="仿宋"/>
                <w:color w:val="auto"/>
                <w:sz w:val="21"/>
                <w:szCs w:val="21"/>
                <w:highlight w:val="none"/>
                <w:vertAlign w:val="baseline"/>
                <w:lang w:val="en-US" w:eastAsia="zh-CN"/>
              </w:rPr>
              <w:t>运营期环生态环境影响分析</w:t>
            </w:r>
          </w:p>
        </w:tc>
        <w:tc>
          <w:tcPr>
            <w:tcW w:w="8524" w:type="dxa"/>
            <w:tcBorders>
              <w:bottom w:val="single" w:color="auto" w:sz="4" w:space="0"/>
            </w:tcBorders>
            <w:vAlign w:val="top"/>
          </w:tcPr>
          <w:p w14:paraId="190E15F3">
            <w:pPr>
              <w:keepNext w:val="0"/>
              <w:keepLines w:val="0"/>
              <w:widowControl/>
              <w:suppressLineNumbers w:val="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本项目为</w:t>
            </w:r>
            <w:r>
              <w:rPr>
                <w:rFonts w:hint="eastAsia" w:eastAsia="仿宋" w:cs="Times New Roman"/>
                <w:color w:val="auto"/>
                <w:kern w:val="0"/>
                <w:sz w:val="24"/>
                <w:szCs w:val="22"/>
                <w:highlight w:val="none"/>
                <w:lang w:val="en-US" w:eastAsia="zh-CN" w:bidi="ar-SA"/>
              </w:rPr>
              <w:t>长荡湖体育休闲营地应急疏散通道</w:t>
            </w:r>
            <w:r>
              <w:rPr>
                <w:rFonts w:hint="eastAsia" w:ascii="Times New Roman" w:hAnsi="Times New Roman" w:eastAsia="仿宋" w:cs="Times New Roman"/>
                <w:color w:val="auto"/>
                <w:kern w:val="0"/>
                <w:sz w:val="24"/>
                <w:szCs w:val="22"/>
                <w:highlight w:val="none"/>
                <w:lang w:val="en-US" w:eastAsia="zh-CN" w:bidi="ar-SA"/>
              </w:rPr>
              <w:t>建设项目，本身不产生废气、废水、噪声和固体废物等，但考虑到作为人行道，来往行人会产生交谈噪声、生活垃圾等。</w:t>
            </w:r>
          </w:p>
          <w:p w14:paraId="54354DA0">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1、运营期生态环境影响分析</w:t>
            </w:r>
          </w:p>
          <w:p w14:paraId="572CB9A6">
            <w:pPr>
              <w:keepNext w:val="0"/>
              <w:keepLines w:val="0"/>
              <w:widowControl/>
              <w:suppressLineNumbers w:val="0"/>
              <w:jc w:val="left"/>
              <w:rPr>
                <w:rFonts w:hint="default"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（1）运营期对地表植被的影响</w:t>
            </w:r>
          </w:p>
          <w:p w14:paraId="00AE0173">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项目建成后，永久占地内的林地植被将完全被破坏，取而代之的是路面、辅助设施及绿化植被，土地利用类型转变为建筑用地类型。由于本项目建筑占用土地类型主要为农业种植区，由于植物种类和群落结构较为单一，受本项目建设引起边缘效应的影响较小，可以忽略。</w:t>
            </w:r>
          </w:p>
          <w:p w14:paraId="7CF3FAB8">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同时由于施工期间工程人员、工程建筑材料及车辆的反复进入，可能会无意中将外来物种带进施工区域。部分外来物种在当地缺少天敌，能更好地适应和利用被干扰的环境，可能导致当地类似生态位的物种种类和数量的减少，尤其是当外来入侵物种大面积占用可利用土地，造成当地本土植被的衰退。其不良影响存在滞后性，主要表现在项目营运期，因此，在项目营运过程中要加强动植物检验检疫工作，防范和阻止外来物种的入侵。</w:t>
            </w:r>
          </w:p>
          <w:p w14:paraId="7ADD89D8">
            <w:pPr>
              <w:keepNext w:val="0"/>
              <w:keepLines w:val="0"/>
              <w:widowControl/>
              <w:suppressLineNumbers w:val="0"/>
              <w:jc w:val="left"/>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（2）运营期对水生生态的影响</w:t>
            </w:r>
          </w:p>
          <w:p w14:paraId="4425809C">
            <w:pPr>
              <w:keepNext w:val="0"/>
              <w:keepLines w:val="0"/>
              <w:widowControl/>
              <w:suppressLineNumbers w:val="0"/>
              <w:jc w:val="left"/>
              <w:rPr>
                <w:rFonts w:hint="default"/>
                <w:lang w:val="en-US" w:eastAsia="zh-CN"/>
              </w:rPr>
            </w:pPr>
            <w:r>
              <w:rPr>
                <w:rFonts w:hint="eastAsia" w:eastAsia="仿宋" w:cs="Times New Roman"/>
                <w:color w:val="auto"/>
                <w:kern w:val="0"/>
                <w:sz w:val="24"/>
                <w:szCs w:val="22"/>
                <w:highlight w:val="none"/>
                <w:lang w:val="en-US" w:eastAsia="zh-CN" w:bidi="ar-SA"/>
              </w:rPr>
              <w:t>本项目为应急疏散通道工程，道路仅供人行及非机动车辆行驶，噪声等对水生态影响较小；降雨带来的路面径流主要流入桥面两侧排水管网，桥下水体受纳量较小。项目运营期对水生生态影响较小。由《长荡湖体育休闲房车营地——应急疏散通道项目渔业资源评价报告表》可知，项目桥墩永久占用水域导致渔业资源损失量为0.47kg/a，遮光干扰损失量为40.71kg/a，渔业资源价值年损失量价值合计为0.21万元。</w:t>
            </w:r>
          </w:p>
          <w:p w14:paraId="650C3062">
            <w:pPr>
              <w:pStyle w:val="30"/>
              <w:adjustRightInd/>
              <w:spacing w:line="360" w:lineRule="auto"/>
              <w:ind w:firstLine="480" w:firstLineChars="200"/>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（3）运营期对供水调蓄功能的影响</w:t>
            </w:r>
          </w:p>
          <w:p w14:paraId="40BFE978">
            <w:pPr>
              <w:pStyle w:val="30"/>
              <w:adjustRightInd/>
              <w:spacing w:line="360" w:lineRule="auto"/>
              <w:ind w:firstLine="480" w:firstLineChars="200"/>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湖泊和沼泽湿地是洪水调蓄的主要生态系统类型，可以在时间和空间上把洪水进行再分配，过量的水分被储存在土壤中或以地表水的形式保存，从而减轻洪水对下游水系的威胁，减少洪水带来的损失。</w:t>
            </w:r>
          </w:p>
          <w:p w14:paraId="1FE8CD1F">
            <w:pPr>
              <w:pStyle w:val="30"/>
              <w:adjustRightInd/>
              <w:spacing w:line="360" w:lineRule="auto"/>
              <w:ind w:firstLine="480" w:firstLineChars="200"/>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以洪水调蓄量反映生态空间管控区域的洪水调蓄功能，通过湖泊和沼泽湿地的洪水调蓄量总和来表征，计算公式：</w:t>
            </w:r>
          </w:p>
          <w:p w14:paraId="300F0EAD">
            <w:pPr>
              <w:pStyle w:val="30"/>
              <w:adjustRightInd/>
              <w:spacing w:line="360" w:lineRule="auto"/>
              <w:rPr>
                <w:rFonts w:hint="eastAsia" w:ascii="Times New Roman" w:hAnsi="Times New Roman" w:eastAsia="宋体" w:cs="Times New Roman"/>
                <w:color w:val="auto"/>
                <w:kern w:val="0"/>
                <w:sz w:val="24"/>
                <w:szCs w:val="22"/>
                <w:highlight w:val="none"/>
                <w:lang w:val="en-US" w:eastAsia="zh-CN" w:bidi="ar-SA"/>
              </w:rPr>
            </w:pPr>
            <m:oMathPara>
              <m:oMath>
                <m:sSub>
                  <m:sSubPr>
                    <m:ctrlPr>
                      <w:rPr>
                        <w:rFonts w:ascii="Cambria Math" w:hAnsi="Cambria Math" w:cs="Times New Roman"/>
                        <w:i/>
                        <w:color w:val="auto"/>
                        <w:kern w:val="0"/>
                        <w:sz w:val="24"/>
                        <w:szCs w:val="22"/>
                        <w:highlight w:val="none"/>
                        <w:lang w:val="en-US" w:bidi="ar-SA"/>
                      </w:rPr>
                    </m:ctrlPr>
                  </m:sSubPr>
                  <m:e>
                    <m:r>
                      <m:rPr/>
                      <w:rPr>
                        <w:rFonts w:hint="default" w:ascii="Cambria Math" w:hAnsi="Cambria Math" w:cs="Times New Roman"/>
                        <w:color w:val="auto"/>
                        <w:kern w:val="0"/>
                        <w:sz w:val="24"/>
                        <w:szCs w:val="22"/>
                        <w:highlight w:val="none"/>
                        <w:lang w:val="en-US" w:eastAsia="zh-CN" w:bidi="ar-SA"/>
                      </w:rPr>
                      <m:t>C</m:t>
                    </m:r>
                    <m:ctrlPr>
                      <w:rPr>
                        <w:rFonts w:ascii="Cambria Math" w:hAnsi="Cambria Math" w:cs="Times New Roman"/>
                        <w:i/>
                        <w:color w:val="auto"/>
                        <w:kern w:val="0"/>
                        <w:sz w:val="24"/>
                        <w:szCs w:val="22"/>
                        <w:highlight w:val="none"/>
                        <w:lang w:val="en-US" w:bidi="ar-SA"/>
                      </w:rPr>
                    </m:ctrlPr>
                  </m:e>
                  <m:sub>
                    <m:r>
                      <m:rPr/>
                      <w:rPr>
                        <w:rFonts w:hint="default" w:ascii="Cambria Math" w:hAnsi="Cambria Math" w:cs="Times New Roman"/>
                        <w:color w:val="auto"/>
                        <w:kern w:val="0"/>
                        <w:sz w:val="24"/>
                        <w:szCs w:val="22"/>
                        <w:highlight w:val="none"/>
                        <w:lang w:val="en-US" w:eastAsia="zh-CN" w:bidi="ar-SA"/>
                      </w:rPr>
                      <m:t>f</m:t>
                    </m:r>
                    <m:ctrlPr>
                      <w:rPr>
                        <w:rFonts w:ascii="Cambria Math" w:hAnsi="Cambria Math" w:cs="Times New Roman"/>
                        <w:i/>
                        <w:color w:val="auto"/>
                        <w:kern w:val="0"/>
                        <w:sz w:val="24"/>
                        <w:szCs w:val="22"/>
                        <w:highlight w:val="none"/>
                        <w:lang w:val="en-US" w:bidi="ar-SA"/>
                      </w:rPr>
                    </m:ctrlPr>
                  </m:sub>
                </m:sSub>
                <m:r>
                  <m:rPr/>
                  <w:rPr>
                    <w:rFonts w:hint="default" w:ascii="Cambria Math" w:hAnsi="Cambria Math" w:cs="Cambria Math"/>
                    <w:color w:val="auto"/>
                    <w:kern w:val="0"/>
                    <w:sz w:val="24"/>
                    <w:szCs w:val="22"/>
                    <w:highlight w:val="none"/>
                    <w:lang w:val="en-US" w:bidi="ar-SA"/>
                  </w:rPr>
                  <m:t>=</m:t>
                </m:r>
                <m:sSub>
                  <m:sSubPr>
                    <m:ctrlPr>
                      <w:rPr>
                        <w:rFonts w:hint="default" w:ascii="Cambria Math" w:hAnsi="Cambria Math" w:cs="Cambria Math"/>
                        <w:i/>
                        <w:color w:val="auto"/>
                        <w:kern w:val="0"/>
                        <w:sz w:val="24"/>
                        <w:szCs w:val="22"/>
                        <w:highlight w:val="none"/>
                        <w:lang w:val="en-US" w:bidi="ar-SA"/>
                      </w:rPr>
                    </m:ctrlPr>
                  </m:sSubPr>
                  <m:e>
                    <m:r>
                      <m:rPr/>
                      <w:rPr>
                        <w:rFonts w:hint="default" w:ascii="Cambria Math" w:hAnsi="Cambria Math" w:cs="Cambria Math"/>
                        <w:color w:val="auto"/>
                        <w:kern w:val="0"/>
                        <w:sz w:val="24"/>
                        <w:szCs w:val="22"/>
                        <w:highlight w:val="none"/>
                        <w:lang w:val="en-US" w:eastAsia="zh-CN" w:bidi="ar-SA"/>
                      </w:rPr>
                      <m:t>C</m:t>
                    </m:r>
                    <m:ctrlPr>
                      <w:rPr>
                        <w:rFonts w:hint="default" w:ascii="Cambria Math" w:hAnsi="Cambria Math" w:cs="Cambria Math"/>
                        <w:i/>
                        <w:color w:val="auto"/>
                        <w:kern w:val="0"/>
                        <w:sz w:val="24"/>
                        <w:szCs w:val="22"/>
                        <w:highlight w:val="none"/>
                        <w:lang w:val="en-US" w:bidi="ar-SA"/>
                      </w:rPr>
                    </m:ctrlPr>
                  </m:e>
                  <m:sub>
                    <m:r>
                      <m:rPr/>
                      <w:rPr>
                        <w:rFonts w:hint="default" w:ascii="Cambria Math" w:hAnsi="Cambria Math" w:cs="Cambria Math"/>
                        <w:color w:val="auto"/>
                        <w:kern w:val="0"/>
                        <w:sz w:val="24"/>
                        <w:szCs w:val="22"/>
                        <w:highlight w:val="none"/>
                        <w:lang w:val="en-US" w:eastAsia="zh-CN" w:bidi="ar-SA"/>
                      </w:rPr>
                      <m:t>l</m:t>
                    </m:r>
                    <m:ctrlPr>
                      <w:rPr>
                        <w:rFonts w:hint="default" w:ascii="Cambria Math" w:hAnsi="Cambria Math" w:cs="Cambria Math"/>
                        <w:i/>
                        <w:color w:val="auto"/>
                        <w:kern w:val="0"/>
                        <w:sz w:val="24"/>
                        <w:szCs w:val="22"/>
                        <w:highlight w:val="none"/>
                        <w:lang w:val="en-US" w:bidi="ar-SA"/>
                      </w:rPr>
                    </m:ctrlPr>
                  </m:sub>
                </m:sSub>
                <m:r>
                  <m:rPr/>
                  <w:rPr>
                    <w:rFonts w:hint="default" w:ascii="Cambria Math" w:hAnsi="Cambria Math" w:cs="Cambria Math"/>
                    <w:color w:val="auto"/>
                    <w:kern w:val="0"/>
                    <w:sz w:val="24"/>
                    <w:szCs w:val="22"/>
                    <w:highlight w:val="none"/>
                    <w:lang w:val="en-US" w:eastAsia="zh-CN" w:bidi="ar-SA"/>
                  </w:rPr>
                  <m:t>+</m:t>
                </m:r>
                <m:sSub>
                  <m:sSubPr>
                    <m:ctrlPr>
                      <w:rPr>
                        <w:rFonts w:hint="default" w:ascii="Cambria Math" w:hAnsi="Cambria Math" w:cs="Cambria Math"/>
                        <w:i/>
                        <w:color w:val="auto"/>
                        <w:kern w:val="0"/>
                        <w:sz w:val="24"/>
                        <w:szCs w:val="22"/>
                        <w:highlight w:val="none"/>
                        <w:lang w:val="en-US" w:eastAsia="zh-CN" w:bidi="ar-SA"/>
                      </w:rPr>
                    </m:ctrlPr>
                  </m:sSubPr>
                  <m:e>
                    <m:r>
                      <m:rPr/>
                      <w:rPr>
                        <w:rFonts w:hint="default" w:ascii="Cambria Math" w:hAnsi="Cambria Math" w:cs="Cambria Math"/>
                        <w:color w:val="auto"/>
                        <w:kern w:val="0"/>
                        <w:sz w:val="24"/>
                        <w:szCs w:val="22"/>
                        <w:highlight w:val="none"/>
                        <w:lang w:val="en-US" w:eastAsia="zh-CN" w:bidi="ar-SA"/>
                      </w:rPr>
                      <m:t>C</m:t>
                    </m:r>
                    <m:ctrlPr>
                      <w:rPr>
                        <w:rFonts w:hint="default" w:ascii="Cambria Math" w:hAnsi="Cambria Math" w:cs="Cambria Math"/>
                        <w:i/>
                        <w:color w:val="auto"/>
                        <w:kern w:val="0"/>
                        <w:sz w:val="24"/>
                        <w:szCs w:val="22"/>
                        <w:highlight w:val="none"/>
                        <w:lang w:val="en-US" w:eastAsia="zh-CN" w:bidi="ar-SA"/>
                      </w:rPr>
                    </m:ctrlPr>
                  </m:e>
                  <m:sub>
                    <m:r>
                      <m:rPr/>
                      <w:rPr>
                        <w:rFonts w:hint="default" w:ascii="Cambria Math" w:hAnsi="Cambria Math" w:cs="Cambria Math"/>
                        <w:color w:val="auto"/>
                        <w:kern w:val="0"/>
                        <w:sz w:val="24"/>
                        <w:szCs w:val="22"/>
                        <w:highlight w:val="none"/>
                        <w:lang w:val="en-US" w:eastAsia="zh-CN" w:bidi="ar-SA"/>
                      </w:rPr>
                      <m:t>w</m:t>
                    </m:r>
                    <m:ctrlPr>
                      <w:rPr>
                        <w:rFonts w:hint="default" w:ascii="Cambria Math" w:hAnsi="Cambria Math" w:cs="Cambria Math"/>
                        <w:i/>
                        <w:color w:val="auto"/>
                        <w:kern w:val="0"/>
                        <w:sz w:val="24"/>
                        <w:szCs w:val="22"/>
                        <w:highlight w:val="none"/>
                        <w:lang w:val="en-US" w:eastAsia="zh-CN" w:bidi="ar-SA"/>
                      </w:rPr>
                    </m:ctrlPr>
                  </m:sub>
                </m:sSub>
              </m:oMath>
            </m:oMathPara>
          </w:p>
          <w:p w14:paraId="2FFB02FD">
            <w:pPr>
              <w:pStyle w:val="30"/>
              <w:adjustRightInd/>
              <w:spacing w:line="360" w:lineRule="auto"/>
              <w:ind w:firstLine="480" w:firstLineChars="200"/>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式中：</w:t>
            </w:r>
          </w:p>
          <w:p w14:paraId="1B65077A">
            <w:pPr>
              <w:pStyle w:val="30"/>
              <w:adjustRightInd/>
              <w:spacing w:line="360" w:lineRule="auto"/>
              <w:ind w:firstLine="480" w:firstLineChars="200"/>
              <w:rPr>
                <w:rFonts w:hint="eastAsia" w:ascii="Times New Roman" w:hAnsi="Times New Roman" w:eastAsia="仿宋" w:cs="Times New Roman"/>
                <w:color w:val="auto"/>
                <w:kern w:val="0"/>
                <w:sz w:val="24"/>
                <w:szCs w:val="22"/>
                <w:highlight w:val="none"/>
                <w:lang w:val="en-US" w:eastAsia="zh-CN" w:bidi="ar-SA"/>
              </w:rPr>
            </w:pPr>
            <w:r>
              <w:rPr>
                <w:rFonts w:hint="eastAsia" w:ascii="Cambria Math" w:hAnsi="Cambria Math" w:cs="Times New Roman"/>
                <w:i/>
                <w:color w:val="auto"/>
                <w:kern w:val="0"/>
                <w:sz w:val="24"/>
                <w:szCs w:val="22"/>
                <w:highlight w:val="none"/>
                <w:lang w:val="en-US" w:eastAsia="zh-CN" w:bidi="ar-SA"/>
              </w:rPr>
              <w:t>C</w:t>
            </w:r>
            <w:r>
              <w:rPr>
                <w:rFonts w:hint="eastAsia" w:ascii="Cambria Math" w:hAnsi="Cambria Math" w:cs="Times New Roman"/>
                <w:i/>
                <w:color w:val="auto"/>
                <w:kern w:val="0"/>
                <w:sz w:val="24"/>
                <w:szCs w:val="22"/>
                <w:highlight w:val="none"/>
                <w:vertAlign w:val="subscript"/>
                <w:lang w:val="en-US" w:eastAsia="zh-CN" w:bidi="ar-SA"/>
              </w:rPr>
              <w:t>f</w:t>
            </w:r>
            <w:r>
              <w:rPr>
                <w:rFonts w:hint="eastAsia" w:ascii="Times New Roman" w:hAnsi="Times New Roman" w:eastAsia="仿宋" w:cs="Times New Roman"/>
                <w:color w:val="auto"/>
                <w:kern w:val="0"/>
                <w:sz w:val="24"/>
                <w:szCs w:val="22"/>
                <w:highlight w:val="none"/>
                <w:lang w:val="en-US" w:eastAsia="zh-CN" w:bidi="ar-SA"/>
              </w:rPr>
              <w:t>——县域生态保护红线洪水调蓄总量，m</w:t>
            </w:r>
            <w:r>
              <w:rPr>
                <w:rFonts w:hint="eastAsia" w:ascii="Times New Roman" w:hAnsi="Times New Roman" w:eastAsia="仿宋" w:cs="Times New Roman"/>
                <w:color w:val="auto"/>
                <w:kern w:val="0"/>
                <w:sz w:val="24"/>
                <w:szCs w:val="22"/>
                <w:highlight w:val="none"/>
                <w:vertAlign w:val="superscript"/>
                <w:lang w:val="en-US" w:eastAsia="zh-CN" w:bidi="ar-SA"/>
              </w:rPr>
              <w:t>3</w:t>
            </w:r>
            <w:r>
              <w:rPr>
                <w:rFonts w:hint="eastAsia" w:ascii="Times New Roman" w:hAnsi="Times New Roman" w:eastAsia="仿宋" w:cs="Times New Roman"/>
                <w:color w:val="auto"/>
                <w:kern w:val="0"/>
                <w:sz w:val="24"/>
                <w:szCs w:val="22"/>
                <w:highlight w:val="none"/>
                <w:lang w:val="en-US" w:eastAsia="zh-CN" w:bidi="ar-SA"/>
              </w:rPr>
              <w:t>；</w:t>
            </w:r>
          </w:p>
          <w:p w14:paraId="470B06B2">
            <w:pPr>
              <w:pStyle w:val="30"/>
              <w:adjustRightInd/>
              <w:spacing w:line="360" w:lineRule="auto"/>
              <w:ind w:firstLine="480" w:firstLineChars="200"/>
              <w:rPr>
                <w:rFonts w:hint="eastAsia" w:ascii="Times New Roman" w:hAnsi="Times New Roman" w:eastAsia="仿宋" w:cs="Times New Roman"/>
                <w:color w:val="auto"/>
                <w:kern w:val="0"/>
                <w:sz w:val="24"/>
                <w:szCs w:val="22"/>
                <w:highlight w:val="none"/>
                <w:lang w:val="en-US" w:eastAsia="zh-CN" w:bidi="ar-SA"/>
              </w:rPr>
            </w:pPr>
            <w:r>
              <w:rPr>
                <w:rFonts w:hint="eastAsia" w:ascii="Cambria Math" w:hAnsi="Cambria Math" w:cs="Times New Roman"/>
                <w:i/>
                <w:color w:val="auto"/>
                <w:kern w:val="0"/>
                <w:sz w:val="24"/>
                <w:szCs w:val="22"/>
                <w:highlight w:val="none"/>
                <w:lang w:val="en-US" w:eastAsia="zh-CN" w:bidi="ar-SA"/>
              </w:rPr>
              <w:t>C</w:t>
            </w:r>
            <w:r>
              <w:rPr>
                <w:rFonts w:hint="eastAsia" w:ascii="Cambria Math" w:hAnsi="Cambria Math" w:cs="Times New Roman"/>
                <w:i/>
                <w:color w:val="auto"/>
                <w:kern w:val="0"/>
                <w:sz w:val="24"/>
                <w:szCs w:val="22"/>
                <w:highlight w:val="none"/>
                <w:vertAlign w:val="subscript"/>
                <w:lang w:val="en-US" w:eastAsia="zh-CN" w:bidi="ar-SA"/>
              </w:rPr>
              <w:t>l</w:t>
            </w:r>
            <w:r>
              <w:rPr>
                <w:rFonts w:hint="eastAsia" w:ascii="Times New Roman" w:hAnsi="Times New Roman" w:eastAsia="仿宋" w:cs="Times New Roman"/>
                <w:color w:val="auto"/>
                <w:kern w:val="0"/>
                <w:sz w:val="24"/>
                <w:szCs w:val="22"/>
                <w:highlight w:val="none"/>
                <w:lang w:val="en-US" w:eastAsia="zh-CN" w:bidi="ar-SA"/>
              </w:rPr>
              <w:t>——生态保护红线内湖泊的洪水调蓄量，m</w:t>
            </w:r>
            <w:r>
              <w:rPr>
                <w:rFonts w:hint="eastAsia" w:ascii="Times New Roman" w:hAnsi="Times New Roman" w:eastAsia="仿宋" w:cs="Times New Roman"/>
                <w:color w:val="auto"/>
                <w:kern w:val="0"/>
                <w:sz w:val="24"/>
                <w:szCs w:val="22"/>
                <w:highlight w:val="none"/>
                <w:vertAlign w:val="superscript"/>
                <w:lang w:val="en-US" w:eastAsia="zh-CN" w:bidi="ar-SA"/>
              </w:rPr>
              <w:t>3</w:t>
            </w:r>
            <w:r>
              <w:rPr>
                <w:rFonts w:hint="eastAsia" w:ascii="Times New Roman" w:hAnsi="Times New Roman" w:eastAsia="仿宋" w:cs="Times New Roman"/>
                <w:color w:val="auto"/>
                <w:kern w:val="0"/>
                <w:sz w:val="24"/>
                <w:szCs w:val="22"/>
                <w:highlight w:val="none"/>
                <w:lang w:val="en-US" w:eastAsia="zh-CN" w:bidi="ar-SA"/>
              </w:rPr>
              <w:t>；</w:t>
            </w:r>
          </w:p>
          <w:p w14:paraId="51AEF621">
            <w:pPr>
              <w:pStyle w:val="30"/>
              <w:adjustRightInd/>
              <w:spacing w:line="360" w:lineRule="auto"/>
              <w:ind w:firstLine="480" w:firstLineChars="200"/>
              <w:rPr>
                <w:rFonts w:hint="default" w:ascii="Times New Roman" w:hAnsi="Times New Roman" w:eastAsia="仿宋" w:cs="Times New Roman"/>
                <w:color w:val="auto"/>
                <w:kern w:val="0"/>
                <w:sz w:val="24"/>
                <w:szCs w:val="22"/>
                <w:highlight w:val="none"/>
                <w:lang w:val="en-US" w:eastAsia="zh-CN" w:bidi="ar-SA"/>
              </w:rPr>
            </w:pPr>
            <w:r>
              <w:rPr>
                <w:rFonts w:hint="default" w:ascii="Cambria Math" w:hAnsi="Cambria Math" w:cs="Times New Roman"/>
                <w:i/>
                <w:color w:val="auto"/>
                <w:kern w:val="0"/>
                <w:sz w:val="24"/>
                <w:szCs w:val="22"/>
                <w:highlight w:val="none"/>
                <w:lang w:val="en-US" w:eastAsia="zh-CN" w:bidi="ar-SA"/>
              </w:rPr>
              <w:t>C</w:t>
            </w:r>
            <w:r>
              <w:rPr>
                <w:rFonts w:hint="default" w:ascii="Cambria Math" w:hAnsi="Cambria Math" w:cs="Times New Roman"/>
                <w:i/>
                <w:color w:val="auto"/>
                <w:kern w:val="0"/>
                <w:sz w:val="24"/>
                <w:szCs w:val="22"/>
                <w:highlight w:val="none"/>
                <w:vertAlign w:val="subscript"/>
                <w:lang w:val="en-US" w:eastAsia="zh-CN" w:bidi="ar-SA"/>
              </w:rPr>
              <w:t>w</w:t>
            </w:r>
            <w:r>
              <w:rPr>
                <w:rFonts w:hint="default" w:ascii="Times New Roman" w:hAnsi="Times New Roman" w:eastAsia="仿宋" w:cs="Times New Roman"/>
                <w:color w:val="auto"/>
                <w:kern w:val="0"/>
                <w:sz w:val="24"/>
                <w:szCs w:val="22"/>
                <w:highlight w:val="none"/>
                <w:lang w:val="en-US" w:eastAsia="zh-CN" w:bidi="ar-SA"/>
              </w:rPr>
              <w:t>——生态保护红线内沼泽湿地的洪水调蓄量，m</w:t>
            </w:r>
            <w:r>
              <w:rPr>
                <w:rFonts w:hint="eastAsia" w:ascii="Times New Roman" w:hAnsi="Times New Roman" w:eastAsia="仿宋" w:cs="Times New Roman"/>
                <w:color w:val="auto"/>
                <w:kern w:val="0"/>
                <w:sz w:val="24"/>
                <w:szCs w:val="22"/>
                <w:highlight w:val="none"/>
                <w:vertAlign w:val="superscript"/>
                <w:lang w:val="en-US" w:eastAsia="zh-CN" w:bidi="ar-SA"/>
              </w:rPr>
              <w:t>3</w:t>
            </w:r>
            <w:r>
              <w:rPr>
                <w:rFonts w:hint="default" w:ascii="Times New Roman" w:hAnsi="Times New Roman" w:eastAsia="仿宋" w:cs="Times New Roman"/>
                <w:color w:val="auto"/>
                <w:kern w:val="0"/>
                <w:sz w:val="24"/>
                <w:szCs w:val="22"/>
                <w:highlight w:val="none"/>
                <w:lang w:val="en-US" w:eastAsia="zh-CN" w:bidi="ar-SA"/>
              </w:rPr>
              <w:t>。</w:t>
            </w:r>
          </w:p>
          <w:p w14:paraId="30FC3F64">
            <w:pPr>
              <w:pStyle w:val="30"/>
              <w:adjustRightInd/>
              <w:spacing w:line="360" w:lineRule="auto"/>
              <w:ind w:firstLine="480" w:firstLineChars="200"/>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将湖泊、沼泽湿地的洪水调蓄量分配到对应的栅格（250m×250m）中去，得到每个栅格的洪水调蓄量（C</w:t>
            </w:r>
            <w:r>
              <w:rPr>
                <w:rFonts w:hint="default" w:ascii="Times New Roman" w:hAnsi="Times New Roman" w:eastAsia="仿宋" w:cs="Times New Roman"/>
                <w:color w:val="auto"/>
                <w:kern w:val="0"/>
                <w:sz w:val="24"/>
                <w:szCs w:val="22"/>
                <w:highlight w:val="none"/>
                <w:vertAlign w:val="subscript"/>
                <w:lang w:val="en-US" w:eastAsia="zh-CN" w:bidi="ar-SA"/>
              </w:rPr>
              <w:t>ij</w:t>
            </w:r>
            <w:r>
              <w:rPr>
                <w:rFonts w:hint="default" w:ascii="Times New Roman" w:hAnsi="Times New Roman" w:eastAsia="仿宋" w:cs="Times New Roman"/>
                <w:color w:val="auto"/>
                <w:kern w:val="0"/>
                <w:sz w:val="24"/>
                <w:szCs w:val="22"/>
                <w:highlight w:val="none"/>
                <w:lang w:val="en-US" w:eastAsia="zh-CN" w:bidi="ar-SA"/>
              </w:rPr>
              <w:t>）。</w:t>
            </w:r>
          </w:p>
          <w:p w14:paraId="1A08B22F">
            <w:pPr>
              <w:pStyle w:val="30"/>
              <w:adjustRightInd/>
              <w:spacing w:line="360" w:lineRule="auto"/>
              <w:ind w:firstLine="480" w:firstLineChars="200"/>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长荡湖体育休闲房车营地—应急疏散通道项目为跨越式桥梁，涉及省生态空间管控区域（长荡湖重要渔业水域）面积为4857平方米。其中桥梁立柱涉及占用生态空间管控区域总面积为</w:t>
            </w:r>
            <w:r>
              <w:rPr>
                <w:rFonts w:hint="eastAsia" w:ascii="Times New Roman" w:hAnsi="Times New Roman" w:eastAsia="仿宋" w:cs="Times New Roman"/>
                <w:color w:val="auto"/>
                <w:kern w:val="0"/>
                <w:sz w:val="24"/>
                <w:szCs w:val="22"/>
                <w:highlight w:val="none"/>
                <w:lang w:val="en-US" w:eastAsia="zh-CN" w:bidi="ar-SA"/>
              </w:rPr>
              <w:t>40</w:t>
            </w:r>
            <w:r>
              <w:rPr>
                <w:rFonts w:hint="default" w:ascii="Times New Roman" w:hAnsi="Times New Roman" w:eastAsia="仿宋" w:cs="Times New Roman"/>
                <w:color w:val="auto"/>
                <w:kern w:val="0"/>
                <w:sz w:val="24"/>
                <w:szCs w:val="22"/>
                <w:highlight w:val="none"/>
                <w:lang w:val="en-US" w:eastAsia="zh-CN" w:bidi="ar-SA"/>
              </w:rPr>
              <w:t>平方米，现状地类均为湖泊水面，左侧桥梁涉及生态空间管控区域14.44平方米（现状地类为水工建筑用地11.47平方米、其他草地2.97平方米），均位于桥梁下方，不涉及占用生态空间管控区域。</w:t>
            </w:r>
          </w:p>
          <w:p w14:paraId="27A9F4D5">
            <w:pPr>
              <w:pStyle w:val="30"/>
              <w:keepNext w:val="0"/>
              <w:keepLines w:val="0"/>
              <w:pageBreakBefore w:val="0"/>
              <w:widowControl w:val="0"/>
              <w:kinsoku/>
              <w:wordWrap w:val="0"/>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参照《中国湖库洪水调蓄功能评价》的研究成果，平均单位湖面面积可调蓄水量为162.82</w:t>
            </w:r>
            <w:r>
              <w:rPr>
                <w:rFonts w:hint="eastAsia" w:ascii="Times New Roman" w:hAnsi="Times New Roman" w:eastAsia="仿宋" w:cs="Times New Roman"/>
                <w:color w:val="auto"/>
                <w:kern w:val="0"/>
                <w:sz w:val="24"/>
                <w:szCs w:val="22"/>
                <w:highlight w:val="none"/>
                <w:lang w:val="en-US" w:eastAsia="zh-CN" w:bidi="ar-SA"/>
              </w:rPr>
              <w:t>*</w:t>
            </w:r>
            <w:r>
              <w:rPr>
                <w:rFonts w:hint="default" w:ascii="Times New Roman" w:hAnsi="Times New Roman" w:eastAsia="仿宋" w:cs="Times New Roman"/>
                <w:color w:val="auto"/>
                <w:kern w:val="0"/>
                <w:sz w:val="24"/>
                <w:szCs w:val="22"/>
                <w:highlight w:val="none"/>
                <w:lang w:val="en-US" w:eastAsia="zh-CN" w:bidi="ar-SA"/>
              </w:rPr>
              <w:t>10</w:t>
            </w:r>
            <w:r>
              <w:rPr>
                <w:rFonts w:hint="default" w:ascii="Times New Roman" w:hAnsi="Times New Roman" w:eastAsia="仿宋" w:cs="Times New Roman"/>
                <w:color w:val="auto"/>
                <w:kern w:val="0"/>
                <w:sz w:val="24"/>
                <w:szCs w:val="22"/>
                <w:highlight w:val="none"/>
                <w:vertAlign w:val="superscript"/>
                <w:lang w:val="en-US" w:eastAsia="zh-CN" w:bidi="ar-SA"/>
              </w:rPr>
              <w:t>4</w:t>
            </w:r>
            <w:r>
              <w:rPr>
                <w:rFonts w:hint="default" w:ascii="Times New Roman" w:hAnsi="Times New Roman" w:eastAsia="仿宋" w:cs="Times New Roman"/>
                <w:color w:val="auto"/>
                <w:kern w:val="0"/>
                <w:sz w:val="24"/>
                <w:szCs w:val="22"/>
                <w:highlight w:val="none"/>
                <w:lang w:val="en-US" w:eastAsia="zh-CN" w:bidi="ar-SA"/>
              </w:rPr>
              <w:t>m</w:t>
            </w:r>
            <w:r>
              <w:rPr>
                <w:rFonts w:hint="default" w:ascii="Times New Roman" w:hAnsi="Times New Roman" w:eastAsia="仿宋" w:cs="Times New Roman"/>
                <w:color w:val="auto"/>
                <w:kern w:val="0"/>
                <w:sz w:val="24"/>
                <w:szCs w:val="22"/>
                <w:highlight w:val="none"/>
                <w:vertAlign w:val="superscript"/>
                <w:lang w:val="en-US" w:eastAsia="zh-CN" w:bidi="ar-SA"/>
              </w:rPr>
              <w:t>3</w:t>
            </w:r>
            <w:r>
              <w:rPr>
                <w:rFonts w:hint="default" w:ascii="Times New Roman" w:hAnsi="Times New Roman" w:eastAsia="仿宋" w:cs="Times New Roman"/>
                <w:color w:val="auto"/>
                <w:kern w:val="0"/>
                <w:sz w:val="24"/>
                <w:szCs w:val="22"/>
                <w:highlight w:val="none"/>
                <w:lang w:val="en-US" w:eastAsia="zh-CN" w:bidi="ar-SA"/>
              </w:rPr>
              <w:t>/km</w:t>
            </w:r>
            <w:r>
              <w:rPr>
                <w:rFonts w:hint="default" w:ascii="Times New Roman" w:hAnsi="Times New Roman" w:eastAsia="仿宋" w:cs="Times New Roman"/>
                <w:color w:val="auto"/>
                <w:kern w:val="0"/>
                <w:sz w:val="24"/>
                <w:szCs w:val="22"/>
                <w:highlight w:val="none"/>
                <w:vertAlign w:val="superscript"/>
                <w:lang w:val="en-US" w:eastAsia="zh-CN" w:bidi="ar-SA"/>
              </w:rPr>
              <w:t>2</w:t>
            </w:r>
            <w:r>
              <w:rPr>
                <w:rFonts w:hint="default" w:ascii="Times New Roman" w:hAnsi="Times New Roman" w:eastAsia="仿宋" w:cs="Times New Roman"/>
                <w:color w:val="auto"/>
                <w:kern w:val="0"/>
                <w:sz w:val="24"/>
                <w:szCs w:val="22"/>
                <w:highlight w:val="none"/>
                <w:lang w:val="en-US" w:eastAsia="zh-CN" w:bidi="ar-SA"/>
              </w:rPr>
              <w:t>。经测算长荡湖重要渔业水域的洪水调蓄量为</w:t>
            </w:r>
            <w:r>
              <w:rPr>
                <w:rFonts w:hint="eastAsia" w:ascii="Times New Roman" w:hAnsi="Times New Roman" w:eastAsia="仿宋" w:cs="Times New Roman"/>
                <w:color w:val="auto"/>
                <w:kern w:val="0"/>
                <w:sz w:val="24"/>
                <w:szCs w:val="22"/>
                <w:highlight w:val="none"/>
                <w:lang w:val="en-US" w:eastAsia="zh-CN" w:bidi="ar-SA"/>
              </w:rPr>
              <w:t>12</w:t>
            </w:r>
            <w:r>
              <w:rPr>
                <w:rFonts w:hint="default" w:ascii="Times New Roman" w:hAnsi="Times New Roman" w:eastAsia="仿宋" w:cs="Times New Roman"/>
                <w:color w:val="auto"/>
                <w:kern w:val="0"/>
                <w:sz w:val="24"/>
                <w:szCs w:val="22"/>
                <w:highlight w:val="none"/>
                <w:lang w:val="en-US" w:eastAsia="zh-CN" w:bidi="ar-SA"/>
              </w:rPr>
              <w:t>469439.44m</w:t>
            </w:r>
            <w:r>
              <w:rPr>
                <w:rFonts w:hint="default" w:ascii="Times New Roman" w:hAnsi="Times New Roman" w:eastAsia="仿宋" w:cs="Times New Roman"/>
                <w:color w:val="auto"/>
                <w:kern w:val="0"/>
                <w:sz w:val="24"/>
                <w:szCs w:val="22"/>
                <w:highlight w:val="none"/>
                <w:vertAlign w:val="superscript"/>
                <w:lang w:val="en-US" w:eastAsia="zh-CN" w:bidi="ar-SA"/>
              </w:rPr>
              <w:t>3</w:t>
            </w:r>
            <w:r>
              <w:rPr>
                <w:rFonts w:hint="default" w:ascii="Times New Roman" w:hAnsi="Times New Roman" w:eastAsia="仿宋" w:cs="Times New Roman"/>
                <w:color w:val="auto"/>
                <w:kern w:val="0"/>
                <w:sz w:val="24"/>
                <w:szCs w:val="22"/>
                <w:highlight w:val="none"/>
                <w:lang w:val="en-US" w:eastAsia="zh-CN" w:bidi="ar-SA"/>
              </w:rPr>
              <w:t>，项目占用生态空间管控区域内的洪水调蓄量为567.10m</w:t>
            </w:r>
            <w:r>
              <w:rPr>
                <w:rFonts w:hint="default" w:ascii="Times New Roman" w:hAnsi="Times New Roman" w:eastAsia="仿宋" w:cs="Times New Roman"/>
                <w:color w:val="auto"/>
                <w:kern w:val="0"/>
                <w:sz w:val="24"/>
                <w:szCs w:val="22"/>
                <w:highlight w:val="none"/>
                <w:vertAlign w:val="superscript"/>
                <w:lang w:val="en-US" w:eastAsia="zh-CN" w:bidi="ar-SA"/>
              </w:rPr>
              <w:t>3</w:t>
            </w:r>
            <w:r>
              <w:rPr>
                <w:rFonts w:hint="default" w:ascii="Times New Roman" w:hAnsi="Times New Roman" w:eastAsia="仿宋" w:cs="Times New Roman"/>
                <w:color w:val="auto"/>
                <w:kern w:val="0"/>
                <w:sz w:val="24"/>
                <w:szCs w:val="22"/>
                <w:highlight w:val="none"/>
                <w:lang w:val="en-US" w:eastAsia="zh-CN" w:bidi="ar-SA"/>
              </w:rPr>
              <w:t>，占长荡湖重要渔业水域的洪水调蓄量0.005%，对长荡湖重要渔业水域</w:t>
            </w:r>
            <w:r>
              <w:rPr>
                <w:rFonts w:hint="eastAsia" w:ascii="Times New Roman" w:hAnsi="Times New Roman" w:eastAsia="仿宋" w:cs="Times New Roman"/>
                <w:color w:val="auto"/>
                <w:kern w:val="0"/>
                <w:sz w:val="24"/>
                <w:szCs w:val="22"/>
                <w:highlight w:val="none"/>
                <w:lang w:val="en-US" w:eastAsia="zh-CN" w:bidi="ar-SA"/>
              </w:rPr>
              <w:t>洪水调蓄功能</w:t>
            </w:r>
            <w:r>
              <w:rPr>
                <w:rFonts w:hint="default" w:ascii="Times New Roman" w:hAnsi="Times New Roman" w:eastAsia="仿宋" w:cs="Times New Roman"/>
                <w:color w:val="auto"/>
                <w:kern w:val="0"/>
                <w:sz w:val="24"/>
                <w:szCs w:val="22"/>
                <w:highlight w:val="none"/>
                <w:lang w:val="en-US" w:eastAsia="zh-CN" w:bidi="ar-SA"/>
              </w:rPr>
              <w:t>影响较小。</w:t>
            </w:r>
          </w:p>
          <w:p w14:paraId="21B2DB60">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2</w:t>
            </w:r>
            <w:r>
              <w:rPr>
                <w:rFonts w:hint="eastAsia" w:ascii="Times New Roman" w:hAnsi="Times New Roman" w:eastAsia="仿宋" w:cs="Times New Roman"/>
                <w:b/>
                <w:bCs/>
                <w:color w:val="auto"/>
                <w:kern w:val="0"/>
                <w:sz w:val="24"/>
                <w:szCs w:val="22"/>
                <w:highlight w:val="none"/>
                <w:lang w:val="en-US" w:eastAsia="zh-CN" w:bidi="ar-SA"/>
              </w:rPr>
              <w:t>、运营期水环境影响分析</w:t>
            </w:r>
          </w:p>
          <w:p w14:paraId="28B4622B">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影响桥面径流污染物浓度的因素众多，包括降雨量、降雨时间、与车流量有关的路面及空气污染程度、两场降雨之间的间隔时间、路面宽度等，由于各种因素的随机性强、偶然性大，所以典型的桥面雨水污染物浓度较难确定。根据国家环保总局华南环科所对南方地区桥面径流污染情况的试验，桥面径流在降雨开始到形成径流的30分钟内雨水中的悬浮物和油类物质比较多，30分钟后随着降雨时间的延长，污染物浓度下降较快。根据以往江苏类似地区的预测计算结果表明，桥面径流携带污染物对水体水质的影响甚微，一般水体中污染物的增幅小于2%。一般来说，在降雨初期，桥面径流从桥梁或桥梁两端进入水体后，将在径流落水点附近的局部小范围内造成污染物浓度的瞬时升高，但在向下游流动的过程中随着水体的搅浑将很快在整个断面上混合均匀，其对</w:t>
            </w:r>
            <w:r>
              <w:rPr>
                <w:rFonts w:hint="eastAsia" w:eastAsia="仿宋" w:cs="Times New Roman"/>
                <w:color w:val="auto"/>
                <w:kern w:val="0"/>
                <w:sz w:val="24"/>
                <w:szCs w:val="22"/>
                <w:highlight w:val="none"/>
                <w:lang w:val="en-US" w:eastAsia="zh-CN" w:bidi="ar-SA"/>
              </w:rPr>
              <w:t>长荡湖</w:t>
            </w:r>
            <w:r>
              <w:rPr>
                <w:rFonts w:hint="eastAsia" w:ascii="Times New Roman" w:hAnsi="Times New Roman" w:eastAsia="仿宋" w:cs="Times New Roman"/>
                <w:color w:val="auto"/>
                <w:kern w:val="0"/>
                <w:sz w:val="24"/>
                <w:szCs w:val="22"/>
                <w:highlight w:val="none"/>
                <w:lang w:val="en-US" w:eastAsia="zh-CN" w:bidi="ar-SA"/>
              </w:rPr>
              <w:t>污染物浓度升高的贡献微乎其微，不会改变水体的水质类别。根据设计单位提供资料，本项目在设计上</w:t>
            </w:r>
            <w:r>
              <w:rPr>
                <w:rFonts w:hint="eastAsia" w:ascii="Times New Roman" w:hAnsi="Times New Roman" w:eastAsia="仿宋" w:cs="Times New Roman"/>
                <w:color w:val="auto"/>
                <w:szCs w:val="24"/>
                <w:lang w:val="en-US" w:eastAsia="zh-CN"/>
              </w:rPr>
              <w:t>采用了中间高、两端低的建筑造型，</w:t>
            </w:r>
            <w:r>
              <w:rPr>
                <w:rFonts w:hint="eastAsia" w:ascii="Times New Roman" w:hAnsi="Times New Roman" w:eastAsia="仿宋" w:cs="Times New Roman"/>
                <w:color w:val="auto"/>
                <w:kern w:val="0"/>
                <w:sz w:val="24"/>
                <w:szCs w:val="22"/>
                <w:highlight w:val="none"/>
                <w:lang w:val="en-US" w:eastAsia="zh-CN" w:bidi="ar-SA"/>
              </w:rPr>
              <w:t>已考虑收集桥面径流，雨水排入</w:t>
            </w:r>
            <w:r>
              <w:rPr>
                <w:rFonts w:hint="eastAsia" w:eastAsia="仿宋" w:cs="Times New Roman"/>
                <w:color w:val="auto"/>
                <w:kern w:val="0"/>
                <w:sz w:val="24"/>
                <w:szCs w:val="22"/>
                <w:highlight w:val="none"/>
                <w:lang w:val="en-US" w:eastAsia="zh-CN" w:bidi="ar-SA"/>
              </w:rPr>
              <w:t>体育休闲房车营地的</w:t>
            </w:r>
            <w:r>
              <w:rPr>
                <w:rFonts w:hint="eastAsia" w:ascii="Times New Roman" w:hAnsi="Times New Roman" w:eastAsia="仿宋" w:cs="Times New Roman"/>
                <w:color w:val="auto"/>
                <w:kern w:val="0"/>
                <w:sz w:val="24"/>
                <w:szCs w:val="22"/>
                <w:highlight w:val="none"/>
                <w:lang w:val="en-US" w:eastAsia="zh-CN" w:bidi="ar-SA"/>
              </w:rPr>
              <w:t>雨水管网，</w:t>
            </w:r>
            <w:r>
              <w:rPr>
                <w:rFonts w:hint="eastAsia" w:eastAsia="仿宋" w:cs="Times New Roman"/>
                <w:color w:val="auto"/>
                <w:kern w:val="0"/>
                <w:sz w:val="24"/>
                <w:szCs w:val="22"/>
                <w:highlight w:val="none"/>
                <w:lang w:val="en-US" w:eastAsia="zh-CN" w:bidi="ar-SA"/>
              </w:rPr>
              <w:t>最终汇入市政雨水管网，</w:t>
            </w:r>
            <w:r>
              <w:rPr>
                <w:rFonts w:hint="eastAsia" w:ascii="Times New Roman" w:hAnsi="Times New Roman" w:eastAsia="仿宋" w:cs="Times New Roman"/>
                <w:color w:val="auto"/>
                <w:kern w:val="0"/>
                <w:sz w:val="24"/>
                <w:szCs w:val="22"/>
                <w:highlight w:val="none"/>
                <w:lang w:val="en-US" w:eastAsia="zh-CN" w:bidi="ar-SA"/>
              </w:rPr>
              <w:t>对周边水环境影响较小。</w:t>
            </w:r>
          </w:p>
          <w:p w14:paraId="71C78AB3">
            <w:pPr>
              <w:keepNext w:val="0"/>
              <w:keepLines w:val="0"/>
              <w:widowControl w:val="0"/>
              <w:suppressLineNumbers w:val="0"/>
              <w:adjustRightInd w:val="0"/>
              <w:spacing w:before="0" w:beforeAutospacing="0" w:after="0" w:afterAutospacing="0" w:line="360" w:lineRule="auto"/>
              <w:ind w:left="0" w:right="0" w:firstLine="482" w:firstLineChars="20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3</w:t>
            </w:r>
            <w:r>
              <w:rPr>
                <w:rFonts w:hint="eastAsia" w:ascii="Times New Roman" w:hAnsi="Times New Roman" w:eastAsia="仿宋" w:cs="Times New Roman"/>
                <w:b/>
                <w:bCs/>
                <w:color w:val="auto"/>
                <w:kern w:val="0"/>
                <w:sz w:val="24"/>
                <w:szCs w:val="22"/>
                <w:highlight w:val="none"/>
                <w:lang w:val="en-US" w:eastAsia="zh-CN" w:bidi="ar-SA"/>
              </w:rPr>
              <w:t>、运营期噪声环境影响分析</w:t>
            </w:r>
          </w:p>
          <w:p w14:paraId="6F3250A6">
            <w:pPr>
              <w:keepNext w:val="0"/>
              <w:keepLines w:val="0"/>
              <w:pageBreakBefore w:val="0"/>
              <w:widowControl w:val="0"/>
              <w:kinsoku/>
              <w:wordWrap/>
              <w:overflowPunct/>
              <w:topLinePunct w:val="0"/>
              <w:autoSpaceDE/>
              <w:autoSpaceDN/>
              <w:bidi w:val="0"/>
              <w:adjustRightInd w:val="0"/>
              <w:snapToGrid/>
              <w:spacing w:line="360" w:lineRule="auto"/>
              <w:ind w:firstLine="480"/>
              <w:jc w:val="left"/>
              <w:textAlignment w:val="auto"/>
              <w:rPr>
                <w:rFonts w:hint="eastAsia" w:ascii="Times New Roman" w:hAnsi="Times New Roman" w:eastAsia="仿宋" w:cs="Times New Roman"/>
                <w:color w:val="auto"/>
                <w:kern w:val="2"/>
                <w:sz w:val="24"/>
                <w:szCs w:val="24"/>
                <w:u w:val="none"/>
                <w:lang w:val="en-US" w:eastAsia="zh-CN" w:bidi="ar-SA"/>
              </w:rPr>
            </w:pPr>
            <w:r>
              <w:rPr>
                <w:rFonts w:hint="eastAsia" w:ascii="Times New Roman" w:hAnsi="Times New Roman" w:eastAsia="仿宋" w:cs="Times New Roman"/>
                <w:color w:val="auto"/>
                <w:kern w:val="2"/>
                <w:sz w:val="24"/>
                <w:szCs w:val="24"/>
                <w:u w:val="none"/>
                <w:lang w:val="en-US" w:eastAsia="zh-CN" w:bidi="ar-SA"/>
              </w:rPr>
              <w:t>拟建桥梁运营期噪声主要来自</w:t>
            </w:r>
            <w:r>
              <w:rPr>
                <w:rFonts w:hint="eastAsia" w:eastAsia="仿宋" w:cs="Times New Roman"/>
                <w:color w:val="auto"/>
                <w:kern w:val="2"/>
                <w:sz w:val="24"/>
                <w:szCs w:val="24"/>
                <w:u w:val="none"/>
                <w:lang w:val="en-US" w:eastAsia="zh-CN" w:bidi="ar-SA"/>
              </w:rPr>
              <w:t>过往行人交谈噪声，声级较低</w:t>
            </w:r>
            <w:r>
              <w:rPr>
                <w:rFonts w:hint="eastAsia" w:ascii="Times New Roman" w:hAnsi="Times New Roman" w:eastAsia="仿宋" w:cs="Times New Roman"/>
                <w:color w:val="auto"/>
                <w:kern w:val="2"/>
                <w:sz w:val="24"/>
                <w:szCs w:val="24"/>
                <w:u w:val="none"/>
                <w:lang w:val="en-US" w:eastAsia="zh-CN" w:bidi="ar-SA"/>
              </w:rPr>
              <w:t>。</w:t>
            </w:r>
          </w:p>
          <w:p w14:paraId="28CF798E">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4</w:t>
            </w:r>
            <w:r>
              <w:rPr>
                <w:rFonts w:hint="eastAsia" w:ascii="Times New Roman" w:hAnsi="Times New Roman" w:eastAsia="仿宋" w:cs="Times New Roman"/>
                <w:b/>
                <w:bCs/>
                <w:color w:val="auto"/>
                <w:kern w:val="0"/>
                <w:sz w:val="24"/>
                <w:szCs w:val="22"/>
                <w:highlight w:val="none"/>
                <w:lang w:val="en-US" w:eastAsia="zh-CN" w:bidi="ar-SA"/>
              </w:rPr>
              <w:t>、运营期固废环境影响分析</w:t>
            </w:r>
          </w:p>
          <w:p w14:paraId="24DC1A08">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拟建桥梁项目</w:t>
            </w:r>
            <w:r>
              <w:rPr>
                <w:rFonts w:hint="eastAsia" w:eastAsia="仿宋" w:cs="Times New Roman"/>
                <w:color w:val="auto"/>
                <w:kern w:val="0"/>
                <w:sz w:val="24"/>
                <w:szCs w:val="22"/>
                <w:highlight w:val="none"/>
                <w:lang w:val="en-US" w:eastAsia="zh-CN" w:bidi="ar-SA"/>
              </w:rPr>
              <w:t>运营</w:t>
            </w:r>
            <w:r>
              <w:rPr>
                <w:rFonts w:hint="eastAsia" w:ascii="Times New Roman" w:hAnsi="Times New Roman" w:eastAsia="仿宋" w:cs="Times New Roman"/>
                <w:color w:val="auto"/>
                <w:kern w:val="0"/>
                <w:sz w:val="24"/>
                <w:szCs w:val="22"/>
                <w:highlight w:val="none"/>
                <w:lang w:val="en-US" w:eastAsia="zh-CN" w:bidi="ar-SA"/>
              </w:rPr>
              <w:t>期固体废物主要来源于行人丢弃的少量生活垃圾。项目建成后由市政管理单位沿人行道设置垃圾桶，委托当地环卫部门定期清运处理。在管理单位加强管理的情况下，对环境影响小。</w:t>
            </w:r>
          </w:p>
          <w:p w14:paraId="15929395">
            <w:pPr>
              <w:keepNext w:val="0"/>
              <w:keepLines w:val="0"/>
              <w:widowControl w:val="0"/>
              <w:suppressLineNumbers w:val="0"/>
              <w:adjustRightInd w:val="0"/>
              <w:spacing w:before="0" w:beforeAutospacing="0" w:after="0" w:afterAutospacing="0" w:line="360" w:lineRule="auto"/>
              <w:ind w:left="0" w:right="0" w:firstLine="482" w:firstLineChars="20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5、运营期土壤环境影响分析</w:t>
            </w:r>
          </w:p>
          <w:p w14:paraId="09E403A4">
            <w:pPr>
              <w:pStyle w:val="9"/>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根据《环境影响评价技术导则 土壤环境（试行）》（HJ964-2018），项目类别的划分应根据行业特征、工艺特点或规模大小等将建设项目类别分为四类，其中Ⅳ类建设项目可不开展土壤环境影响评价，自身为敏感目标的建设项目，可根据需要仅对土壤环境现状进行调查。</w:t>
            </w:r>
          </w:p>
          <w:p w14:paraId="2EED148D">
            <w:pPr>
              <w:pStyle w:val="9"/>
              <w:rPr>
                <w:rFonts w:hint="eastAsia"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对照附录A，本项目属于“其他行业”类，项目类别为IV类。因此，本项目不开展土壤环境影响评价工作。</w:t>
            </w:r>
          </w:p>
          <w:p w14:paraId="091AA38A">
            <w:pPr>
              <w:keepNext w:val="0"/>
              <w:keepLines w:val="0"/>
              <w:widowControl w:val="0"/>
              <w:suppressLineNumbers w:val="0"/>
              <w:adjustRightInd w:val="0"/>
              <w:spacing w:before="0" w:beforeAutospacing="0" w:after="0" w:afterAutospacing="0" w:line="360" w:lineRule="auto"/>
              <w:ind w:left="0" w:right="0" w:firstLine="482" w:firstLineChars="20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6、运营期地下水环境影响分析</w:t>
            </w:r>
          </w:p>
          <w:p w14:paraId="101DD81D">
            <w:pPr>
              <w:pStyle w:val="9"/>
              <w:rPr>
                <w:rFonts w:hint="default"/>
                <w:color w:val="auto"/>
                <w:lang w:val="en-US" w:eastAsia="zh-CN"/>
              </w:rPr>
            </w:pPr>
            <w:r>
              <w:rPr>
                <w:rFonts w:hint="eastAsia" w:eastAsia="仿宋" w:cs="Times New Roman"/>
                <w:color w:val="auto"/>
                <w:kern w:val="0"/>
                <w:sz w:val="24"/>
                <w:szCs w:val="22"/>
                <w:highlight w:val="none"/>
                <w:lang w:val="en-US" w:eastAsia="zh-CN" w:bidi="ar-SA"/>
              </w:rPr>
              <w:t>根据《环境影响评价技术导则 地下水环境》（HJ610-2016）中6.2.1.1提及的附录A确定本项目所属的地下水环境评价项目类别，本项目行业类别属于附录A中“138、城市道路”，本项目地下水环境评价项目类别为IV类，IV类建设项目不开展地下水环境影响评价。</w:t>
            </w:r>
          </w:p>
        </w:tc>
      </w:tr>
      <w:tr w14:paraId="568FC9F6">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90" w:hRule="atLeast"/>
        </w:trPr>
        <w:tc>
          <w:tcPr>
            <w:tcW w:w="426" w:type="dxa"/>
            <w:tcBorders>
              <w:top w:val="single" w:color="auto" w:sz="4" w:space="0"/>
            </w:tcBorders>
            <w:vAlign w:val="center"/>
          </w:tcPr>
          <w:p w14:paraId="4F4BE1D1">
            <w:pPr>
              <w:pStyle w:val="30"/>
              <w:jc w:val="center"/>
              <w:rPr>
                <w:rFonts w:hint="eastAsia"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选址选线</w:t>
            </w:r>
          </w:p>
          <w:p w14:paraId="77338F56">
            <w:pPr>
              <w:pStyle w:val="30"/>
              <w:jc w:val="center"/>
              <w:rPr>
                <w:rFonts w:hint="default"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及施工工艺环境合理性分析</w:t>
            </w:r>
          </w:p>
        </w:tc>
        <w:tc>
          <w:tcPr>
            <w:tcW w:w="8524" w:type="dxa"/>
            <w:tcBorders>
              <w:top w:val="single" w:color="auto" w:sz="4" w:space="0"/>
            </w:tcBorders>
            <w:vAlign w:val="top"/>
          </w:tcPr>
          <w:p w14:paraId="7A5EBD31">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1、环境制约因素</w:t>
            </w:r>
            <w:r>
              <w:rPr>
                <w:rFonts w:hint="eastAsia" w:eastAsia="仿宋" w:cs="Times New Roman"/>
                <w:b/>
                <w:bCs/>
                <w:color w:val="auto"/>
                <w:kern w:val="0"/>
                <w:sz w:val="24"/>
                <w:szCs w:val="22"/>
                <w:highlight w:val="none"/>
                <w:lang w:val="en-US" w:eastAsia="zh-CN" w:bidi="ar-SA"/>
              </w:rPr>
              <w:t>分析</w:t>
            </w:r>
          </w:p>
          <w:p w14:paraId="6649FF45">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left"/>
              <w:textAlignment w:val="auto"/>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项目已于2023年11月2日获得常州市金坛区发展和改革局的批复（坛改发投字[2023]266号），项目不属于《产业结构调整指导目录（2024年修订）》中限制或淘汰类项目，与《金坛生态保护和修复规划（2021-2035）》中水环境综合治理工程不冲突，且与《长荡湖旅游度假区总体规划（2019-2030）》相符。</w:t>
            </w:r>
          </w:p>
          <w:p w14:paraId="6B3BAA8D">
            <w:pPr>
              <w:pStyle w:val="2"/>
              <w:ind w:firstLine="480" w:firstLineChars="200"/>
              <w:rPr>
                <w:rFonts w:hint="default"/>
                <w:lang w:val="en-US" w:eastAsia="zh-CN"/>
              </w:rPr>
            </w:pPr>
            <w:r>
              <w:rPr>
                <w:rFonts w:hint="eastAsia" w:eastAsia="仿宋" w:cs="Times New Roman"/>
                <w:b w:val="0"/>
                <w:bCs w:val="0"/>
                <w:color w:val="auto"/>
                <w:kern w:val="0"/>
                <w:sz w:val="24"/>
                <w:szCs w:val="22"/>
                <w:highlight w:val="none"/>
                <w:lang w:val="en-US" w:eastAsia="zh-CN" w:bidi="ar-SA"/>
              </w:rPr>
              <w:t>项目区项目区内表层地质以素填土、粉土、淤泥质土为主，持力层埋藏较深，同时周边存在退田环湖残余土埂，围堰建设条件较好，对长荡湖水域的扰动较小。</w:t>
            </w:r>
          </w:p>
          <w:p w14:paraId="2B74A800">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2、施工方案比选</w:t>
            </w:r>
          </w:p>
          <w:p w14:paraId="03D933C7">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right="0" w:rightChars="0"/>
              <w:jc w:val="left"/>
              <w:textAlignment w:val="auto"/>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（1）主梁方案比选</w:t>
            </w:r>
          </w:p>
          <w:p w14:paraId="45227FE1">
            <w:pPr>
              <w:pStyle w:val="2"/>
              <w:ind w:firstLine="480" w:firstLineChars="200"/>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 xml:space="preserve">本项目为应急疏散通道，平面线形为曲线，且桥梁宽度为变宽度。针对这一特点，桥梁上部结构可采用的方案为混凝土现浇梁、钢箱梁、预应力混凝土梁等。 </w:t>
            </w:r>
          </w:p>
          <w:p w14:paraId="5B6AE770">
            <w:pPr>
              <w:pStyle w:val="2"/>
              <w:rPr>
                <w:rFonts w:hint="eastAsia" w:eastAsia="仿宋" w:cs="Times New Roman"/>
                <w:b w:val="0"/>
                <w:bCs w:val="0"/>
                <w:color w:val="auto"/>
                <w:kern w:val="0"/>
                <w:sz w:val="24"/>
                <w:szCs w:val="22"/>
                <w:highlight w:val="none"/>
                <w:lang w:val="en-US" w:eastAsia="zh-CN" w:bidi="ar-SA"/>
              </w:rPr>
            </w:pPr>
            <w:r>
              <w:rPr>
                <w:rFonts w:hint="default" w:eastAsia="仿宋" w:cs="Times New Roman"/>
                <w:b w:val="0"/>
                <w:bCs w:val="0"/>
                <w:color w:val="auto"/>
                <w:kern w:val="0"/>
                <w:sz w:val="24"/>
                <w:szCs w:val="22"/>
                <w:highlight w:val="none"/>
                <w:lang w:val="en-US" w:eastAsia="zh-CN" w:bidi="ar-SA"/>
              </w:rPr>
              <w:t>①普通钢筋混凝土现浇梁</w:t>
            </w:r>
          </w:p>
          <w:p w14:paraId="3A2A39D8">
            <w:pPr>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 xml:space="preserve">普通钢筋混凝土桥梁的承载能力有限，适用于跨径＜25m。本项目跨径较小，可采用钢筋混凝土现浇梁。现浇梁采用单箱多室断面，梁高1.0m，标准段梁宽5.0m。腹板厚0.2m，顶底板厚0.15m。 </w:t>
            </w:r>
          </w:p>
          <w:p w14:paraId="50B58F6D">
            <w:pPr>
              <w:rPr>
                <w:rFonts w:hint="default"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钢筋混凝土现浇梁一般采用支架现浇施工，本项目桥梁施工区域靠近生态管控区域，采用支架法现浇施工难度较大，且建筑物料跑冒滴漏风险较大，环境风险较高。</w:t>
            </w:r>
          </w:p>
          <w:p w14:paraId="618E70FE">
            <w:pPr>
              <w:pStyle w:val="2"/>
              <w:rPr>
                <w:rFonts w:hint="eastAsia" w:ascii="Times New Roman" w:hAnsi="Times New Roman" w:eastAsia="仿宋" w:cs="Times New Roman"/>
                <w:b w:val="0"/>
                <w:bCs w:val="0"/>
                <w:color w:val="auto"/>
                <w:kern w:val="0"/>
                <w:sz w:val="24"/>
                <w:szCs w:val="22"/>
                <w:highlight w:val="none"/>
                <w:lang w:val="en-US" w:eastAsia="zh-CN" w:bidi="ar-SA"/>
              </w:rPr>
            </w:pPr>
            <w:r>
              <w:rPr>
                <w:rFonts w:hint="default" w:ascii="Times New Roman" w:hAnsi="Times New Roman" w:eastAsia="仿宋" w:cs="Times New Roman"/>
                <w:b w:val="0"/>
                <w:bCs w:val="0"/>
                <w:color w:val="auto"/>
                <w:kern w:val="0"/>
                <w:sz w:val="24"/>
                <w:szCs w:val="22"/>
                <w:highlight w:val="none"/>
                <w:lang w:val="en-US" w:eastAsia="zh-CN" w:bidi="ar-SA"/>
              </w:rPr>
              <w:t xml:space="preserve">②钢结构连续箱梁 </w:t>
            </w:r>
          </w:p>
          <w:p w14:paraId="68A8BB1F">
            <w:pPr>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钢箱梁对跨度适应能力强，外观线形好，可工厂化分段预制、现场拼装，可满足曲线及变宽的需要。本项目钢箱梁方案梁高为0.8m，标准断面宽5.0m。钢箱梁顶、底板均采用正交异性钢桥面板，其中顶、底板厚10mm，纵向加劲肋间距为300mm。纵向每隔2.0m设置一道横隔板。</w:t>
            </w:r>
          </w:p>
          <w:p w14:paraId="6DAF47D1">
            <w:pPr>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钢结构连续箱梁结构高度较低，适合在跨度较大，梁底净空受限制的时采用，施工周期也最短，可以尽量减少施工对水域的占用，及施工期产生的噪声持续时间。</w:t>
            </w:r>
          </w:p>
          <w:p w14:paraId="2B862D2C">
            <w:pPr>
              <w:pStyle w:val="2"/>
              <w:rPr>
                <w:rFonts w:hint="eastAsia" w:ascii="Times New Roman" w:hAnsi="Times New Roman" w:eastAsia="仿宋" w:cs="Times New Roman"/>
                <w:b w:val="0"/>
                <w:bCs w:val="0"/>
                <w:color w:val="auto"/>
                <w:kern w:val="0"/>
                <w:sz w:val="24"/>
                <w:szCs w:val="22"/>
                <w:highlight w:val="none"/>
                <w:lang w:val="en-US" w:eastAsia="zh-CN" w:bidi="ar-SA"/>
              </w:rPr>
            </w:pPr>
            <w:r>
              <w:rPr>
                <w:rFonts w:hint="default" w:ascii="Times New Roman" w:hAnsi="Times New Roman" w:eastAsia="仿宋" w:cs="Times New Roman"/>
                <w:b w:val="0"/>
                <w:bCs w:val="0"/>
                <w:color w:val="auto"/>
                <w:kern w:val="0"/>
                <w:sz w:val="24"/>
                <w:szCs w:val="22"/>
                <w:highlight w:val="none"/>
                <w:lang w:val="en-US" w:eastAsia="zh-CN" w:bidi="ar-SA"/>
              </w:rPr>
              <w:t>③预应力混凝土预制梁</w:t>
            </w:r>
          </w:p>
          <w:p w14:paraId="624B3EAC">
            <w:pPr>
              <w:pStyle w:val="2"/>
              <w:ind w:firstLine="480" w:firstLineChars="200"/>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预应力混凝土预制梁适用于跨径＜40m。本项目跨径较小，可采用简支预应力混凝土预制梁。现浇梁采用单箱多室断面，梁高0.85m，标准段梁宽5.0m。腹板厚0.2m，顶底板厚0.15m。</w:t>
            </w:r>
          </w:p>
          <w:p w14:paraId="191D77F8">
            <w:pPr>
              <w:pStyle w:val="2"/>
              <w:ind w:firstLine="480" w:firstLineChars="200"/>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预应力混凝土预制梁结构抗裂性较好，对下部结构变位适应性好，耐久性好。预应力混凝土预制梁可采用预制吊装法施工，梁体在岸边预制，通过吊机吊装施工。预应力混凝土预制梁吊装重量大，对临时设施钢栈桥、吊车等要求较高，本项目临时便道依托围堰设计，如需应用预应力混凝土主梁，需进行半永久加固，经济成本较高，拆除工作对周边环境影响较大。</w:t>
            </w:r>
          </w:p>
          <w:p w14:paraId="544533BF">
            <w:pPr>
              <w:pStyle w:val="2"/>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（2）桥墩及基础方案比选</w:t>
            </w:r>
          </w:p>
          <w:p w14:paraId="603E3CDB">
            <w:pPr>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 xml:space="preserve">根据工程实践经验，对照各种桩基形式，桥墩基础可采用PHC管桩、钻孔灌注桩以及钢管桩三种比较成熟的桩基形式，桩基形式的选择需要从基础结构受力、地质条件的适宜性以及工程投资多方面考虑，钢管桩工程投资明显较其余两种基础形式高，暂不考虑。 </w:t>
            </w:r>
          </w:p>
          <w:p w14:paraId="012BA122">
            <w:pPr>
              <w:pStyle w:val="2"/>
              <w:rPr>
                <w:rFonts w:hint="eastAsia" w:eastAsia="仿宋" w:cs="Times New Roman"/>
                <w:b w:val="0"/>
                <w:bCs w:val="0"/>
                <w:color w:val="auto"/>
                <w:kern w:val="0"/>
                <w:sz w:val="24"/>
                <w:szCs w:val="22"/>
                <w:highlight w:val="none"/>
                <w:lang w:val="en-US" w:eastAsia="zh-CN" w:bidi="ar-SA"/>
              </w:rPr>
            </w:pPr>
            <w:r>
              <w:rPr>
                <w:rFonts w:hint="default" w:eastAsia="仿宋" w:cs="Times New Roman"/>
                <w:b w:val="0"/>
                <w:bCs w:val="0"/>
                <w:color w:val="auto"/>
                <w:kern w:val="0"/>
                <w:sz w:val="24"/>
                <w:szCs w:val="22"/>
                <w:highlight w:val="none"/>
                <w:lang w:val="en-US" w:eastAsia="zh-CN" w:bidi="ar-SA"/>
              </w:rPr>
              <w:t xml:space="preserve">① PHC桩 </w:t>
            </w:r>
          </w:p>
          <w:p w14:paraId="2198665E">
            <w:pPr>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PHC管桩单桩承载力高，可承受较大的竖向力，抗弯性能相对较弱，适应于持力层埋深较浅的地质条件，需避免孤石或障碍物多以及岩溶地区采用PHC 管桩。</w:t>
            </w:r>
          </w:p>
          <w:p w14:paraId="53DE3A99">
            <w:pPr>
              <w:pStyle w:val="2"/>
              <w:ind w:firstLine="480" w:firstLineChars="200"/>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项目区内表层地质以素填土、粉土、淤泥质土为主，持力层埋藏较深，缺乏使用P</w:t>
            </w:r>
            <w:r>
              <w:rPr>
                <w:rFonts w:hint="eastAsia" w:ascii="Times New Roman" w:hAnsi="Times New Roman" w:eastAsia="仿宋" w:cs="Times New Roman"/>
                <w:b w:val="0"/>
                <w:bCs w:val="0"/>
                <w:color w:val="auto"/>
                <w:kern w:val="0"/>
                <w:sz w:val="24"/>
                <w:szCs w:val="22"/>
                <w:highlight w:val="none"/>
                <w:lang w:val="en-US" w:eastAsia="zh-CN" w:bidi="ar-SA"/>
              </w:rPr>
              <w:t>HC管桩</w:t>
            </w:r>
            <w:r>
              <w:rPr>
                <w:rFonts w:hint="eastAsia" w:eastAsia="仿宋" w:cs="Times New Roman"/>
                <w:b w:val="0"/>
                <w:bCs w:val="0"/>
                <w:color w:val="auto"/>
                <w:kern w:val="0"/>
                <w:sz w:val="24"/>
                <w:szCs w:val="22"/>
                <w:highlight w:val="none"/>
                <w:lang w:val="en-US" w:eastAsia="zh-CN" w:bidi="ar-SA"/>
              </w:rPr>
              <w:t>的必要性，P</w:t>
            </w:r>
            <w:r>
              <w:rPr>
                <w:rFonts w:hint="eastAsia" w:ascii="Times New Roman" w:hAnsi="Times New Roman" w:eastAsia="仿宋" w:cs="Times New Roman"/>
                <w:b w:val="0"/>
                <w:bCs w:val="0"/>
                <w:color w:val="auto"/>
                <w:kern w:val="0"/>
                <w:sz w:val="24"/>
                <w:szCs w:val="22"/>
                <w:highlight w:val="none"/>
                <w:lang w:val="en-US" w:eastAsia="zh-CN" w:bidi="ar-SA"/>
              </w:rPr>
              <w:t>HC管桩需现场拼接接长，同时需增设承台，工程成本较高，施工难度更大，</w:t>
            </w:r>
            <w:r>
              <w:rPr>
                <w:rFonts w:hint="eastAsia" w:eastAsia="仿宋" w:cs="Times New Roman"/>
                <w:b w:val="0"/>
                <w:bCs w:val="0"/>
                <w:color w:val="auto"/>
                <w:kern w:val="0"/>
                <w:sz w:val="24"/>
                <w:szCs w:val="22"/>
                <w:highlight w:val="none"/>
                <w:lang w:val="en-US" w:eastAsia="zh-CN" w:bidi="ar-SA"/>
              </w:rPr>
              <w:t>施工总工期较长，对周边环境影响持续时间较长。</w:t>
            </w:r>
          </w:p>
          <w:p w14:paraId="487B187E">
            <w:pPr>
              <w:pStyle w:val="2"/>
              <w:rPr>
                <w:rFonts w:hint="eastAsia" w:ascii="Times New Roman" w:hAnsi="Times New Roman" w:eastAsia="仿宋" w:cs="Times New Roman"/>
                <w:b w:val="0"/>
                <w:bCs w:val="0"/>
                <w:color w:val="auto"/>
                <w:kern w:val="0"/>
                <w:sz w:val="24"/>
                <w:szCs w:val="22"/>
                <w:highlight w:val="none"/>
                <w:lang w:val="en-US" w:eastAsia="zh-CN" w:bidi="ar-SA"/>
              </w:rPr>
            </w:pPr>
            <w:r>
              <w:rPr>
                <w:rFonts w:hint="default" w:ascii="Times New Roman" w:hAnsi="Times New Roman" w:eastAsia="仿宋" w:cs="Times New Roman"/>
                <w:b w:val="0"/>
                <w:bCs w:val="0"/>
                <w:color w:val="auto"/>
                <w:kern w:val="0"/>
                <w:sz w:val="24"/>
                <w:szCs w:val="22"/>
                <w:highlight w:val="none"/>
                <w:lang w:val="en-US" w:eastAsia="zh-CN" w:bidi="ar-SA"/>
              </w:rPr>
              <w:t xml:space="preserve">②钻孔灌注桩 </w:t>
            </w:r>
          </w:p>
          <w:p w14:paraId="1D459F3E">
            <w:pPr>
              <w:ind w:left="0" w:leftChars="0" w:firstLine="480" w:firstLineChars="200"/>
              <w:rPr>
                <w:rFonts w:hint="eastAsia" w:eastAsia="仿宋" w:cs="Times New Roman"/>
                <w:b w:val="0"/>
                <w:bCs w:val="0"/>
                <w:color w:val="auto"/>
                <w:kern w:val="0"/>
                <w:sz w:val="24"/>
                <w:szCs w:val="22"/>
                <w:highlight w:val="none"/>
                <w:lang w:val="en-US" w:eastAsia="zh-CN" w:bidi="ar-SA"/>
              </w:rPr>
            </w:pPr>
            <w:r>
              <w:rPr>
                <w:rFonts w:hint="default" w:ascii="Times New Roman" w:hAnsi="Times New Roman" w:eastAsia="仿宋" w:cs="Times New Roman"/>
                <w:b w:val="0"/>
                <w:bCs w:val="0"/>
                <w:color w:val="auto"/>
                <w:kern w:val="0"/>
                <w:sz w:val="24"/>
                <w:szCs w:val="22"/>
                <w:highlight w:val="none"/>
                <w:lang w:val="en-US" w:eastAsia="zh-CN" w:bidi="ar-SA"/>
              </w:rPr>
              <w:t>钻孔灌注桩</w:t>
            </w:r>
            <w:r>
              <w:rPr>
                <w:rFonts w:hint="eastAsia" w:eastAsia="仿宋" w:cs="Times New Roman"/>
                <w:b w:val="0"/>
                <w:bCs w:val="0"/>
                <w:color w:val="auto"/>
                <w:kern w:val="0"/>
                <w:sz w:val="24"/>
                <w:szCs w:val="22"/>
                <w:highlight w:val="none"/>
                <w:lang w:val="en-US" w:eastAsia="zh-CN" w:bidi="ar-SA"/>
              </w:rPr>
              <w:t>单桩承载力大，抵抗水平荷载的能力强，桩长范围广，可适应于各种负载的不良地质条件。</w:t>
            </w:r>
          </w:p>
          <w:p w14:paraId="248695EB">
            <w:pPr>
              <w:pStyle w:val="2"/>
              <w:ind w:firstLine="480" w:firstLineChars="200"/>
              <w:rPr>
                <w:rFonts w:hint="eastAsia" w:eastAsia="仿宋" w:cs="Times New Roman"/>
                <w:b w:val="0"/>
                <w:bCs w:val="0"/>
                <w:color w:val="auto"/>
                <w:kern w:val="0"/>
                <w:sz w:val="24"/>
                <w:szCs w:val="22"/>
                <w:highlight w:val="none"/>
                <w:lang w:val="en-US" w:eastAsia="zh-CN" w:bidi="ar-SA"/>
              </w:rPr>
            </w:pPr>
            <w:r>
              <w:rPr>
                <w:rFonts w:hint="eastAsia" w:ascii="Times New Roman" w:hAnsi="Times New Roman" w:eastAsia="仿宋" w:cs="Times New Roman"/>
                <w:b w:val="0"/>
                <w:bCs w:val="0"/>
                <w:color w:val="auto"/>
                <w:kern w:val="0"/>
                <w:sz w:val="24"/>
                <w:szCs w:val="22"/>
                <w:highlight w:val="none"/>
                <w:lang w:val="en-US" w:eastAsia="zh-CN" w:bidi="ar-SA"/>
              </w:rPr>
              <w:t>钻孔灌注桩结构受力明确，其竖向承载力及抗弯能力较好，同时适用于各种负责地质条件，且其设计、施工工艺均已较成熟，施工难度和施工风险较小</w:t>
            </w:r>
            <w:r>
              <w:rPr>
                <w:rFonts w:hint="eastAsia" w:eastAsia="仿宋" w:cs="Times New Roman"/>
                <w:b w:val="0"/>
                <w:bCs w:val="0"/>
                <w:color w:val="auto"/>
                <w:kern w:val="0"/>
                <w:sz w:val="24"/>
                <w:szCs w:val="22"/>
                <w:highlight w:val="none"/>
                <w:lang w:val="en-US" w:eastAsia="zh-CN" w:bidi="ar-SA"/>
              </w:rPr>
              <w:t>，施工工期较短，环境风险及对周边环境的持续影响较小。</w:t>
            </w:r>
          </w:p>
          <w:p w14:paraId="0DC58ECB">
            <w:pPr>
              <w:rPr>
                <w:rFonts w:hint="default"/>
                <w:lang w:val="en-US" w:eastAsia="zh-CN"/>
              </w:rPr>
            </w:pPr>
            <w:r>
              <w:rPr>
                <w:rFonts w:hint="eastAsia" w:eastAsia="仿宋" w:cs="Times New Roman"/>
                <w:b w:val="0"/>
                <w:bCs w:val="0"/>
                <w:color w:val="auto"/>
                <w:kern w:val="0"/>
                <w:sz w:val="24"/>
                <w:szCs w:val="22"/>
                <w:highlight w:val="none"/>
                <w:lang w:val="en-US" w:eastAsia="zh-CN" w:bidi="ar-SA"/>
              </w:rPr>
              <w:t>综上，本项目采用连续钢箱梁方案，并使用钻孔灌注桩完成基础建设。</w:t>
            </w:r>
          </w:p>
          <w:p w14:paraId="6F82FAF7">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3</w:t>
            </w:r>
            <w:r>
              <w:rPr>
                <w:rFonts w:hint="eastAsia" w:ascii="Times New Roman" w:hAnsi="Times New Roman" w:eastAsia="仿宋" w:cs="Times New Roman"/>
                <w:b/>
                <w:bCs/>
                <w:color w:val="auto"/>
                <w:kern w:val="0"/>
                <w:sz w:val="24"/>
                <w:szCs w:val="22"/>
                <w:highlight w:val="none"/>
                <w:lang w:val="en-US" w:eastAsia="zh-CN" w:bidi="ar-SA"/>
              </w:rPr>
              <w:t>、环境影响</w:t>
            </w:r>
            <w:r>
              <w:rPr>
                <w:rFonts w:hint="eastAsia" w:eastAsia="仿宋" w:cs="Times New Roman"/>
                <w:b/>
                <w:bCs/>
                <w:color w:val="auto"/>
                <w:kern w:val="0"/>
                <w:sz w:val="24"/>
                <w:szCs w:val="22"/>
                <w:highlight w:val="none"/>
                <w:lang w:val="en-US" w:eastAsia="zh-CN" w:bidi="ar-SA"/>
              </w:rPr>
              <w:t>分析</w:t>
            </w:r>
          </w:p>
          <w:p w14:paraId="7979069F">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本项目建设主要</w:t>
            </w:r>
            <w:r>
              <w:rPr>
                <w:rFonts w:hint="eastAsia" w:eastAsia="仿宋" w:cs="Times New Roman"/>
                <w:color w:val="auto"/>
                <w:kern w:val="0"/>
                <w:sz w:val="24"/>
                <w:szCs w:val="22"/>
                <w:highlight w:val="none"/>
                <w:lang w:val="en-US" w:eastAsia="zh-CN" w:bidi="ar-SA"/>
              </w:rPr>
              <w:t>为施工期</w:t>
            </w:r>
            <w:r>
              <w:rPr>
                <w:rFonts w:hint="eastAsia" w:ascii="Times New Roman" w:hAnsi="Times New Roman" w:eastAsia="仿宋" w:cs="Times New Roman"/>
                <w:color w:val="auto"/>
                <w:kern w:val="0"/>
                <w:sz w:val="24"/>
                <w:szCs w:val="22"/>
                <w:highlight w:val="none"/>
                <w:lang w:val="en-US" w:eastAsia="zh-CN" w:bidi="ar-SA"/>
              </w:rPr>
              <w:t>带来</w:t>
            </w:r>
            <w:r>
              <w:rPr>
                <w:rFonts w:hint="eastAsia" w:eastAsia="仿宋" w:cs="Times New Roman"/>
                <w:color w:val="auto"/>
                <w:kern w:val="0"/>
                <w:sz w:val="24"/>
                <w:szCs w:val="22"/>
                <w:highlight w:val="none"/>
                <w:lang w:val="en-US" w:eastAsia="zh-CN" w:bidi="ar-SA"/>
              </w:rPr>
              <w:t>的</w:t>
            </w:r>
            <w:r>
              <w:rPr>
                <w:rFonts w:hint="eastAsia" w:ascii="Times New Roman" w:hAnsi="Times New Roman" w:eastAsia="仿宋" w:cs="Times New Roman"/>
                <w:color w:val="auto"/>
                <w:kern w:val="0"/>
                <w:sz w:val="24"/>
                <w:szCs w:val="22"/>
                <w:highlight w:val="none"/>
                <w:lang w:val="en-US" w:eastAsia="zh-CN" w:bidi="ar-SA"/>
              </w:rPr>
              <w:t>短期的噪声、大气环境、水环境影响，在严格执行国家和地方相关法律法规及管理政策，落实本报告提出的各项污染防治措施后，</w:t>
            </w:r>
            <w:r>
              <w:rPr>
                <w:rFonts w:hint="eastAsia" w:eastAsia="仿宋" w:cs="Times New Roman"/>
                <w:color w:val="auto"/>
                <w:kern w:val="0"/>
                <w:sz w:val="24"/>
                <w:szCs w:val="22"/>
                <w:highlight w:val="none"/>
                <w:lang w:val="en-US" w:eastAsia="zh-CN" w:bidi="ar-SA"/>
              </w:rPr>
              <w:t>可以令</w:t>
            </w:r>
            <w:r>
              <w:rPr>
                <w:rFonts w:hint="eastAsia" w:ascii="Times New Roman" w:hAnsi="Times New Roman" w:eastAsia="仿宋" w:cs="Times New Roman"/>
                <w:color w:val="auto"/>
                <w:kern w:val="0"/>
                <w:sz w:val="24"/>
                <w:szCs w:val="22"/>
                <w:highlight w:val="none"/>
                <w:lang w:val="en-US" w:eastAsia="zh-CN" w:bidi="ar-SA"/>
              </w:rPr>
              <w:t>环境的不利影响</w:t>
            </w:r>
            <w:r>
              <w:rPr>
                <w:rFonts w:hint="eastAsia" w:eastAsia="仿宋" w:cs="Times New Roman"/>
                <w:color w:val="auto"/>
                <w:kern w:val="0"/>
                <w:sz w:val="24"/>
                <w:szCs w:val="22"/>
                <w:highlight w:val="none"/>
                <w:lang w:val="en-US" w:eastAsia="zh-CN" w:bidi="ar-SA"/>
              </w:rPr>
              <w:t>处于可控可逆区间，满足环保标准要求</w:t>
            </w: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因项目选用</w:t>
            </w:r>
            <w:r>
              <w:rPr>
                <w:rFonts w:hint="eastAsia" w:eastAsia="仿宋" w:cs="Times New Roman"/>
                <w:b w:val="0"/>
                <w:bCs w:val="0"/>
                <w:color w:val="auto"/>
                <w:kern w:val="0"/>
                <w:sz w:val="24"/>
                <w:szCs w:val="22"/>
                <w:highlight w:val="none"/>
                <w:lang w:val="en-US" w:eastAsia="zh-CN" w:bidi="ar-SA"/>
              </w:rPr>
              <w:t>连续钢箱梁方案，并使用钻孔灌注桩，故必须选用围堰式干法施工模式，同时存在混凝土及沥青需求。</w:t>
            </w:r>
          </w:p>
          <w:p w14:paraId="69F93F84">
            <w:pPr>
              <w:keepNext w:val="0"/>
              <w:keepLines w:val="0"/>
              <w:widowControl/>
              <w:suppressLineNumbers w:val="0"/>
              <w:jc w:val="left"/>
              <w:rPr>
                <w:rFonts w:hint="default"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项目所需的</w:t>
            </w:r>
            <w:r>
              <w:rPr>
                <w:rFonts w:hint="eastAsia" w:eastAsia="仿宋" w:cs="Times New Roman"/>
                <w:color w:val="auto"/>
                <w:kern w:val="0"/>
                <w:sz w:val="24"/>
                <w:szCs w:val="22"/>
                <w:highlight w:val="none"/>
                <w:lang w:val="en-US" w:eastAsia="zh-CN" w:bidi="ar-SA"/>
              </w:rPr>
              <w:t>路面铺装材料</w:t>
            </w:r>
            <w:r>
              <w:rPr>
                <w:rFonts w:hint="eastAsia" w:ascii="Times New Roman" w:hAnsi="Times New Roman" w:eastAsia="仿宋" w:cs="Times New Roman"/>
                <w:color w:val="auto"/>
                <w:kern w:val="0"/>
                <w:sz w:val="24"/>
                <w:szCs w:val="22"/>
                <w:highlight w:val="none"/>
                <w:lang w:val="en-US" w:eastAsia="zh-CN" w:bidi="ar-SA"/>
              </w:rPr>
              <w:t>和混凝土全部外购，不设置沥青拌和</w:t>
            </w:r>
            <w:r>
              <w:rPr>
                <w:rFonts w:hint="eastAsia" w:eastAsia="仿宋" w:cs="Times New Roman"/>
                <w:color w:val="auto"/>
                <w:kern w:val="0"/>
                <w:sz w:val="24"/>
                <w:szCs w:val="22"/>
                <w:highlight w:val="none"/>
                <w:lang w:val="en-US" w:eastAsia="zh-CN" w:bidi="ar-SA"/>
              </w:rPr>
              <w:t>站或</w:t>
            </w:r>
            <w:r>
              <w:rPr>
                <w:rFonts w:hint="eastAsia" w:ascii="Times New Roman" w:hAnsi="Times New Roman" w:eastAsia="仿宋" w:cs="Times New Roman"/>
                <w:color w:val="auto"/>
                <w:kern w:val="0"/>
                <w:sz w:val="24"/>
                <w:szCs w:val="22"/>
                <w:highlight w:val="none"/>
                <w:lang w:val="en-US" w:eastAsia="zh-CN" w:bidi="ar-SA"/>
              </w:rPr>
              <w:t>混凝土拌和站；项目</w:t>
            </w:r>
            <w:r>
              <w:rPr>
                <w:rFonts w:hint="eastAsia" w:eastAsia="仿宋" w:cs="Times New Roman"/>
                <w:color w:val="auto"/>
                <w:kern w:val="0"/>
                <w:sz w:val="24"/>
                <w:szCs w:val="22"/>
                <w:highlight w:val="none"/>
                <w:lang w:val="en-US" w:eastAsia="zh-CN" w:bidi="ar-SA"/>
              </w:rPr>
              <w:t>弃土共计22920m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，其中预计土方约18720m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（外购袋装土共计2300方，拆除土埂16420m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），外购石方约4200m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，集中后堆放至指定弃土场</w:t>
            </w: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弃土场原址为废弃鱼塘，设计容量为26670m</w:t>
            </w:r>
            <w:r>
              <w:rPr>
                <w:rFonts w:hint="eastAsia" w:eastAsia="仿宋" w:cs="Times New Roman"/>
                <w:color w:val="auto"/>
                <w:kern w:val="0"/>
                <w:sz w:val="24"/>
                <w:szCs w:val="22"/>
                <w:highlight w:val="none"/>
                <w:vertAlign w:val="superscript"/>
                <w:lang w:val="en-US" w:eastAsia="zh-CN" w:bidi="ar-SA"/>
              </w:rPr>
              <w:t>3</w:t>
            </w:r>
            <w:r>
              <w:rPr>
                <w:rFonts w:hint="eastAsia" w:eastAsia="仿宋" w:cs="Times New Roman"/>
                <w:color w:val="auto"/>
                <w:kern w:val="0"/>
                <w:sz w:val="24"/>
                <w:szCs w:val="22"/>
                <w:highlight w:val="none"/>
                <w:lang w:val="en-US" w:eastAsia="zh-CN" w:bidi="ar-SA"/>
              </w:rPr>
              <w:t>，符合弃土收纳需求。</w:t>
            </w:r>
            <w:r>
              <w:rPr>
                <w:rFonts w:hint="eastAsia" w:ascii="Times New Roman" w:hAnsi="Times New Roman" w:eastAsia="仿宋" w:cs="Times New Roman"/>
                <w:color w:val="auto"/>
                <w:kern w:val="0"/>
                <w:sz w:val="24"/>
                <w:szCs w:val="22"/>
                <w:highlight w:val="none"/>
                <w:lang w:val="en-US" w:eastAsia="zh-CN" w:bidi="ar-SA"/>
              </w:rPr>
              <w:t>工程施工基础设施符合环保要求</w:t>
            </w:r>
            <w:r>
              <w:rPr>
                <w:rFonts w:hint="eastAsia" w:eastAsia="仿宋" w:cs="Times New Roman"/>
                <w:color w:val="auto"/>
                <w:kern w:val="0"/>
                <w:sz w:val="24"/>
                <w:szCs w:val="22"/>
                <w:highlight w:val="none"/>
                <w:lang w:val="en-US" w:eastAsia="zh-CN" w:bidi="ar-SA"/>
              </w:rPr>
              <w:t>。项目于应急疏散通道东西岸各设一临时堆场，堆场及弃土场在表土剥离后，对原位土分类堆放保存，临时堆土覆盖纱网并挖设排水沟与沉淀池相连，其中弃土场施工场地约3172m</w:t>
            </w:r>
            <w:r>
              <w:rPr>
                <w:rFonts w:hint="eastAsia" w:eastAsia="仿宋" w:cs="Times New Roman"/>
                <w:color w:val="auto"/>
                <w:kern w:val="0"/>
                <w:sz w:val="24"/>
                <w:szCs w:val="22"/>
                <w:highlight w:val="none"/>
                <w:vertAlign w:val="superscript"/>
                <w:lang w:val="en-US" w:eastAsia="zh-CN" w:bidi="ar-SA"/>
              </w:rPr>
              <w:t>2</w:t>
            </w:r>
            <w:r>
              <w:rPr>
                <w:rFonts w:hint="eastAsia" w:eastAsia="仿宋" w:cs="Times New Roman"/>
                <w:color w:val="auto"/>
                <w:kern w:val="0"/>
                <w:sz w:val="24"/>
                <w:szCs w:val="22"/>
                <w:highlight w:val="none"/>
                <w:lang w:val="en-US" w:eastAsia="zh-CN" w:bidi="ar-SA"/>
              </w:rPr>
              <w:t>，西侧临时堆场约8757m</w:t>
            </w:r>
            <w:r>
              <w:rPr>
                <w:rFonts w:hint="eastAsia" w:eastAsia="仿宋" w:cs="Times New Roman"/>
                <w:color w:val="auto"/>
                <w:kern w:val="0"/>
                <w:sz w:val="24"/>
                <w:szCs w:val="22"/>
                <w:highlight w:val="none"/>
                <w:vertAlign w:val="superscript"/>
                <w:lang w:val="en-US" w:eastAsia="zh-CN" w:bidi="ar-SA"/>
              </w:rPr>
              <w:t>2</w:t>
            </w:r>
            <w:r>
              <w:rPr>
                <w:rFonts w:hint="eastAsia" w:eastAsia="仿宋" w:cs="Times New Roman"/>
                <w:color w:val="auto"/>
                <w:kern w:val="0"/>
                <w:sz w:val="24"/>
                <w:szCs w:val="22"/>
                <w:highlight w:val="none"/>
                <w:lang w:val="en-US" w:eastAsia="zh-CN" w:bidi="ar-SA"/>
              </w:rPr>
              <w:t>，东侧临时堆场约8892m</w:t>
            </w:r>
            <w:r>
              <w:rPr>
                <w:rFonts w:hint="eastAsia" w:eastAsia="仿宋" w:cs="Times New Roman"/>
                <w:color w:val="auto"/>
                <w:kern w:val="0"/>
                <w:sz w:val="24"/>
                <w:szCs w:val="22"/>
                <w:highlight w:val="none"/>
                <w:vertAlign w:val="superscript"/>
                <w:lang w:val="en-US" w:eastAsia="zh-CN" w:bidi="ar-SA"/>
              </w:rPr>
              <w:t>2</w:t>
            </w:r>
            <w:r>
              <w:rPr>
                <w:rFonts w:hint="eastAsia" w:eastAsia="仿宋" w:cs="Times New Roman"/>
                <w:color w:val="auto"/>
                <w:kern w:val="0"/>
                <w:sz w:val="24"/>
                <w:szCs w:val="22"/>
                <w:highlight w:val="none"/>
                <w:lang w:val="en-US" w:eastAsia="zh-CN" w:bidi="ar-SA"/>
              </w:rPr>
              <w:t>，具体平面布置见附图4，表土剥离厚度为0.2m，待弃土完成后及时平整场地，表土回填，进行生态复绿。</w:t>
            </w:r>
          </w:p>
          <w:p w14:paraId="0280CAD2">
            <w:pPr>
              <w:keepNext w:val="0"/>
              <w:keepLines w:val="0"/>
              <w:widowControl/>
              <w:suppressLineNumbers w:val="0"/>
              <w:ind w:left="0" w:leftChars="0" w:firstLine="0" w:firstLineChars="0"/>
              <w:jc w:val="center"/>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表4-</w:t>
            </w:r>
            <w:r>
              <w:rPr>
                <w:rFonts w:hint="eastAsia" w:eastAsia="仿宋" w:cs="Times New Roman"/>
                <w:b/>
                <w:bCs/>
                <w:color w:val="auto"/>
                <w:kern w:val="0"/>
                <w:sz w:val="24"/>
                <w:szCs w:val="22"/>
                <w:highlight w:val="none"/>
                <w:lang w:val="en-US" w:eastAsia="zh-CN" w:bidi="ar-SA"/>
              </w:rPr>
              <w:t>5 土方平衡</w:t>
            </w:r>
            <w:r>
              <w:rPr>
                <w:rFonts w:hint="eastAsia" w:ascii="Times New Roman" w:hAnsi="Times New Roman" w:eastAsia="仿宋" w:cs="Times New Roman"/>
                <w:b/>
                <w:bCs/>
                <w:color w:val="auto"/>
                <w:kern w:val="0"/>
                <w:sz w:val="24"/>
                <w:szCs w:val="22"/>
                <w:highlight w:val="none"/>
                <w:lang w:val="en-US" w:eastAsia="zh-CN" w:bidi="ar-SA"/>
              </w:rPr>
              <w:t>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383"/>
              <w:gridCol w:w="1383"/>
              <w:gridCol w:w="1383"/>
              <w:gridCol w:w="1383"/>
              <w:gridCol w:w="1388"/>
            </w:tblGrid>
            <w:tr w14:paraId="4E790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832" w:type="pct"/>
                  <w:vAlign w:val="center"/>
                </w:tcPr>
                <w:p w14:paraId="33D6978F">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土埂拆除（m</w:t>
                  </w:r>
                  <w:r>
                    <w:rPr>
                      <w:rFonts w:hint="eastAsia" w:eastAsia="仿宋" w:cs="Times New Roman"/>
                      <w:b/>
                      <w:bCs/>
                      <w:color w:val="auto"/>
                      <w:sz w:val="21"/>
                      <w:szCs w:val="21"/>
                      <w:vertAlign w:val="superscript"/>
                      <w:lang w:val="en-US" w:eastAsia="zh-CN"/>
                    </w:rPr>
                    <w:t>3</w:t>
                  </w:r>
                  <w:r>
                    <w:rPr>
                      <w:rFonts w:hint="eastAsia" w:eastAsia="仿宋" w:cs="Times New Roman"/>
                      <w:b/>
                      <w:bCs/>
                      <w:color w:val="auto"/>
                      <w:sz w:val="21"/>
                      <w:szCs w:val="21"/>
                      <w:lang w:val="en-US" w:eastAsia="zh-CN"/>
                    </w:rPr>
                    <w:t>）</w:t>
                  </w:r>
                </w:p>
              </w:tc>
              <w:tc>
                <w:tcPr>
                  <w:tcW w:w="832" w:type="pct"/>
                  <w:vAlign w:val="center"/>
                </w:tcPr>
                <w:p w14:paraId="43D47576">
                  <w:pPr>
                    <w:pStyle w:val="7"/>
                    <w:keepNext w:val="0"/>
                    <w:keepLines w:val="0"/>
                    <w:suppressLineNumbers w:val="0"/>
                    <w:spacing w:beforeAutospacing="0" w:afterAutospacing="0"/>
                    <w:ind w:left="0" w:right="0"/>
                    <w:jc w:val="center"/>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表土剥离（m</w:t>
                  </w:r>
                  <w:r>
                    <w:rPr>
                      <w:rFonts w:hint="eastAsia" w:eastAsia="仿宋" w:cs="Times New Roman"/>
                      <w:b/>
                      <w:bCs/>
                      <w:color w:val="auto"/>
                      <w:sz w:val="21"/>
                      <w:szCs w:val="21"/>
                      <w:vertAlign w:val="superscript"/>
                      <w:lang w:val="en-US" w:eastAsia="zh-CN"/>
                    </w:rPr>
                    <w:t>3</w:t>
                  </w:r>
                  <w:r>
                    <w:rPr>
                      <w:rFonts w:hint="eastAsia" w:eastAsia="仿宋" w:cs="Times New Roman"/>
                      <w:b/>
                      <w:bCs/>
                      <w:color w:val="auto"/>
                      <w:sz w:val="21"/>
                      <w:szCs w:val="21"/>
                      <w:lang w:val="en-US" w:eastAsia="zh-CN"/>
                    </w:rPr>
                    <w:t>）</w:t>
                  </w:r>
                </w:p>
              </w:tc>
              <w:tc>
                <w:tcPr>
                  <w:tcW w:w="832" w:type="pct"/>
                  <w:vAlign w:val="center"/>
                </w:tcPr>
                <w:p w14:paraId="277B15A4">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土方回填（m</w:t>
                  </w:r>
                  <w:r>
                    <w:rPr>
                      <w:rFonts w:hint="eastAsia" w:eastAsia="仿宋" w:cs="Times New Roman"/>
                      <w:b/>
                      <w:bCs/>
                      <w:color w:val="auto"/>
                      <w:sz w:val="21"/>
                      <w:szCs w:val="21"/>
                      <w:vertAlign w:val="superscript"/>
                      <w:lang w:val="en-US" w:eastAsia="zh-CN"/>
                    </w:rPr>
                    <w:t>3</w:t>
                  </w:r>
                  <w:r>
                    <w:rPr>
                      <w:rFonts w:hint="eastAsia" w:eastAsia="仿宋" w:cs="Times New Roman"/>
                      <w:b/>
                      <w:bCs/>
                      <w:color w:val="auto"/>
                      <w:sz w:val="21"/>
                      <w:szCs w:val="21"/>
                      <w:lang w:val="en-US" w:eastAsia="zh-CN"/>
                    </w:rPr>
                    <w:t>）</w:t>
                  </w:r>
                </w:p>
              </w:tc>
              <w:tc>
                <w:tcPr>
                  <w:tcW w:w="832" w:type="pct"/>
                  <w:vAlign w:val="center"/>
                </w:tcPr>
                <w:p w14:paraId="75C1752D">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外购土方（m</w:t>
                  </w:r>
                  <w:r>
                    <w:rPr>
                      <w:rFonts w:hint="eastAsia" w:eastAsia="仿宋" w:cs="Times New Roman"/>
                      <w:b/>
                      <w:bCs/>
                      <w:color w:val="auto"/>
                      <w:sz w:val="21"/>
                      <w:szCs w:val="21"/>
                      <w:vertAlign w:val="superscript"/>
                      <w:lang w:val="en-US" w:eastAsia="zh-CN"/>
                    </w:rPr>
                    <w:t>3</w:t>
                  </w:r>
                  <w:r>
                    <w:rPr>
                      <w:rFonts w:hint="eastAsia" w:eastAsia="仿宋" w:cs="Times New Roman"/>
                      <w:b/>
                      <w:bCs/>
                      <w:color w:val="auto"/>
                      <w:sz w:val="21"/>
                      <w:szCs w:val="21"/>
                      <w:lang w:val="en-US" w:eastAsia="zh-CN"/>
                    </w:rPr>
                    <w:t>）</w:t>
                  </w:r>
                </w:p>
              </w:tc>
              <w:tc>
                <w:tcPr>
                  <w:tcW w:w="832" w:type="pct"/>
                  <w:vAlign w:val="center"/>
                </w:tcPr>
                <w:p w14:paraId="752996A7">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外购石方（m</w:t>
                  </w:r>
                  <w:r>
                    <w:rPr>
                      <w:rFonts w:hint="eastAsia" w:eastAsia="仿宋" w:cs="Times New Roman"/>
                      <w:b/>
                      <w:bCs/>
                      <w:color w:val="auto"/>
                      <w:sz w:val="21"/>
                      <w:szCs w:val="21"/>
                      <w:vertAlign w:val="superscript"/>
                      <w:lang w:val="en-US" w:eastAsia="zh-CN"/>
                    </w:rPr>
                    <w:t>3</w:t>
                  </w:r>
                  <w:r>
                    <w:rPr>
                      <w:rFonts w:hint="eastAsia" w:eastAsia="仿宋" w:cs="Times New Roman"/>
                      <w:b/>
                      <w:bCs/>
                      <w:color w:val="auto"/>
                      <w:sz w:val="21"/>
                      <w:szCs w:val="21"/>
                      <w:lang w:val="en-US" w:eastAsia="zh-CN"/>
                    </w:rPr>
                    <w:t>）</w:t>
                  </w:r>
                </w:p>
              </w:tc>
              <w:tc>
                <w:tcPr>
                  <w:tcW w:w="835" w:type="pct"/>
                  <w:vAlign w:val="center"/>
                </w:tcPr>
                <w:p w14:paraId="66671EF3">
                  <w:pPr>
                    <w:pStyle w:val="7"/>
                    <w:keepNext w:val="0"/>
                    <w:keepLines w:val="0"/>
                    <w:suppressLineNumbers w:val="0"/>
                    <w:spacing w:beforeAutospacing="0" w:afterAutospacing="0"/>
                    <w:ind w:left="0" w:leftChars="0" w:right="0" w:rightChars="0" w:firstLine="0" w:firstLineChars="0"/>
                    <w:jc w:val="center"/>
                    <w:rPr>
                      <w:rFonts w:hint="eastAsia" w:eastAsia="仿宋" w:cs="Times New Roman"/>
                      <w:b/>
                      <w:bCs/>
                      <w:color w:val="auto"/>
                      <w:sz w:val="21"/>
                      <w:szCs w:val="21"/>
                      <w:lang w:val="en-US" w:eastAsia="zh-CN"/>
                    </w:rPr>
                  </w:pPr>
                  <w:r>
                    <w:rPr>
                      <w:rFonts w:hint="eastAsia" w:eastAsia="仿宋" w:cs="Times New Roman"/>
                      <w:b/>
                      <w:bCs/>
                      <w:color w:val="auto"/>
                      <w:sz w:val="21"/>
                      <w:szCs w:val="21"/>
                      <w:lang w:val="en-US" w:eastAsia="zh-CN"/>
                    </w:rPr>
                    <w:t>弃土</w:t>
                  </w:r>
                </w:p>
                <w:p w14:paraId="49F115C8">
                  <w:pPr>
                    <w:pStyle w:val="7"/>
                    <w:keepNext w:val="0"/>
                    <w:keepLines w:val="0"/>
                    <w:suppressLineNumbers w:val="0"/>
                    <w:spacing w:beforeAutospacing="0" w:afterAutospacing="0"/>
                    <w:ind w:left="0" w:leftChars="0" w:right="0" w:rightChars="0" w:firstLine="0" w:firstLineChars="0"/>
                    <w:jc w:val="center"/>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（m</w:t>
                  </w:r>
                  <w:r>
                    <w:rPr>
                      <w:rFonts w:hint="eastAsia" w:eastAsia="仿宋" w:cs="Times New Roman"/>
                      <w:b/>
                      <w:bCs/>
                      <w:color w:val="auto"/>
                      <w:sz w:val="21"/>
                      <w:szCs w:val="21"/>
                      <w:vertAlign w:val="superscript"/>
                      <w:lang w:val="en-US" w:eastAsia="zh-CN"/>
                    </w:rPr>
                    <w:t>3</w:t>
                  </w:r>
                  <w:r>
                    <w:rPr>
                      <w:rFonts w:hint="eastAsia" w:eastAsia="仿宋" w:cs="Times New Roman"/>
                      <w:b/>
                      <w:bCs/>
                      <w:color w:val="auto"/>
                      <w:sz w:val="21"/>
                      <w:szCs w:val="21"/>
                      <w:lang w:val="en-US" w:eastAsia="zh-CN"/>
                    </w:rPr>
                    <w:t>）</w:t>
                  </w:r>
                </w:p>
              </w:tc>
            </w:tr>
            <w:tr w14:paraId="1CCC2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14:paraId="337D3801">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16420</w:t>
                  </w:r>
                </w:p>
              </w:tc>
              <w:tc>
                <w:tcPr>
                  <w:tcW w:w="832" w:type="pct"/>
                  <w:vAlign w:val="center"/>
                </w:tcPr>
                <w:p w14:paraId="4CDE86EC">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4164</w:t>
                  </w:r>
                </w:p>
              </w:tc>
              <w:tc>
                <w:tcPr>
                  <w:tcW w:w="832" w:type="pct"/>
                  <w:vAlign w:val="center"/>
                </w:tcPr>
                <w:p w14:paraId="46C8C2BA">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4164</w:t>
                  </w:r>
                </w:p>
              </w:tc>
              <w:tc>
                <w:tcPr>
                  <w:tcW w:w="832" w:type="pct"/>
                  <w:vAlign w:val="center"/>
                </w:tcPr>
                <w:p w14:paraId="3E8324A0">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2300</w:t>
                  </w:r>
                </w:p>
              </w:tc>
              <w:tc>
                <w:tcPr>
                  <w:tcW w:w="832" w:type="pct"/>
                  <w:vAlign w:val="center"/>
                </w:tcPr>
                <w:p w14:paraId="5EC643D0">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4200</w:t>
                  </w:r>
                </w:p>
              </w:tc>
              <w:tc>
                <w:tcPr>
                  <w:tcW w:w="835" w:type="pct"/>
                  <w:vAlign w:val="center"/>
                </w:tcPr>
                <w:p w14:paraId="40AC0373">
                  <w:pPr>
                    <w:pStyle w:val="7"/>
                    <w:keepNext w:val="0"/>
                    <w:keepLines w:val="0"/>
                    <w:suppressLineNumbers w:val="0"/>
                    <w:spacing w:beforeAutospacing="0" w:afterAutospacing="0"/>
                    <w:ind w:left="0" w:right="0"/>
                    <w:jc w:val="center"/>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22920</w:t>
                  </w:r>
                </w:p>
              </w:tc>
            </w:tr>
          </w:tbl>
          <w:p w14:paraId="30612E87">
            <w:pPr>
              <w:pStyle w:val="2"/>
              <w:rPr>
                <w:rFonts w:hint="eastAsia"/>
                <w:lang w:val="en-US" w:eastAsia="zh-CN"/>
              </w:rPr>
            </w:pPr>
            <w:r>
              <w:rPr>
                <w:rFonts w:hint="eastAsia"/>
                <w:lang w:val="en-US" w:eastAsia="zh-CN"/>
              </w:rPr>
              <w:drawing>
                <wp:inline distT="0" distB="0" distL="114300" distR="114300">
                  <wp:extent cx="5274310" cy="2978785"/>
                  <wp:effectExtent l="0" t="0" r="2540" b="12065"/>
                  <wp:docPr id="16" name="图片 16" descr="弃土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弃土场"/>
                          <pic:cNvPicPr>
                            <a:picLocks noChangeAspect="1"/>
                          </pic:cNvPicPr>
                        </pic:nvPicPr>
                        <pic:blipFill>
                          <a:blip r:embed="rId66"/>
                          <a:stretch>
                            <a:fillRect/>
                          </a:stretch>
                        </pic:blipFill>
                        <pic:spPr>
                          <a:xfrm>
                            <a:off x="0" y="0"/>
                            <a:ext cx="5274310" cy="2978785"/>
                          </a:xfrm>
                          <a:prstGeom prst="rect">
                            <a:avLst/>
                          </a:prstGeom>
                        </pic:spPr>
                      </pic:pic>
                    </a:graphicData>
                  </a:graphic>
                </wp:inline>
              </w:drawing>
            </w:r>
          </w:p>
          <w:p w14:paraId="588028B0">
            <w:pPr>
              <w:pStyle w:val="2"/>
              <w:jc w:val="center"/>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图</w:t>
            </w:r>
            <w:r>
              <w:rPr>
                <w:rFonts w:hint="eastAsia" w:eastAsia="仿宋" w:cs="Times New Roman"/>
                <w:b/>
                <w:bCs/>
                <w:color w:val="auto"/>
                <w:kern w:val="0"/>
                <w:sz w:val="24"/>
                <w:szCs w:val="22"/>
                <w:highlight w:val="none"/>
                <w:lang w:val="en-US" w:eastAsia="zh-CN" w:bidi="ar-SA"/>
              </w:rPr>
              <w:t>4</w:t>
            </w:r>
            <w:r>
              <w:rPr>
                <w:rFonts w:hint="eastAsia" w:ascii="Times New Roman" w:hAnsi="Times New Roman" w:eastAsia="仿宋" w:cs="Times New Roman"/>
                <w:b/>
                <w:bCs/>
                <w:color w:val="auto"/>
                <w:kern w:val="0"/>
                <w:sz w:val="24"/>
                <w:szCs w:val="22"/>
                <w:highlight w:val="none"/>
                <w:lang w:val="en-US" w:eastAsia="zh-CN" w:bidi="ar-SA"/>
              </w:rPr>
              <w:t>-</w:t>
            </w:r>
            <w:r>
              <w:rPr>
                <w:rFonts w:hint="eastAsia" w:eastAsia="仿宋" w:cs="Times New Roman"/>
                <w:b/>
                <w:bCs/>
                <w:color w:val="auto"/>
                <w:kern w:val="0"/>
                <w:sz w:val="24"/>
                <w:szCs w:val="22"/>
                <w:highlight w:val="none"/>
                <w:lang w:val="en-US" w:eastAsia="zh-CN" w:bidi="ar-SA"/>
              </w:rPr>
              <w:t>2</w:t>
            </w:r>
            <w:r>
              <w:rPr>
                <w:rFonts w:hint="eastAsia" w:ascii="Times New Roman" w:hAnsi="Times New Roman" w:eastAsia="仿宋" w:cs="Times New Roman"/>
                <w:b/>
                <w:bCs/>
                <w:color w:val="auto"/>
                <w:kern w:val="0"/>
                <w:sz w:val="24"/>
                <w:szCs w:val="22"/>
                <w:highlight w:val="none"/>
                <w:lang w:val="en-US" w:eastAsia="zh-CN" w:bidi="ar-SA"/>
              </w:rPr>
              <w:t xml:space="preserve"> </w:t>
            </w:r>
            <w:r>
              <w:rPr>
                <w:rFonts w:hint="eastAsia" w:eastAsia="仿宋" w:cs="Times New Roman"/>
                <w:b/>
                <w:bCs/>
                <w:color w:val="auto"/>
                <w:kern w:val="0"/>
                <w:sz w:val="24"/>
                <w:szCs w:val="22"/>
                <w:highlight w:val="none"/>
                <w:lang w:val="en-US" w:eastAsia="zh-CN" w:bidi="ar-SA"/>
              </w:rPr>
              <w:t>弃土场地理位置示意图</w:t>
            </w:r>
          </w:p>
          <w:p w14:paraId="70127011">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eastAsiaTheme="minorEastAsia"/>
                <w:color w:val="auto"/>
                <w:kern w:val="2"/>
                <w:sz w:val="24"/>
                <w:szCs w:val="22"/>
                <w:highlight w:val="none"/>
                <w:vertAlign w:val="baseline"/>
                <w:lang w:val="en-US" w:eastAsia="zh-CN" w:bidi="ar-SA"/>
              </w:rPr>
            </w:pPr>
            <w:r>
              <w:rPr>
                <w:rFonts w:hint="eastAsia" w:ascii="Times New Roman" w:hAnsi="Times New Roman" w:eastAsia="仿宋" w:cs="Times New Roman"/>
                <w:color w:val="auto"/>
                <w:kern w:val="0"/>
                <w:sz w:val="24"/>
                <w:szCs w:val="22"/>
                <w:highlight w:val="none"/>
                <w:lang w:val="en-US" w:eastAsia="zh-CN" w:bidi="ar-SA"/>
              </w:rPr>
              <w:t>因此，综上所述，本项目选址合理</w:t>
            </w:r>
            <w:r>
              <w:rPr>
                <w:rFonts w:hint="eastAsia" w:eastAsia="仿宋" w:cs="Times New Roman"/>
                <w:color w:val="auto"/>
                <w:kern w:val="0"/>
                <w:sz w:val="24"/>
                <w:szCs w:val="22"/>
                <w:highlight w:val="none"/>
                <w:lang w:val="en-US" w:eastAsia="zh-CN" w:bidi="ar-SA"/>
              </w:rPr>
              <w:t>，桥梁设计具备技术可行性、经济合理性和环境友好性</w:t>
            </w:r>
            <w:r>
              <w:rPr>
                <w:rFonts w:hint="eastAsia" w:ascii="Times New Roman" w:hAnsi="Times New Roman" w:eastAsia="仿宋" w:cs="Times New Roman"/>
                <w:color w:val="auto"/>
                <w:kern w:val="0"/>
                <w:sz w:val="24"/>
                <w:szCs w:val="22"/>
                <w:highlight w:val="none"/>
                <w:lang w:val="en-US" w:eastAsia="zh-CN" w:bidi="ar-SA"/>
              </w:rPr>
              <w:t>。</w:t>
            </w:r>
          </w:p>
        </w:tc>
      </w:tr>
    </w:tbl>
    <w:p w14:paraId="00B31CDB">
      <w:pPr>
        <w:pStyle w:val="30"/>
        <w:jc w:val="center"/>
        <w:rPr>
          <w:rFonts w:hint="eastAsia" w:ascii="仿宋" w:hAnsi="仿宋" w:eastAsia="仿宋" w:cs="仿宋"/>
          <w:color w:val="auto"/>
          <w:sz w:val="21"/>
          <w:szCs w:val="21"/>
          <w:highlight w:val="none"/>
          <w:vertAlign w:val="baseline"/>
          <w:lang w:val="en-US" w:eastAsia="zh-CN"/>
        </w:rPr>
        <w:sectPr>
          <w:pgSz w:w="11906" w:h="16838"/>
          <w:pgMar w:top="1440" w:right="1800" w:bottom="1440" w:left="1800" w:header="850" w:footer="992" w:gutter="0"/>
          <w:pgBorders>
            <w:top w:val="none" w:sz="0" w:space="0"/>
            <w:left w:val="none" w:sz="0" w:space="0"/>
            <w:bottom w:val="none" w:sz="0" w:space="0"/>
            <w:right w:val="none" w:sz="0" w:space="0"/>
          </w:pgBorders>
          <w:pgNumType w:fmt="decimal"/>
          <w:cols w:space="0" w:num="1"/>
          <w:docGrid w:type="lines" w:linePitch="332" w:charSpace="0"/>
        </w:sectPr>
      </w:pPr>
    </w:p>
    <w:p w14:paraId="40D0D024">
      <w:pPr>
        <w:pStyle w:val="19"/>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center"/>
        <w:textAlignment w:val="auto"/>
        <w:outlineLvl w:val="0"/>
        <w:rPr>
          <w:rFonts w:hint="default" w:ascii="Times New Roman" w:hAnsi="Times New Roman" w:cs="Times New Roman"/>
          <w:color w:val="auto"/>
          <w:highlight w:val="none"/>
          <w:lang w:val="en-US" w:eastAsia="zh-CN"/>
        </w:rPr>
      </w:pPr>
      <w:bookmarkStart w:id="7" w:name="_Toc24024"/>
      <w:r>
        <w:rPr>
          <w:rFonts w:hint="eastAsia" w:ascii="黑体" w:hAnsi="黑体" w:eastAsia="黑体"/>
          <w:snapToGrid w:val="0"/>
          <w:color w:val="auto"/>
          <w:sz w:val="30"/>
          <w:szCs w:val="30"/>
          <w:highlight w:val="none"/>
          <w:lang w:val="en-US" w:eastAsia="zh-CN"/>
        </w:rPr>
        <w:t>五、主要生态环境保护措施</w:t>
      </w:r>
      <w:bookmarkEnd w:id="7"/>
    </w:p>
    <w:tbl>
      <w:tblPr>
        <w:tblStyle w:val="24"/>
        <w:tblW w:w="8950" w:type="dxa"/>
        <w:tblInd w:w="-170"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autofit"/>
        <w:tblCellMar>
          <w:top w:w="0" w:type="dxa"/>
          <w:left w:w="108" w:type="dxa"/>
          <w:bottom w:w="0" w:type="dxa"/>
          <w:right w:w="108" w:type="dxa"/>
        </w:tblCellMar>
      </w:tblPr>
      <w:tblGrid>
        <w:gridCol w:w="426"/>
        <w:gridCol w:w="9066"/>
      </w:tblGrid>
      <w:tr w14:paraId="0C7FE0F7">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2403" w:hRule="atLeast"/>
        </w:trPr>
        <w:tc>
          <w:tcPr>
            <w:tcW w:w="426" w:type="dxa"/>
            <w:tcBorders>
              <w:tl2br w:val="nil"/>
              <w:tr2bl w:val="nil"/>
            </w:tcBorders>
            <w:vAlign w:val="center"/>
          </w:tcPr>
          <w:p w14:paraId="239B3501">
            <w:pPr>
              <w:pStyle w:val="30"/>
              <w:jc w:val="center"/>
              <w:rPr>
                <w:rFonts w:hint="default"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施工期生态环境保护措施</w:t>
            </w:r>
          </w:p>
        </w:tc>
        <w:tc>
          <w:tcPr>
            <w:tcW w:w="8524" w:type="dxa"/>
            <w:tcBorders>
              <w:tl2br w:val="nil"/>
              <w:tr2bl w:val="nil"/>
            </w:tcBorders>
            <w:vAlign w:val="top"/>
          </w:tcPr>
          <w:p w14:paraId="48C34B24">
            <w:pPr>
              <w:keepNext w:val="0"/>
              <w:keepLines w:val="0"/>
              <w:suppressLineNumbers w:val="0"/>
              <w:tabs>
                <w:tab w:val="left" w:pos="6030"/>
              </w:tabs>
              <w:spacing w:before="0" w:beforeAutospacing="0" w:after="0" w:afterAutospacing="0" w:line="360" w:lineRule="auto"/>
              <w:ind w:left="0" w:right="0"/>
              <w:jc w:val="left"/>
              <w:rPr>
                <w:rFonts w:hint="default" w:ascii="Times New Roman" w:hAnsi="Times New Roman" w:eastAsia="仿宋" w:cs="Times New Roman"/>
                <w:b/>
                <w:bCs/>
                <w:color w:val="auto"/>
                <w:kern w:val="0"/>
                <w:sz w:val="24"/>
                <w:szCs w:val="22"/>
                <w:highlight w:val="none"/>
                <w:lang w:val="en-US" w:eastAsia="zh-CN" w:bidi="ar-SA"/>
              </w:rPr>
            </w:pPr>
            <w:r>
              <w:rPr>
                <w:rFonts w:hint="default" w:ascii="Times New Roman" w:hAnsi="Times New Roman" w:eastAsia="仿宋" w:cs="Times New Roman"/>
                <w:b/>
                <w:bCs/>
                <w:color w:val="auto"/>
                <w:kern w:val="0"/>
                <w:sz w:val="24"/>
                <w:szCs w:val="22"/>
                <w:highlight w:val="none"/>
                <w:lang w:val="en-US" w:eastAsia="zh-CN" w:bidi="ar-SA"/>
              </w:rPr>
              <w:t>1</w:t>
            </w:r>
            <w:r>
              <w:rPr>
                <w:rFonts w:hint="eastAsia" w:ascii="Times New Roman" w:hAnsi="Times New Roman" w:eastAsia="仿宋" w:cs="Times New Roman"/>
                <w:b/>
                <w:bCs/>
                <w:color w:val="auto"/>
                <w:kern w:val="0"/>
                <w:sz w:val="24"/>
                <w:szCs w:val="22"/>
                <w:highlight w:val="none"/>
                <w:lang w:val="en-US" w:eastAsia="zh-CN" w:bidi="ar-SA"/>
              </w:rPr>
              <w:t>、</w:t>
            </w:r>
            <w:r>
              <w:rPr>
                <w:rFonts w:hint="eastAsia" w:eastAsia="仿宋" w:cs="Times New Roman"/>
                <w:b/>
                <w:bCs/>
                <w:color w:val="auto"/>
                <w:kern w:val="0"/>
                <w:sz w:val="24"/>
                <w:szCs w:val="22"/>
                <w:highlight w:val="none"/>
                <w:lang w:val="en-US" w:eastAsia="zh-CN" w:bidi="ar-SA"/>
              </w:rPr>
              <w:t>施工期</w:t>
            </w:r>
            <w:r>
              <w:rPr>
                <w:rFonts w:hint="eastAsia" w:ascii="Times New Roman" w:hAnsi="Times New Roman" w:eastAsia="仿宋" w:cs="Times New Roman"/>
                <w:b/>
                <w:bCs/>
                <w:color w:val="auto"/>
                <w:kern w:val="0"/>
                <w:sz w:val="24"/>
                <w:szCs w:val="22"/>
                <w:highlight w:val="none"/>
                <w:lang w:val="en-US" w:eastAsia="zh-CN" w:bidi="ar-SA"/>
              </w:rPr>
              <w:t>大气环境保护措施</w:t>
            </w:r>
          </w:p>
          <w:p w14:paraId="4EB7306C">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w:t>
            </w:r>
            <w:r>
              <w:rPr>
                <w:rFonts w:hint="eastAsia" w:eastAsia="仿宋" w:cs="Times New Roman"/>
                <w:color w:val="auto"/>
                <w:kern w:val="0"/>
                <w:sz w:val="24"/>
                <w:szCs w:val="22"/>
                <w:highlight w:val="none"/>
                <w:lang w:val="en-US" w:eastAsia="zh-CN" w:bidi="ar-SA"/>
              </w:rPr>
              <w:t>采用先进的施工工艺，</w:t>
            </w:r>
            <w:r>
              <w:rPr>
                <w:rFonts w:hint="eastAsia" w:ascii="Times New Roman" w:hAnsi="Times New Roman" w:eastAsia="仿宋" w:cs="Times New Roman"/>
                <w:color w:val="auto"/>
                <w:kern w:val="0"/>
                <w:sz w:val="24"/>
                <w:szCs w:val="22"/>
                <w:highlight w:val="none"/>
                <w:lang w:val="en-US" w:eastAsia="zh-CN" w:bidi="ar-SA"/>
              </w:rPr>
              <w:t>选用低能耗、低污染排放的施工机械、车辆，另外，施工过程中应尽量选用清洁燃料，加强机械、车辆的管理和维修，减少因机械、车辆状况不佳造成的空气污染。</w:t>
            </w:r>
          </w:p>
          <w:p w14:paraId="2F4BA3AA">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（2）对施工现场进行科学管理，尽量减少</w:t>
            </w:r>
            <w:r>
              <w:rPr>
                <w:rFonts w:hint="eastAsia" w:eastAsia="仿宋" w:cs="Times New Roman"/>
                <w:color w:val="auto"/>
                <w:kern w:val="0"/>
                <w:sz w:val="24"/>
                <w:szCs w:val="22"/>
                <w:highlight w:val="none"/>
                <w:lang w:val="en-US" w:eastAsia="zh-CN" w:bidi="ar-SA"/>
              </w:rPr>
              <w:t>水泥</w:t>
            </w:r>
            <w:r>
              <w:rPr>
                <w:rFonts w:hint="eastAsia" w:ascii="Times New Roman" w:hAnsi="Times New Roman" w:eastAsia="仿宋" w:cs="Times New Roman"/>
                <w:color w:val="auto"/>
                <w:kern w:val="0"/>
                <w:sz w:val="24"/>
                <w:szCs w:val="22"/>
                <w:highlight w:val="none"/>
                <w:lang w:val="en-US" w:eastAsia="zh-CN" w:bidi="ar-SA"/>
              </w:rPr>
              <w:t>搬运环节，搬运时轻举轻放，防止包装袋破裂；并对施工现场进行围栏或部分围栏，减少施工扬尘扩散范围。</w:t>
            </w:r>
          </w:p>
          <w:p w14:paraId="45ACB6B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（3）车辆运输多尘物料必须采取密闭措施，防止其沿途抛洒，对于产生的</w:t>
            </w:r>
            <w:r>
              <w:rPr>
                <w:rFonts w:hint="eastAsia" w:eastAsia="仿宋" w:cs="Times New Roman"/>
                <w:color w:val="auto"/>
                <w:kern w:val="0"/>
                <w:sz w:val="24"/>
                <w:szCs w:val="22"/>
                <w:highlight w:val="none"/>
                <w:lang w:val="en-US" w:eastAsia="zh-CN" w:bidi="ar-SA"/>
              </w:rPr>
              <w:t>建筑垃圾</w:t>
            </w:r>
            <w:r>
              <w:rPr>
                <w:rFonts w:hint="eastAsia" w:ascii="Times New Roman" w:hAnsi="Times New Roman" w:eastAsia="仿宋" w:cs="Times New Roman"/>
                <w:color w:val="auto"/>
                <w:kern w:val="0"/>
                <w:sz w:val="24"/>
                <w:szCs w:val="22"/>
                <w:highlight w:val="none"/>
                <w:lang w:val="en-US" w:eastAsia="zh-CN" w:bidi="ar-SA"/>
              </w:rPr>
              <w:t>应及时覆盖，实行日产日清，并及时清扫散落在路面的泥土和灰尘，冲洗轮胎，减少运输过程中的扬尘。</w:t>
            </w:r>
          </w:p>
          <w:p w14:paraId="1918890D">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4</w:t>
            </w:r>
            <w:r>
              <w:rPr>
                <w:rFonts w:hint="eastAsia" w:ascii="Times New Roman" w:hAnsi="Times New Roman" w:eastAsia="仿宋" w:cs="Times New Roman"/>
                <w:color w:val="auto"/>
                <w:kern w:val="0"/>
                <w:sz w:val="24"/>
                <w:szCs w:val="22"/>
                <w:highlight w:val="none"/>
                <w:lang w:val="en-US" w:eastAsia="zh-CN" w:bidi="ar-SA"/>
              </w:rPr>
              <w:t>）设置合理的施工垃圾运输路线，项目范围沿线多有居民分布，车辆需远离居民区运输，避免扬尘等影响居民。</w:t>
            </w:r>
          </w:p>
          <w:p w14:paraId="2D0B34F3">
            <w:pPr>
              <w:widowControl/>
              <w:rPr>
                <w:rFonts w:hint="eastAsia"/>
                <w:color w:val="auto"/>
                <w:lang w:val="en-US" w:eastAsia="zh-CN"/>
              </w:rPr>
            </w:pP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5</w:t>
            </w:r>
            <w:r>
              <w:rPr>
                <w:rFonts w:hint="eastAsia" w:ascii="Times New Roman" w:hAnsi="Times New Roman" w:eastAsia="仿宋" w:cs="Times New Roman"/>
                <w:color w:val="auto"/>
                <w:kern w:val="0"/>
                <w:sz w:val="24"/>
                <w:szCs w:val="22"/>
                <w:highlight w:val="none"/>
                <w:lang w:val="en-US" w:eastAsia="zh-CN" w:bidi="ar-SA"/>
              </w:rPr>
              <w:t>）配备洒水车，对工程开挖作业面和施工区道路洒水，减少扬尘对周围居民和附近农作物的危害。</w:t>
            </w:r>
          </w:p>
          <w:p w14:paraId="155499D4">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6</w:t>
            </w:r>
            <w:r>
              <w:rPr>
                <w:rFonts w:hint="eastAsia" w:ascii="Times New Roman" w:hAnsi="Times New Roman" w:eastAsia="仿宋" w:cs="Times New Roman"/>
                <w:color w:val="auto"/>
                <w:kern w:val="0"/>
                <w:sz w:val="24"/>
                <w:szCs w:val="22"/>
                <w:highlight w:val="none"/>
                <w:lang w:val="en-US" w:eastAsia="zh-CN" w:bidi="ar-SA"/>
              </w:rPr>
              <w:t>）按《江苏省大气污染防治条例》（2018）、《建筑工地扬尘防治标准》（DGJ32/J203-2016）、《常州市扬尘污染防治管理办法（常州市人民政府令第14号）》等相关要求落实施工期扬尘治理措施，具体如下：</w:t>
            </w:r>
          </w:p>
          <w:p w14:paraId="14F3CF3E">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a.建设工地易洒落的散装物料堆放场所应当按照要求采取密闭、围挡、遮盖、喷淋、绿化、设置防风抑尘网等措施。物料装卸可以密闭作业的应当密闭，避免作业起尘。</w:t>
            </w:r>
          </w:p>
          <w:p w14:paraId="7B431FC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b.物料堆放场所出口应当硬化地面并设置车辆清洗设施，运输车辆冲洗干净后方可驶出作业场所。施工单位和物料堆放场所经营管理者应当及时清扫和冲洗出口处道路，路面不得有明显可见泥土、物料印迹。</w:t>
            </w:r>
          </w:p>
          <w:p w14:paraId="037045D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c.气象预报风速达到5级以上时，未采取防尘措施的，不得进行土方回填、转运以及其他可能产生扬尘污染的施工作业。</w:t>
            </w:r>
          </w:p>
          <w:p w14:paraId="5BC7274B">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d.施工单位应当遵守建设施工现场环境保护的规定，建立相应的责任管理制度，制定扬尘污染防治方案，在施工工地设置密闭围挡，其高度不得低于1.8米；采取覆盖、分段作业、择时施工、洒水抑尘、冲洗地面和车辆等有效防尘降尘措施。</w:t>
            </w:r>
          </w:p>
          <w:p w14:paraId="0B4B5BE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e.运输建筑垃圾的车辆应当采取密闭或者其他措施，防止建筑垃圾和工程渣土抛撒滴漏，造成扬尘污染。</w:t>
            </w:r>
          </w:p>
          <w:p w14:paraId="0424AF6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7</w:t>
            </w:r>
            <w:r>
              <w:rPr>
                <w:rFonts w:hint="eastAsia" w:ascii="Times New Roman" w:hAnsi="Times New Roman" w:eastAsia="仿宋" w:cs="Times New Roman"/>
                <w:color w:val="auto"/>
                <w:kern w:val="0"/>
                <w:sz w:val="24"/>
                <w:szCs w:val="22"/>
                <w:highlight w:val="none"/>
                <w:lang w:val="en-US" w:eastAsia="zh-CN" w:bidi="ar-SA"/>
              </w:rPr>
              <w:t>）对施工人员进行环保教育：施工单位应当建立扬尘污染防治的教育和技术交底制度，将环境保护知识纳入工人上岗前的教育内容，对所有进场人员进行环保教育，作业前对工人进行扬尘污染防治的技术交底。</w:t>
            </w:r>
          </w:p>
          <w:p w14:paraId="6879FE43">
            <w:pPr>
              <w:widowControl/>
              <w:rPr>
                <w:rFonts w:hint="eastAsia" w:eastAsia="仿宋" w:cs="Times New Roman"/>
                <w:color w:val="auto"/>
                <w:kern w:val="0"/>
                <w:highlight w:val="none"/>
                <w:lang w:val="en-US" w:eastAsia="zh-CN"/>
              </w:rPr>
            </w:pP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8</w:t>
            </w: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施工期扬尘</w:t>
            </w:r>
            <w:r>
              <w:rPr>
                <w:rFonts w:hint="eastAsia" w:ascii="Times New Roman" w:hAnsi="Times New Roman" w:eastAsia="仿宋" w:cs="Times New Roman"/>
                <w:color w:val="auto"/>
                <w:kern w:val="0"/>
                <w:sz w:val="24"/>
                <w:szCs w:val="22"/>
                <w:highlight w:val="none"/>
                <w:lang w:val="en-US" w:eastAsia="zh-CN" w:bidi="ar-SA"/>
              </w:rPr>
              <w:t>严格执行《江苏省大气颗粒物污染防治管理办法》（省政府第91号令，2013）</w:t>
            </w:r>
            <w:r>
              <w:rPr>
                <w:rFonts w:hint="eastAsia" w:eastAsia="仿宋" w:cs="Times New Roman"/>
                <w:color w:val="auto"/>
                <w:kern w:val="0"/>
                <w:sz w:val="24"/>
                <w:szCs w:val="22"/>
                <w:highlight w:val="none"/>
                <w:lang w:val="en-US" w:eastAsia="zh-CN" w:bidi="ar-SA"/>
              </w:rPr>
              <w:t>、《江苏省大气污染防治条例》（省政府第2号令，2018年11月23日江苏省第十三届人民代表大会常务委员会第六次会议）中表3限值，“建设工地、物料堆放场所出口应当硬化地面并设置车辆清洗设施，运输车辆冲逸干净后方可驶出作业场所”；“实行建筑渣土运输处置行政许可制度。县级以上地务人民政府城市市容环境卫生行主管部门应当加强监管力度，综合运用监控系统、全球卫星定位系统等科技信息手段，规范渣土运输处置作业，查处抛洒滴漏、随意倾倒、处置行为”。</w:t>
            </w:r>
          </w:p>
          <w:p w14:paraId="13463862">
            <w:pPr>
              <w:keepNext w:val="0"/>
              <w:keepLines w:val="0"/>
              <w:suppressLineNumbers w:val="0"/>
              <w:tabs>
                <w:tab w:val="left" w:pos="6030"/>
              </w:tabs>
              <w:spacing w:before="0" w:beforeAutospacing="0" w:after="0" w:afterAutospacing="0" w:line="360" w:lineRule="auto"/>
              <w:ind w:left="0" w:right="0"/>
              <w:jc w:val="left"/>
              <w:rPr>
                <w:rFonts w:hint="default" w:ascii="Times New Roman" w:hAnsi="Times New Roman" w:eastAsia="仿宋" w:cs="Times New Roman"/>
                <w:b/>
                <w:bCs/>
                <w:color w:val="auto"/>
                <w:kern w:val="0"/>
                <w:sz w:val="24"/>
                <w:szCs w:val="22"/>
                <w:highlight w:val="none"/>
                <w:lang w:val="en-US" w:eastAsia="zh-CN" w:bidi="ar-SA"/>
              </w:rPr>
            </w:pPr>
            <w:r>
              <w:rPr>
                <w:rFonts w:hint="default" w:ascii="Times New Roman" w:hAnsi="Times New Roman" w:eastAsia="仿宋" w:cs="Times New Roman"/>
                <w:b/>
                <w:bCs/>
                <w:color w:val="auto"/>
                <w:kern w:val="0"/>
                <w:sz w:val="24"/>
                <w:szCs w:val="22"/>
                <w:highlight w:val="none"/>
                <w:lang w:val="en-US" w:eastAsia="zh-CN" w:bidi="ar-SA"/>
              </w:rPr>
              <w:t>2</w:t>
            </w:r>
            <w:r>
              <w:rPr>
                <w:rFonts w:hint="eastAsia" w:ascii="Times New Roman" w:hAnsi="Times New Roman" w:eastAsia="仿宋" w:cs="Times New Roman"/>
                <w:b/>
                <w:bCs/>
                <w:color w:val="auto"/>
                <w:kern w:val="0"/>
                <w:sz w:val="24"/>
                <w:szCs w:val="22"/>
                <w:highlight w:val="none"/>
                <w:lang w:val="en-US" w:eastAsia="zh-CN" w:bidi="ar-SA"/>
              </w:rPr>
              <w:t>、</w:t>
            </w:r>
            <w:r>
              <w:rPr>
                <w:rFonts w:hint="eastAsia" w:eastAsia="仿宋" w:cs="Times New Roman"/>
                <w:b/>
                <w:bCs/>
                <w:color w:val="auto"/>
                <w:kern w:val="0"/>
                <w:sz w:val="24"/>
                <w:szCs w:val="22"/>
                <w:highlight w:val="none"/>
                <w:lang w:val="en-US" w:eastAsia="zh-CN" w:bidi="ar-SA"/>
              </w:rPr>
              <w:t>施工期</w:t>
            </w:r>
            <w:r>
              <w:rPr>
                <w:rFonts w:hint="eastAsia" w:ascii="Times New Roman" w:hAnsi="Times New Roman" w:eastAsia="仿宋" w:cs="Times New Roman"/>
                <w:b/>
                <w:bCs/>
                <w:color w:val="auto"/>
                <w:kern w:val="0"/>
                <w:sz w:val="24"/>
                <w:szCs w:val="22"/>
                <w:highlight w:val="none"/>
                <w:lang w:val="en-US" w:eastAsia="zh-CN" w:bidi="ar-SA"/>
              </w:rPr>
              <w:t>水环境保护措施</w:t>
            </w:r>
          </w:p>
          <w:p w14:paraId="5E85CAB2">
            <w:pPr>
              <w:tabs>
                <w:tab w:val="left" w:pos="6030"/>
              </w:tabs>
              <w:spacing w:line="360" w:lineRule="auto"/>
              <w:ind w:firstLine="480" w:firstLineChars="200"/>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（1）开展施工场所的水环境保护教育，让施工人员懂得保护水环境的重要</w:t>
            </w:r>
            <w:r>
              <w:rPr>
                <w:rFonts w:hint="eastAsia" w:ascii="Times New Roman" w:hAnsi="Times New Roman" w:eastAsia="仿宋" w:cs="Times New Roman"/>
                <w:color w:val="auto"/>
                <w:kern w:val="0"/>
                <w:sz w:val="24"/>
                <w:szCs w:val="22"/>
                <w:highlight w:val="none"/>
                <w:lang w:val="en-US" w:eastAsia="zh-CN" w:bidi="ar-SA"/>
              </w:rPr>
              <w:t>性；严格检查施工机械，防止漏油发生；施工材料不宜堆放在地表水体附近，除了需要备有临时遮挡的帆布外，还需要设置防排水设施，以免</w:t>
            </w:r>
            <w:r>
              <w:rPr>
                <w:rFonts w:hint="eastAsia" w:eastAsia="仿宋" w:cs="Times New Roman"/>
                <w:color w:val="auto"/>
                <w:kern w:val="0"/>
                <w:sz w:val="24"/>
                <w:szCs w:val="22"/>
                <w:highlight w:val="none"/>
                <w:lang w:val="en-US" w:eastAsia="zh-CN" w:bidi="ar-SA"/>
              </w:rPr>
              <w:t>含</w:t>
            </w:r>
            <w:r>
              <w:rPr>
                <w:rFonts w:hint="eastAsia" w:ascii="Times New Roman" w:hAnsi="Times New Roman" w:eastAsia="仿宋" w:cs="Times New Roman"/>
                <w:color w:val="auto"/>
                <w:kern w:val="0"/>
                <w:sz w:val="24"/>
                <w:szCs w:val="22"/>
                <w:highlight w:val="none"/>
                <w:lang w:val="en-US" w:eastAsia="zh-CN" w:bidi="ar-SA"/>
              </w:rPr>
              <w:t>污染物的径流直接进入水体。</w:t>
            </w:r>
          </w:p>
          <w:p w14:paraId="0109F57D">
            <w:pPr>
              <w:tabs>
                <w:tab w:val="left" w:pos="6030"/>
              </w:tabs>
              <w:spacing w:line="360" w:lineRule="auto"/>
              <w:ind w:firstLine="480" w:firstLineChars="200"/>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（2）本项目不设置单独的施工营地，施工单位产生的生活污水依托</w:t>
            </w:r>
            <w:r>
              <w:rPr>
                <w:rFonts w:hint="eastAsia" w:eastAsia="仿宋" w:cs="Times New Roman"/>
                <w:color w:val="auto"/>
                <w:kern w:val="0"/>
                <w:sz w:val="24"/>
                <w:szCs w:val="22"/>
                <w:highlight w:val="none"/>
                <w:lang w:val="en-US" w:eastAsia="zh-CN" w:bidi="ar-SA"/>
              </w:rPr>
              <w:t>附近商业区</w:t>
            </w:r>
            <w:r>
              <w:rPr>
                <w:rFonts w:hint="default" w:ascii="Times New Roman" w:hAnsi="Times New Roman" w:eastAsia="仿宋" w:cs="Times New Roman"/>
                <w:color w:val="auto"/>
                <w:kern w:val="0"/>
                <w:sz w:val="24"/>
                <w:szCs w:val="22"/>
                <w:highlight w:val="none"/>
                <w:lang w:val="en-US" w:eastAsia="zh-CN" w:bidi="ar-SA"/>
              </w:rPr>
              <w:t>公辅设施进入市政污水管网，接管至常州金坛区第</w:t>
            </w:r>
            <w:r>
              <w:rPr>
                <w:rFonts w:hint="eastAsia" w:eastAsia="仿宋" w:cs="Times New Roman"/>
                <w:color w:val="auto"/>
                <w:kern w:val="0"/>
                <w:sz w:val="24"/>
                <w:szCs w:val="22"/>
                <w:highlight w:val="none"/>
                <w:lang w:val="en-US" w:eastAsia="zh-CN" w:bidi="ar-SA"/>
              </w:rPr>
              <w:t>一</w:t>
            </w:r>
            <w:r>
              <w:rPr>
                <w:rFonts w:hint="default" w:ascii="Times New Roman" w:hAnsi="Times New Roman" w:eastAsia="仿宋" w:cs="Times New Roman"/>
                <w:color w:val="auto"/>
                <w:kern w:val="0"/>
                <w:sz w:val="24"/>
                <w:szCs w:val="22"/>
                <w:highlight w:val="none"/>
                <w:lang w:val="en-US" w:eastAsia="zh-CN" w:bidi="ar-SA"/>
              </w:rPr>
              <w:t>污水处理有限公司，严禁将未经过处理的生活污水排入附近</w:t>
            </w:r>
            <w:r>
              <w:rPr>
                <w:rFonts w:hint="eastAsia" w:eastAsia="仿宋" w:cs="Times New Roman"/>
                <w:color w:val="auto"/>
                <w:kern w:val="0"/>
                <w:sz w:val="24"/>
                <w:szCs w:val="22"/>
                <w:highlight w:val="none"/>
                <w:lang w:val="en-US" w:eastAsia="zh-CN" w:bidi="ar-SA"/>
              </w:rPr>
              <w:t>长荡湖</w:t>
            </w:r>
            <w:r>
              <w:rPr>
                <w:rFonts w:hint="default" w:ascii="Times New Roman" w:hAnsi="Times New Roman" w:eastAsia="仿宋" w:cs="Times New Roman"/>
                <w:color w:val="auto"/>
                <w:kern w:val="0"/>
                <w:sz w:val="24"/>
                <w:szCs w:val="22"/>
                <w:highlight w:val="none"/>
                <w:lang w:val="en-US" w:eastAsia="zh-CN" w:bidi="ar-SA"/>
              </w:rPr>
              <w:t>。</w:t>
            </w:r>
          </w:p>
          <w:p w14:paraId="1D63324F">
            <w:pPr>
              <w:pStyle w:val="30"/>
              <w:adjustRightInd/>
              <w:spacing w:line="360" w:lineRule="auto"/>
              <w:ind w:firstLine="480" w:firstLineChars="200"/>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（3）施工废水经隔油沉淀池处理达到《城市污水再生利用 城市杂用水水质》（GB/T18920-2020）标准后回用于场地洒水降尘，不对外排放。涉水施工时应尽量加快施工速度减少水下施工时间，减少水下扰动面积。沉淀</w:t>
            </w:r>
            <w:r>
              <w:rPr>
                <w:rFonts w:hint="eastAsia" w:ascii="Times New Roman" w:hAnsi="Times New Roman" w:eastAsia="仿宋" w:cs="Times New Roman"/>
                <w:color w:val="auto"/>
                <w:kern w:val="0"/>
                <w:sz w:val="24"/>
                <w:szCs w:val="22"/>
                <w:highlight w:val="none"/>
                <w:lang w:val="en-US" w:eastAsia="zh-CN" w:bidi="ar-SA"/>
              </w:rPr>
              <w:t>池采取粘土铺底，再在上层铺设10-15cm的水泥进行硬化，使单元防渗层渗透系数≤10</w:t>
            </w:r>
            <w:r>
              <w:rPr>
                <w:rFonts w:hint="eastAsia" w:ascii="Times New Roman" w:hAnsi="Times New Roman" w:eastAsia="仿宋" w:cs="Times New Roman"/>
                <w:color w:val="auto"/>
                <w:kern w:val="0"/>
                <w:sz w:val="24"/>
                <w:szCs w:val="22"/>
                <w:highlight w:val="none"/>
                <w:vertAlign w:val="superscript"/>
                <w:lang w:val="en-US" w:eastAsia="zh-CN" w:bidi="ar-SA"/>
              </w:rPr>
              <w:t>-7</w:t>
            </w:r>
            <w:r>
              <w:rPr>
                <w:rFonts w:hint="eastAsia" w:ascii="Times New Roman" w:hAnsi="Times New Roman" w:eastAsia="仿宋" w:cs="Times New Roman"/>
                <w:color w:val="auto"/>
                <w:kern w:val="0"/>
                <w:sz w:val="24"/>
                <w:szCs w:val="22"/>
                <w:highlight w:val="none"/>
                <w:lang w:val="en-US" w:eastAsia="zh-CN" w:bidi="ar-SA"/>
              </w:rPr>
              <w:t>cm/s。</w:t>
            </w:r>
          </w:p>
          <w:p w14:paraId="0CB7D911">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3、</w:t>
            </w:r>
            <w:r>
              <w:rPr>
                <w:rFonts w:hint="eastAsia" w:eastAsia="仿宋" w:cs="Times New Roman"/>
                <w:b/>
                <w:bCs/>
                <w:color w:val="auto"/>
                <w:kern w:val="0"/>
                <w:sz w:val="24"/>
                <w:szCs w:val="22"/>
                <w:highlight w:val="none"/>
                <w:lang w:val="en-US" w:eastAsia="zh-CN" w:bidi="ar-SA"/>
              </w:rPr>
              <w:t>施工期</w:t>
            </w:r>
            <w:r>
              <w:rPr>
                <w:rFonts w:hint="eastAsia" w:ascii="Times New Roman" w:hAnsi="Times New Roman" w:eastAsia="仿宋" w:cs="Times New Roman"/>
                <w:b/>
                <w:bCs/>
                <w:color w:val="auto"/>
                <w:kern w:val="0"/>
                <w:sz w:val="24"/>
                <w:szCs w:val="22"/>
                <w:highlight w:val="none"/>
                <w:lang w:val="en-US" w:eastAsia="zh-CN" w:bidi="ar-SA"/>
              </w:rPr>
              <w:t>声环境保护措施</w:t>
            </w:r>
          </w:p>
          <w:p w14:paraId="25E91832">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（1）</w:t>
            </w:r>
            <w:r>
              <w:rPr>
                <w:rFonts w:hint="default" w:ascii="Times New Roman" w:hAnsi="Times New Roman" w:eastAsia="仿宋" w:cs="Times New Roman"/>
                <w:color w:val="auto"/>
                <w:kern w:val="0"/>
                <w:sz w:val="24"/>
                <w:szCs w:val="22"/>
                <w:highlight w:val="none"/>
                <w:lang w:val="en-US" w:eastAsia="zh-CN" w:bidi="ar-SA"/>
              </w:rPr>
              <w:t>根据环境噪声污染防治法的规定，建设施工单位在施工前应向当地环保部门申报登记，除抢修、抢险作业和因生产工艺要求或者特殊要求必须连续作业外，禁止夜间进行产生环境噪声污染的建筑施工作业，</w:t>
            </w:r>
            <w:r>
              <w:rPr>
                <w:rFonts w:hint="eastAsia" w:ascii="Times New Roman" w:hAnsi="Times New Roman" w:eastAsia="仿宋" w:cs="Times New Roman"/>
                <w:color w:val="auto"/>
                <w:kern w:val="0"/>
                <w:sz w:val="24"/>
                <w:szCs w:val="22"/>
                <w:highlight w:val="none"/>
                <w:lang w:val="en-US" w:eastAsia="zh-CN" w:bidi="ar-SA"/>
              </w:rPr>
              <w:t>“</w:t>
            </w:r>
            <w:r>
              <w:rPr>
                <w:rFonts w:hint="default" w:ascii="Times New Roman" w:hAnsi="Times New Roman" w:eastAsia="仿宋" w:cs="Times New Roman"/>
                <w:color w:val="auto"/>
                <w:kern w:val="0"/>
                <w:sz w:val="24"/>
                <w:szCs w:val="22"/>
                <w:highlight w:val="none"/>
                <w:lang w:val="en-US" w:eastAsia="zh-CN" w:bidi="ar-SA"/>
              </w:rPr>
              <w:t>因特殊要求必须连续作业的，必须有县级以上人民政府或有关主管部门的证明，并且必须公告附近公民</w:t>
            </w:r>
            <w:r>
              <w:rPr>
                <w:rFonts w:hint="eastAsia" w:ascii="Times New Roman" w:hAnsi="Times New Roman" w:eastAsia="仿宋" w:cs="Times New Roman"/>
                <w:color w:val="auto"/>
                <w:kern w:val="0"/>
                <w:sz w:val="24"/>
                <w:szCs w:val="22"/>
                <w:highlight w:val="none"/>
                <w:lang w:val="en-US" w:eastAsia="zh-CN" w:bidi="ar-SA"/>
              </w:rPr>
              <w:t>”</w:t>
            </w:r>
            <w:r>
              <w:rPr>
                <w:rFonts w:hint="default" w:ascii="Times New Roman" w:hAnsi="Times New Roman" w:eastAsia="仿宋" w:cs="Times New Roman"/>
                <w:color w:val="auto"/>
                <w:kern w:val="0"/>
                <w:sz w:val="24"/>
                <w:szCs w:val="22"/>
                <w:highlight w:val="none"/>
                <w:lang w:val="en-US" w:eastAsia="zh-CN" w:bidi="ar-SA"/>
              </w:rPr>
              <w:t>。</w:t>
            </w:r>
          </w:p>
          <w:p w14:paraId="29375CCC">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2</w:t>
            </w:r>
            <w:r>
              <w:rPr>
                <w:rFonts w:hint="eastAsia" w:ascii="Times New Roman" w:hAnsi="Times New Roman" w:eastAsia="仿宋" w:cs="Times New Roman"/>
                <w:color w:val="auto"/>
                <w:kern w:val="0"/>
                <w:sz w:val="24"/>
                <w:szCs w:val="22"/>
                <w:highlight w:val="none"/>
                <w:lang w:val="en-US" w:eastAsia="zh-CN" w:bidi="ar-SA"/>
              </w:rPr>
              <w:t>）在满足施工需要的前提下，尽可能选取噪声低、振动小、能耗小的先进设备；注意机械保养，使机械保持最低声级水平；安排工人轮流进行机械操作，减少接触高噪声的时间；对在声源附近工作时间较长的工人，发放防声耳塞、头盔等，对工人进行自身保护。</w:t>
            </w:r>
          </w:p>
          <w:p w14:paraId="217F437C">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（3）对于交通噪声的控制，主要是加强管理，合理安排交通运输时间，尽可能减少夜间施工车辆的车流量。当运输</w:t>
            </w:r>
            <w:r>
              <w:rPr>
                <w:rFonts w:hint="eastAsia" w:eastAsia="仿宋" w:cs="Times New Roman"/>
                <w:color w:val="auto"/>
                <w:kern w:val="0"/>
                <w:sz w:val="24"/>
                <w:szCs w:val="22"/>
                <w:highlight w:val="none"/>
                <w:lang w:val="en-US" w:eastAsia="zh-CN" w:bidi="ar-SA"/>
              </w:rPr>
              <w:t>载具</w:t>
            </w:r>
            <w:r>
              <w:rPr>
                <w:rFonts w:hint="eastAsia" w:ascii="Times New Roman" w:hAnsi="Times New Roman" w:eastAsia="仿宋" w:cs="Times New Roman"/>
                <w:color w:val="auto"/>
                <w:kern w:val="0"/>
                <w:sz w:val="24"/>
                <w:szCs w:val="22"/>
                <w:highlight w:val="none"/>
                <w:lang w:val="en-US" w:eastAsia="zh-CN" w:bidi="ar-SA"/>
              </w:rPr>
              <w:t>经过居民点和临时生活点时，减速行驶，禁止鸣笛。</w:t>
            </w:r>
          </w:p>
          <w:p w14:paraId="0EA1CCA2">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（4）在施工期间，尽可能建立良好的社区关系，以便较好的协调施工承包商与受噪声影响居民之间的关系，同时对受噪声干扰较大的居民，应在作业前予以通知。</w:t>
            </w:r>
          </w:p>
          <w:p w14:paraId="0FE80874">
            <w:pPr>
              <w:keepNext w:val="0"/>
              <w:keepLines w:val="0"/>
              <w:numPr>
                <w:ilvl w:val="0"/>
                <w:numId w:val="0"/>
              </w:numPr>
              <w:suppressLineNumbers w:val="0"/>
              <w:tabs>
                <w:tab w:val="left" w:pos="6030"/>
              </w:tabs>
              <w:spacing w:before="0" w:beforeAutospacing="0" w:after="0" w:afterAutospacing="0" w:line="360" w:lineRule="auto"/>
              <w:ind w:leftChars="200" w:right="0" w:rightChars="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4、</w:t>
            </w:r>
            <w:r>
              <w:rPr>
                <w:rFonts w:hint="eastAsia" w:eastAsia="仿宋" w:cs="Times New Roman"/>
                <w:b/>
                <w:bCs/>
                <w:color w:val="auto"/>
                <w:kern w:val="0"/>
                <w:sz w:val="24"/>
                <w:szCs w:val="22"/>
                <w:highlight w:val="none"/>
                <w:lang w:val="en-US" w:eastAsia="zh-CN" w:bidi="ar-SA"/>
              </w:rPr>
              <w:t>施工期</w:t>
            </w:r>
            <w:r>
              <w:rPr>
                <w:rFonts w:hint="eastAsia" w:ascii="Times New Roman" w:hAnsi="Times New Roman" w:eastAsia="仿宋" w:cs="Times New Roman"/>
                <w:b/>
                <w:bCs/>
                <w:color w:val="auto"/>
                <w:kern w:val="0"/>
                <w:sz w:val="24"/>
                <w:szCs w:val="22"/>
                <w:highlight w:val="none"/>
                <w:lang w:val="en-US" w:eastAsia="zh-CN" w:bidi="ar-SA"/>
              </w:rPr>
              <w:t>固体废弃物防治措施</w:t>
            </w:r>
          </w:p>
          <w:p w14:paraId="12DD3A05">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（1）生活垃圾：</w:t>
            </w:r>
            <w:r>
              <w:rPr>
                <w:rFonts w:hint="default" w:ascii="Times New Roman" w:hAnsi="Times New Roman" w:eastAsia="仿宋" w:cs="Times New Roman"/>
                <w:color w:val="auto"/>
                <w:kern w:val="0"/>
                <w:sz w:val="24"/>
                <w:szCs w:val="22"/>
                <w:highlight w:val="none"/>
                <w:lang w:val="en-US" w:eastAsia="zh-CN" w:bidi="ar-SA"/>
              </w:rPr>
              <w:t>按照环境保护的要求，生活垃圾要进行集中堆放，</w:t>
            </w:r>
            <w:r>
              <w:rPr>
                <w:rFonts w:hint="eastAsia" w:ascii="Times New Roman" w:hAnsi="Times New Roman" w:eastAsia="仿宋" w:cs="Times New Roman"/>
                <w:color w:val="auto"/>
                <w:kern w:val="0"/>
                <w:sz w:val="24"/>
                <w:szCs w:val="22"/>
                <w:highlight w:val="none"/>
                <w:lang w:val="en-US" w:eastAsia="zh-CN" w:bidi="ar-SA"/>
              </w:rPr>
              <w:t>由环卫清运，</w:t>
            </w:r>
            <w:r>
              <w:rPr>
                <w:rFonts w:hint="default" w:ascii="Times New Roman" w:hAnsi="Times New Roman" w:eastAsia="仿宋" w:cs="Times New Roman"/>
                <w:color w:val="auto"/>
                <w:kern w:val="0"/>
                <w:sz w:val="24"/>
                <w:szCs w:val="22"/>
                <w:highlight w:val="none"/>
                <w:lang w:val="en-US" w:eastAsia="zh-CN" w:bidi="ar-SA"/>
              </w:rPr>
              <w:t>避免垃圾散放对环境的污染。并及时清理施工现场的生活废弃物，就近运输到指定垃圾处理场进行及时处理，以消除施工人员产生的生活垃圾对周边环境带来的不利影响。</w:t>
            </w:r>
          </w:p>
          <w:p w14:paraId="02A47336">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2</w:t>
            </w: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施工垃圾：</w:t>
            </w:r>
            <w:r>
              <w:rPr>
                <w:rFonts w:hint="eastAsia" w:ascii="Times New Roman" w:hAnsi="Times New Roman" w:eastAsia="仿宋" w:cs="Times New Roman"/>
                <w:color w:val="auto"/>
                <w:kern w:val="0"/>
                <w:sz w:val="24"/>
                <w:szCs w:val="22"/>
                <w:highlight w:val="none"/>
                <w:lang w:val="en-US" w:eastAsia="zh-CN" w:bidi="ar-SA"/>
              </w:rPr>
              <w:t>施工过程中产生一定量的建筑垃圾，属特种垃圾，需移交特种垃圾管理站统一处理；建筑垃圾应及时清运，做到日产日清，严禁乱丢乱弃、随意焚烧、堆放或向河道倾倒，同时在运输过程中要加以覆盖，防止沿途撒落。</w:t>
            </w:r>
          </w:p>
          <w:p w14:paraId="1A11E95E">
            <w:pPr>
              <w:widowControl/>
              <w:rPr>
                <w:rFonts w:hint="eastAsia" w:hAnsi="Times New Roman" w:eastAsia="仿宋" w:cs="Times New Roman"/>
                <w:color w:val="auto"/>
                <w:kern w:val="0"/>
                <w:sz w:val="24"/>
                <w:highlight w:val="none"/>
                <w:lang w:eastAsia="zh-CN"/>
              </w:rPr>
            </w:pP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3</w:t>
            </w:r>
            <w:r>
              <w:rPr>
                <w:rFonts w:hint="eastAsia" w:ascii="Times New Roman" w:hAnsi="Times New Roman" w:eastAsia="仿宋" w:cs="Times New Roman"/>
                <w:color w:val="auto"/>
                <w:kern w:val="0"/>
                <w:sz w:val="24"/>
                <w:szCs w:val="22"/>
                <w:highlight w:val="none"/>
                <w:lang w:val="en-US" w:eastAsia="zh-CN" w:bidi="ar-SA"/>
              </w:rPr>
              <w:t>）废机油、隔油油泥：</w:t>
            </w:r>
            <w:r>
              <w:rPr>
                <w:rFonts w:hint="eastAsia" w:ascii="Times New Roman" w:hAnsi="Times New Roman" w:eastAsia="仿宋" w:cs="Times New Roman"/>
                <w:b w:val="0"/>
                <w:bCs w:val="0"/>
                <w:kern w:val="0"/>
                <w:sz w:val="24"/>
                <w:lang w:val="en-US" w:eastAsia="zh-CN"/>
              </w:rPr>
              <w:t>施工机械临时维修产生的废机油和含油废水经隔油池处理后产生的隔油油泥，经收集后委托有资质单位处置</w:t>
            </w:r>
            <w:r>
              <w:rPr>
                <w:rFonts w:hint="eastAsia" w:hAnsi="Times New Roman" w:eastAsia="仿宋" w:cs="Times New Roman"/>
                <w:color w:val="auto"/>
                <w:kern w:val="0"/>
                <w:sz w:val="24"/>
                <w:highlight w:val="none"/>
                <w:lang w:eastAsia="zh-CN"/>
              </w:rPr>
              <w:t>。</w:t>
            </w:r>
          </w:p>
          <w:p w14:paraId="0EF08F67">
            <w:pPr>
              <w:keepNext w:val="0"/>
              <w:keepLines w:val="0"/>
              <w:widowControl/>
              <w:suppressLineNumbers w:val="0"/>
              <w:jc w:val="left"/>
              <w:rPr>
                <w:rFonts w:hint="default"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5、</w:t>
            </w:r>
            <w:r>
              <w:rPr>
                <w:rFonts w:hint="eastAsia" w:eastAsia="仿宋" w:cs="Times New Roman"/>
                <w:b/>
                <w:bCs/>
                <w:color w:val="auto"/>
                <w:kern w:val="0"/>
                <w:sz w:val="24"/>
                <w:szCs w:val="22"/>
                <w:highlight w:val="none"/>
                <w:lang w:val="en-US" w:eastAsia="zh-CN" w:bidi="ar-SA"/>
              </w:rPr>
              <w:t>施工期</w:t>
            </w:r>
            <w:r>
              <w:rPr>
                <w:rFonts w:hint="eastAsia" w:ascii="Times New Roman" w:hAnsi="Times New Roman" w:eastAsia="仿宋" w:cs="Times New Roman"/>
                <w:b/>
                <w:bCs/>
                <w:color w:val="auto"/>
                <w:kern w:val="0"/>
                <w:sz w:val="24"/>
                <w:szCs w:val="22"/>
                <w:highlight w:val="none"/>
                <w:lang w:val="en-US" w:eastAsia="zh-CN" w:bidi="ar-SA"/>
              </w:rPr>
              <w:t>生态保护措施</w:t>
            </w:r>
          </w:p>
          <w:p w14:paraId="002D6AA7">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（1）生态管控区域避让保护措施</w:t>
            </w:r>
          </w:p>
          <w:p w14:paraId="341C6BD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①</w:t>
            </w:r>
            <w:r>
              <w:rPr>
                <w:rFonts w:hint="eastAsia" w:ascii="Times New Roman" w:hAnsi="Times New Roman" w:eastAsia="仿宋" w:cs="Times New Roman"/>
                <w:color w:val="auto"/>
                <w:kern w:val="0"/>
                <w:sz w:val="24"/>
                <w:szCs w:val="22"/>
                <w:highlight w:val="none"/>
                <w:lang w:val="en-US" w:eastAsia="zh-CN" w:bidi="ar-SA"/>
              </w:rPr>
              <w:t>开展施工活动前，对围堰围拢水域及周边实施必要的驱鱼和鱼类保护工作，采用拉网法将鱼类驱赶出施工区域。</w:t>
            </w:r>
          </w:p>
          <w:p w14:paraId="095FD2E3">
            <w:pPr>
              <w:keepNext w:val="0"/>
              <w:keepLines w:val="0"/>
              <w:widowControl/>
              <w:suppressLineNumbers w:val="0"/>
              <w:jc w:val="left"/>
              <w:rPr>
                <w:rFonts w:hint="eastAsia" w:ascii="Calibri" w:hAnsi="Calibri" w:eastAsia="仿宋" w:cs="Calibri"/>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②</w:t>
            </w:r>
            <w:r>
              <w:rPr>
                <w:rFonts w:hint="eastAsia" w:ascii="Calibri" w:hAnsi="Calibri" w:eastAsia="仿宋" w:cs="Calibri"/>
                <w:color w:val="auto"/>
                <w:kern w:val="0"/>
                <w:sz w:val="24"/>
                <w:szCs w:val="22"/>
                <w:highlight w:val="none"/>
                <w:lang w:val="en-US" w:eastAsia="zh-CN" w:bidi="ar-SA"/>
              </w:rPr>
              <w:t>严格控制施工工期，涉水施工应避开鱼类产卵期4-5月，同时规范施工活动，严格控制施工行为并注意保护长荡湖周边植被，防止人为对工程范围外土壤、植被的破坏。</w:t>
            </w:r>
          </w:p>
          <w:p w14:paraId="2B85169C">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③</w:t>
            </w:r>
            <w:r>
              <w:rPr>
                <w:rFonts w:hint="eastAsia" w:ascii="Times New Roman" w:hAnsi="Times New Roman" w:eastAsia="仿宋" w:cs="Times New Roman"/>
                <w:color w:val="auto"/>
                <w:kern w:val="0"/>
                <w:sz w:val="24"/>
                <w:szCs w:val="22"/>
                <w:highlight w:val="none"/>
                <w:lang w:val="en-US" w:eastAsia="zh-CN" w:bidi="ar-SA"/>
              </w:rPr>
              <w:t>设计单位应对施工工艺、作业方式进行充分论证，在建设过程中严格管控；尽量利用当地资源，合理安排运输、装卸与储存作业，减少物资运输量，避免二次或重复搬运；精心进行场地规划布置，节约施工场地，减少项目占地。</w:t>
            </w:r>
          </w:p>
          <w:p w14:paraId="2FAEBDF7">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（2）</w:t>
            </w:r>
            <w:r>
              <w:rPr>
                <w:rFonts w:hint="eastAsia" w:ascii="Times New Roman" w:hAnsi="Times New Roman" w:eastAsia="仿宋" w:cs="Times New Roman"/>
                <w:color w:val="auto"/>
                <w:kern w:val="0"/>
                <w:sz w:val="24"/>
                <w:szCs w:val="22"/>
                <w:highlight w:val="none"/>
                <w:lang w:val="en-US" w:eastAsia="zh-CN" w:bidi="ar-SA"/>
              </w:rPr>
              <w:t>生态影响减缓措施</w:t>
            </w:r>
          </w:p>
          <w:p w14:paraId="348B6FBC">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①</w:t>
            </w:r>
            <w:r>
              <w:rPr>
                <w:rFonts w:hint="eastAsia" w:ascii="Times New Roman" w:hAnsi="Times New Roman" w:eastAsia="仿宋" w:cs="Times New Roman"/>
                <w:color w:val="auto"/>
                <w:kern w:val="0"/>
                <w:sz w:val="24"/>
                <w:szCs w:val="22"/>
                <w:highlight w:val="none"/>
                <w:lang w:val="en-US" w:eastAsia="zh-CN" w:bidi="ar-SA"/>
              </w:rPr>
              <w:t>施工用料的堆放应远离水源和其他水体，选择暴雨径流难以冲刷的地方，防止被暴雨 径流带入水体，影响水质，各类材料应备有防雨遮雨设施。</w:t>
            </w:r>
          </w:p>
          <w:p w14:paraId="1376A86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②</w:t>
            </w:r>
            <w:r>
              <w:rPr>
                <w:rFonts w:hint="eastAsia" w:ascii="Times New Roman" w:hAnsi="Times New Roman" w:eastAsia="仿宋" w:cs="Times New Roman"/>
                <w:color w:val="auto"/>
                <w:kern w:val="0"/>
                <w:sz w:val="24"/>
                <w:szCs w:val="22"/>
                <w:highlight w:val="none"/>
                <w:lang w:val="en-US" w:eastAsia="zh-CN" w:bidi="ar-SA"/>
              </w:rPr>
              <w:t>施工过程中应将挖方</w:t>
            </w:r>
            <w:r>
              <w:rPr>
                <w:rFonts w:hint="eastAsia" w:eastAsia="仿宋" w:cs="Times New Roman"/>
                <w:color w:val="auto"/>
                <w:kern w:val="0"/>
                <w:sz w:val="24"/>
                <w:szCs w:val="22"/>
                <w:highlight w:val="none"/>
                <w:lang w:val="en-US" w:eastAsia="zh-CN" w:bidi="ar-SA"/>
              </w:rPr>
              <w:t>、隔油池、沉淀池底部及四周铺设</w:t>
            </w:r>
            <w:r>
              <w:rPr>
                <w:rFonts w:hint="eastAsia" w:ascii="Times New Roman" w:hAnsi="Times New Roman" w:eastAsia="仿宋" w:cs="Times New Roman"/>
                <w:color w:val="auto"/>
                <w:kern w:val="0"/>
                <w:sz w:val="24"/>
                <w:szCs w:val="22"/>
                <w:highlight w:val="none"/>
                <w:lang w:val="en-US" w:eastAsia="zh-CN" w:bidi="ar-SA"/>
              </w:rPr>
              <w:t>一层PVC材料防渗，以防</w:t>
            </w:r>
            <w:r>
              <w:rPr>
                <w:rFonts w:hint="eastAsia" w:eastAsia="仿宋" w:cs="Times New Roman"/>
                <w:color w:val="auto"/>
                <w:kern w:val="0"/>
                <w:sz w:val="24"/>
                <w:szCs w:val="22"/>
                <w:highlight w:val="none"/>
                <w:lang w:val="en-US" w:eastAsia="zh-CN" w:bidi="ar-SA"/>
              </w:rPr>
              <w:t>污染物随地表水下渗进入潜水层，通过地下径流进入长荡湖。</w:t>
            </w:r>
          </w:p>
          <w:p w14:paraId="774960E6">
            <w:pPr>
              <w:keepNext w:val="0"/>
              <w:keepLines w:val="0"/>
              <w:widowControl/>
              <w:numPr>
                <w:ilvl w:val="0"/>
                <w:numId w:val="0"/>
              </w:numPr>
              <w:suppressLineNumbers w:val="0"/>
              <w:ind w:firstLine="480" w:firstLineChars="20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lang w:val="en-US" w:eastAsia="zh-CN" w:bidi="ar-SA"/>
              </w:rPr>
              <w:t>（3）</w:t>
            </w:r>
            <w:r>
              <w:rPr>
                <w:rFonts w:hint="eastAsia" w:ascii="Times New Roman" w:hAnsi="Times New Roman" w:eastAsia="仿宋" w:cs="Times New Roman"/>
                <w:color w:val="auto"/>
                <w:kern w:val="0"/>
                <w:sz w:val="24"/>
                <w:szCs w:val="22"/>
                <w:highlight w:val="none"/>
                <w:lang w:val="en-US" w:eastAsia="zh-CN" w:bidi="ar-SA"/>
              </w:rPr>
              <w:t>生态修复措施</w:t>
            </w:r>
          </w:p>
          <w:p w14:paraId="6130F364">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临时堆场清理作业面时，应尽量保存施工区的熟化土，对于建设中临时用地占用植被部分的表层土予以收集保存，施工结束后及时清理、松土、覆盖收集的植被土，及时恢复绿化。在项目植被恢复建设过程中除考虑选择适合当地速成树种外，在布局上还应考虑多种树种的交错分布，既提高植物种类的多样性又不至于太大改变原来的生态组分，增强其稳定性。另外修复树种种苗的选择应经过严格检疫，防止引入病害。对于防火也应采取有效措施。</w:t>
            </w:r>
          </w:p>
          <w:p w14:paraId="2432C65A">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对于道路两侧破坏的植被进行恢复，根据气候条件采取种树种草绿化措施并按照当地主管部门要求采取必要的恢复措施。</w:t>
            </w:r>
          </w:p>
          <w:p w14:paraId="32C061AA">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绿化设计原则：临时用地范围内植被恢复，临时用地深翻处理后，施工中应加强施工管理，对项目施工范围以外的植被应不破坏或尽量减少破坏，两侧植被的恢复使水保、绿化、美化、环保有机结合为一体。</w:t>
            </w:r>
          </w:p>
          <w:p w14:paraId="24C97EA0">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草种、树种的选择：在“适地适树、适地适草”的原则下，树种、草种的选择应对各地区的地形、土壤和气候条件经过详细的调查以当地优良乡土树种为主，适当引进新的优良树种草种，保证绿化栽植的成活率。</w:t>
            </w:r>
          </w:p>
          <w:p w14:paraId="666241E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（4）渔业资源补偿措施</w:t>
            </w:r>
          </w:p>
          <w:p w14:paraId="76C30D0F">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鉴于工程施工期与运营期对渔业资源存在一定影响，将不同程度的对鱼类等水生生物产生影响，需要针对性的制定渔业资源保护和补偿措施。因此，根据相关规定，工程业主应对受损失的渔业资源采取必要的补救措施。建议工程业主单位与监督管理机构签订渔业资源补偿协议。项目实施前工程方应与管理部门沟通和协商，</w:t>
            </w:r>
            <w:r>
              <w:rPr>
                <w:rFonts w:hint="eastAsia" w:eastAsia="仿宋" w:cs="Times New Roman"/>
                <w:color w:val="auto"/>
                <w:kern w:val="0"/>
                <w:sz w:val="24"/>
                <w:szCs w:val="22"/>
                <w:highlight w:val="none"/>
                <w:lang w:val="en-US" w:eastAsia="zh-CN" w:bidi="ar-SA"/>
              </w:rPr>
              <w:t>根据《长荡湖体育休闲房车营地——应急疏散通道项目渔业资源评价报告表》可知</w:t>
            </w:r>
            <w:r>
              <w:rPr>
                <w:rFonts w:hint="eastAsia" w:ascii="Times New Roman" w:hAnsi="Times New Roman" w:eastAsia="仿宋" w:cs="Times New Roman"/>
                <w:color w:val="auto"/>
                <w:kern w:val="0"/>
                <w:sz w:val="24"/>
                <w:szCs w:val="22"/>
                <w:highlight w:val="none"/>
                <w:lang w:val="en-US" w:eastAsia="zh-CN" w:bidi="ar-SA"/>
              </w:rPr>
              <w:t>，</w:t>
            </w:r>
            <w:r>
              <w:rPr>
                <w:rFonts w:hint="eastAsia" w:eastAsia="仿宋" w:cs="Times New Roman"/>
                <w:color w:val="auto"/>
                <w:kern w:val="0"/>
                <w:sz w:val="24"/>
                <w:szCs w:val="22"/>
                <w:highlight w:val="none"/>
                <w:lang w:val="en-US" w:eastAsia="zh-CN" w:bidi="ar-SA"/>
              </w:rPr>
              <w:t>施工期建设会对长荡湖渔业资源造成5.1万元/年的经济损失，因此项目应</w:t>
            </w:r>
            <w:r>
              <w:rPr>
                <w:rFonts w:hint="eastAsia" w:ascii="Times New Roman" w:hAnsi="Times New Roman" w:eastAsia="仿宋" w:cs="Times New Roman"/>
                <w:color w:val="auto"/>
                <w:kern w:val="0"/>
                <w:sz w:val="24"/>
                <w:szCs w:val="22"/>
                <w:highlight w:val="none"/>
                <w:lang w:val="en-US" w:eastAsia="zh-CN" w:bidi="ar-SA"/>
              </w:rPr>
              <w:t>对长荡湖渔业资源损失进行经济补偿，并将渔业资源补偿费用纳入环保投资。</w:t>
            </w:r>
          </w:p>
          <w:p w14:paraId="44D8659E">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（5）施工管理措施</w:t>
            </w:r>
          </w:p>
          <w:p w14:paraId="3377E0D3">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①对施工土严格管理。严禁随意堆放开挖土方。</w:t>
            </w:r>
            <w:r>
              <w:rPr>
                <w:rFonts w:hint="eastAsia" w:eastAsia="仿宋" w:cs="Times New Roman"/>
                <w:color w:val="auto"/>
                <w:kern w:val="0"/>
                <w:sz w:val="24"/>
                <w:szCs w:val="22"/>
                <w:highlight w:val="none"/>
                <w:lang w:val="en-US" w:eastAsia="zh-CN" w:bidi="ar-SA"/>
              </w:rPr>
              <w:t>临时堆土</w:t>
            </w:r>
            <w:r>
              <w:rPr>
                <w:rFonts w:hint="default" w:ascii="Times New Roman" w:hAnsi="Times New Roman" w:eastAsia="仿宋" w:cs="Times New Roman"/>
                <w:color w:val="auto"/>
                <w:kern w:val="0"/>
                <w:sz w:val="24"/>
                <w:szCs w:val="22"/>
                <w:highlight w:val="none"/>
                <w:lang w:val="en-US" w:eastAsia="zh-CN" w:bidi="ar-SA"/>
              </w:rPr>
              <w:t>场地周围可砌筑简易挡土墙并设置排水沟，</w:t>
            </w:r>
            <w:r>
              <w:rPr>
                <w:rFonts w:hint="eastAsia" w:eastAsia="仿宋" w:cs="Times New Roman"/>
                <w:color w:val="auto"/>
                <w:kern w:val="0"/>
                <w:sz w:val="24"/>
                <w:szCs w:val="22"/>
                <w:highlight w:val="none"/>
                <w:lang w:val="en-US" w:eastAsia="zh-CN" w:bidi="ar-SA"/>
              </w:rPr>
              <w:t>上覆纱网，</w:t>
            </w:r>
            <w:r>
              <w:rPr>
                <w:rFonts w:hint="default" w:ascii="Times New Roman" w:hAnsi="Times New Roman" w:eastAsia="仿宋" w:cs="Times New Roman"/>
                <w:color w:val="auto"/>
                <w:kern w:val="0"/>
                <w:sz w:val="24"/>
                <w:szCs w:val="22"/>
                <w:highlight w:val="none"/>
                <w:lang w:val="en-US" w:eastAsia="zh-CN" w:bidi="ar-SA"/>
              </w:rPr>
              <w:t>减少</w:t>
            </w:r>
            <w:r>
              <w:rPr>
                <w:rFonts w:hint="eastAsia" w:eastAsia="仿宋" w:cs="Times New Roman"/>
                <w:color w:val="auto"/>
                <w:kern w:val="0"/>
                <w:sz w:val="24"/>
                <w:szCs w:val="22"/>
                <w:highlight w:val="none"/>
                <w:lang w:val="en-US" w:eastAsia="zh-CN" w:bidi="ar-SA"/>
              </w:rPr>
              <w:t>扬尘及</w:t>
            </w:r>
            <w:r>
              <w:rPr>
                <w:rFonts w:hint="default" w:ascii="Times New Roman" w:hAnsi="Times New Roman" w:eastAsia="仿宋" w:cs="Times New Roman"/>
                <w:color w:val="auto"/>
                <w:kern w:val="0"/>
                <w:sz w:val="24"/>
                <w:szCs w:val="22"/>
                <w:highlight w:val="none"/>
                <w:lang w:val="en-US" w:eastAsia="zh-CN" w:bidi="ar-SA"/>
              </w:rPr>
              <w:t>雨水冲刷</w:t>
            </w:r>
            <w:r>
              <w:rPr>
                <w:rFonts w:hint="eastAsia" w:eastAsia="仿宋" w:cs="Times New Roman"/>
                <w:color w:val="auto"/>
                <w:kern w:val="0"/>
                <w:sz w:val="24"/>
                <w:szCs w:val="22"/>
                <w:highlight w:val="none"/>
                <w:lang w:val="en-US" w:eastAsia="zh-CN" w:bidi="ar-SA"/>
              </w:rPr>
              <w:t>产生的水土</w:t>
            </w:r>
            <w:r>
              <w:rPr>
                <w:rFonts w:hint="default" w:ascii="Times New Roman" w:hAnsi="Times New Roman" w:eastAsia="仿宋" w:cs="Times New Roman"/>
                <w:color w:val="auto"/>
                <w:kern w:val="0"/>
                <w:sz w:val="24"/>
                <w:szCs w:val="22"/>
                <w:highlight w:val="none"/>
                <w:lang w:val="en-US" w:eastAsia="zh-CN" w:bidi="ar-SA"/>
              </w:rPr>
              <w:t>流失。</w:t>
            </w:r>
          </w:p>
          <w:p w14:paraId="5292384E">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②</w:t>
            </w:r>
            <w:r>
              <w:rPr>
                <w:rFonts w:hint="eastAsia" w:ascii="Times New Roman" w:hAnsi="Times New Roman" w:eastAsia="仿宋" w:cs="Times New Roman"/>
                <w:color w:val="auto"/>
                <w:kern w:val="0"/>
                <w:sz w:val="24"/>
                <w:szCs w:val="22"/>
                <w:highlight w:val="none"/>
                <w:lang w:val="en-US" w:eastAsia="zh-CN" w:bidi="ar-SA"/>
              </w:rPr>
              <w:t>在施工过程中，施工单位应不定期组织召开生态保护培训会，对施工过程中可能导致的生态破坏及科学恢复措施，进行详细讲解。通过对现场施工人员进行宣传教育，宣传生态保护、野生动植物等方面的法律法规，并在工程实施区域设置宣传</w:t>
            </w:r>
            <w:r>
              <w:rPr>
                <w:rFonts w:hint="eastAsia" w:eastAsia="仿宋" w:cs="Times New Roman"/>
                <w:color w:val="auto"/>
                <w:kern w:val="0"/>
                <w:sz w:val="24"/>
                <w:szCs w:val="22"/>
                <w:highlight w:val="none"/>
                <w:lang w:val="en-US" w:eastAsia="zh-CN" w:bidi="ar-SA"/>
              </w:rPr>
              <w:t>告示</w:t>
            </w:r>
            <w:r>
              <w:rPr>
                <w:rFonts w:hint="eastAsia" w:ascii="Times New Roman" w:hAnsi="Times New Roman" w:eastAsia="仿宋" w:cs="Times New Roman"/>
                <w:color w:val="auto"/>
                <w:kern w:val="0"/>
                <w:sz w:val="24"/>
                <w:szCs w:val="22"/>
                <w:highlight w:val="none"/>
                <w:lang w:val="en-US" w:eastAsia="zh-CN" w:bidi="ar-SA"/>
              </w:rPr>
              <w:t>牌，提升施工队伍的生态保护意识和红线意识。</w:t>
            </w:r>
          </w:p>
          <w:p w14:paraId="562B2428">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（6）施工期监测计划</w:t>
            </w:r>
          </w:p>
          <w:p w14:paraId="78921588">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①</w:t>
            </w:r>
            <w:r>
              <w:rPr>
                <w:rFonts w:hint="eastAsia" w:ascii="Times New Roman" w:hAnsi="Times New Roman" w:eastAsia="仿宋" w:cs="Times New Roman"/>
                <w:color w:val="auto"/>
                <w:kern w:val="0"/>
                <w:sz w:val="24"/>
                <w:szCs w:val="22"/>
                <w:highlight w:val="none"/>
                <w:lang w:val="en-US" w:eastAsia="zh-CN" w:bidi="ar-SA"/>
              </w:rPr>
              <w:t>施工期</w:t>
            </w:r>
            <w:r>
              <w:rPr>
                <w:rFonts w:hint="eastAsia" w:eastAsia="仿宋" w:cs="Times New Roman"/>
                <w:color w:val="auto"/>
                <w:kern w:val="0"/>
                <w:sz w:val="24"/>
                <w:szCs w:val="22"/>
                <w:highlight w:val="none"/>
                <w:lang w:val="en-US" w:eastAsia="zh-CN" w:bidi="ar-SA"/>
              </w:rPr>
              <w:t>涉水作业（围堰施工、围堰拆除）应设置三处水质监测点，每月监测一次，连续监测至涉水作业完成，水质监测点点位见附图4。</w:t>
            </w:r>
          </w:p>
          <w:p w14:paraId="0530B803">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②设置恢复监测断</w:t>
            </w:r>
            <w:r>
              <w:rPr>
                <w:rFonts w:hint="eastAsia" w:ascii="Times New Roman" w:hAnsi="Times New Roman" w:eastAsia="仿宋" w:cs="Times New Roman"/>
                <w:color w:val="auto"/>
                <w:kern w:val="0"/>
                <w:sz w:val="24"/>
                <w:szCs w:val="22"/>
                <w:highlight w:val="none"/>
                <w:lang w:val="en-US" w:eastAsia="zh-CN" w:bidi="ar-SA"/>
              </w:rPr>
              <w:t>点</w:t>
            </w:r>
            <w:r>
              <w:rPr>
                <w:rFonts w:hint="eastAsia" w:eastAsia="仿宋" w:cs="Times New Roman"/>
                <w:color w:val="auto"/>
                <w:kern w:val="0"/>
                <w:sz w:val="24"/>
                <w:szCs w:val="22"/>
                <w:highlight w:val="none"/>
                <w:lang w:val="en-US" w:eastAsia="zh-CN" w:bidi="ar-SA"/>
              </w:rPr>
              <w:t>2</w:t>
            </w:r>
            <w:r>
              <w:rPr>
                <w:rFonts w:hint="default" w:ascii="Times New Roman" w:hAnsi="Times New Roman" w:eastAsia="仿宋" w:cs="Times New Roman"/>
                <w:color w:val="auto"/>
                <w:kern w:val="0"/>
                <w:sz w:val="24"/>
                <w:szCs w:val="22"/>
                <w:highlight w:val="none"/>
                <w:lang w:val="en-US" w:eastAsia="zh-CN" w:bidi="ar-SA"/>
              </w:rPr>
              <w:t>个，施工结束后对底栖、鱼类和水生植被每季度1次，连续监测3年。</w:t>
            </w:r>
          </w:p>
          <w:p w14:paraId="29C01BBA">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③</w:t>
            </w:r>
            <w:r>
              <w:rPr>
                <w:rFonts w:hint="eastAsia" w:eastAsia="仿宋" w:cs="Times New Roman"/>
                <w:color w:val="auto"/>
                <w:kern w:val="0"/>
                <w:sz w:val="24"/>
                <w:szCs w:val="22"/>
                <w:highlight w:val="none"/>
                <w:lang w:val="en-US" w:eastAsia="zh-CN" w:bidi="ar-SA"/>
              </w:rPr>
              <w:t>东西两岸</w:t>
            </w:r>
            <w:r>
              <w:rPr>
                <w:rFonts w:hint="eastAsia" w:ascii="Times New Roman" w:hAnsi="Times New Roman" w:eastAsia="仿宋" w:cs="Times New Roman"/>
                <w:color w:val="auto"/>
                <w:kern w:val="0"/>
                <w:sz w:val="24"/>
                <w:szCs w:val="22"/>
                <w:highlight w:val="none"/>
                <w:lang w:val="en-US" w:eastAsia="zh-CN" w:bidi="ar-SA"/>
              </w:rPr>
              <w:t>施工点要根据施工期噪声监测计划</w:t>
            </w:r>
            <w:r>
              <w:rPr>
                <w:rFonts w:hint="eastAsia" w:eastAsia="仿宋" w:cs="Times New Roman"/>
                <w:color w:val="auto"/>
                <w:kern w:val="0"/>
                <w:sz w:val="24"/>
                <w:szCs w:val="22"/>
                <w:highlight w:val="none"/>
                <w:lang w:val="en-US" w:eastAsia="zh-CN" w:bidi="ar-SA"/>
              </w:rPr>
              <w:t>，</w:t>
            </w:r>
            <w:r>
              <w:rPr>
                <w:rFonts w:hint="eastAsia" w:ascii="Times New Roman" w:hAnsi="Times New Roman" w:eastAsia="仿宋" w:cs="Times New Roman"/>
                <w:color w:val="auto"/>
                <w:kern w:val="0"/>
                <w:sz w:val="24"/>
                <w:szCs w:val="22"/>
                <w:highlight w:val="none"/>
                <w:lang w:val="en-US" w:eastAsia="zh-CN" w:bidi="ar-SA"/>
              </w:rPr>
              <w:t>对</w:t>
            </w:r>
            <w:r>
              <w:rPr>
                <w:rFonts w:hint="eastAsia" w:eastAsia="仿宋" w:cs="Times New Roman"/>
                <w:color w:val="auto"/>
                <w:kern w:val="0"/>
                <w:sz w:val="24"/>
                <w:szCs w:val="22"/>
                <w:highlight w:val="none"/>
                <w:lang w:val="en-US" w:eastAsia="zh-CN" w:bidi="ar-SA"/>
              </w:rPr>
              <w:t>厂界</w:t>
            </w:r>
            <w:r>
              <w:rPr>
                <w:rFonts w:hint="eastAsia" w:ascii="Times New Roman" w:hAnsi="Times New Roman" w:eastAsia="仿宋" w:cs="Times New Roman"/>
                <w:color w:val="auto"/>
                <w:kern w:val="0"/>
                <w:sz w:val="24"/>
                <w:szCs w:val="22"/>
                <w:highlight w:val="none"/>
                <w:lang w:val="en-US" w:eastAsia="zh-CN" w:bidi="ar-SA"/>
              </w:rPr>
              <w:t>施工噪声进行监测，</w:t>
            </w:r>
            <w:r>
              <w:rPr>
                <w:rFonts w:hint="eastAsia" w:eastAsia="仿宋" w:cs="Times New Roman"/>
                <w:color w:val="auto"/>
                <w:kern w:val="0"/>
                <w:sz w:val="24"/>
                <w:szCs w:val="22"/>
                <w:highlight w:val="none"/>
                <w:lang w:val="en-US" w:eastAsia="zh-CN" w:bidi="ar-SA"/>
              </w:rPr>
              <w:t>每月监测一次，持续至施工期结束，</w:t>
            </w:r>
            <w:r>
              <w:rPr>
                <w:rFonts w:hint="eastAsia" w:ascii="Times New Roman" w:hAnsi="Times New Roman" w:eastAsia="仿宋" w:cs="Times New Roman"/>
                <w:color w:val="auto"/>
                <w:kern w:val="0"/>
                <w:sz w:val="24"/>
                <w:szCs w:val="22"/>
                <w:highlight w:val="none"/>
                <w:lang w:val="en-US" w:eastAsia="zh-CN" w:bidi="ar-SA"/>
              </w:rPr>
              <w:t>并根据监测结果调整施工进度。</w:t>
            </w:r>
          </w:p>
          <w:p w14:paraId="0C0CB81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6、施工期风险防范措施</w:t>
            </w:r>
          </w:p>
          <w:p w14:paraId="47906DC8">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为了防范环境风险，建设方应建立环境应急管理制度，做好风险防范工作，风险防范措施如下：</w:t>
            </w:r>
          </w:p>
          <w:p w14:paraId="602DF8B6">
            <w:pPr>
              <w:keepNext w:val="0"/>
              <w:keepLines w:val="0"/>
              <w:widowControl/>
              <w:suppressLineNumbers w:val="0"/>
              <w:jc w:val="left"/>
              <w:rPr>
                <w:rFonts w:hint="default"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加强施工队伍的管理，加强对施工人员的技术培训和环保培训，提高施工人员的安全意识和环境保护意识，严格操作规程，避免人为操作失当引起污染事故的发生。禁止施工人员向水体内倾倒垃圾、冲洗机具，禁止游泳、洗衣等行为.</w:t>
            </w:r>
          </w:p>
          <w:p w14:paraId="4F74C6DE">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施工单位应配备足够的油污吸附、隔离拦挡和净化材料，配备一定量的围油栏及吸油毡等应急物资，避免突发事故产生对水体造成污染。若施工发生油料泄漏事故，可在有关部门的指导和配合下，及时采取浮油拦截和吸附措施，直至油污消除。</w:t>
            </w:r>
          </w:p>
          <w:p w14:paraId="4E8A052A">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（3）根据项目情况，合理安排施工作业面，建设过程中禁止在工程占地范围以外的区域进行施工活动，涉及</w:t>
            </w:r>
            <w:r>
              <w:rPr>
                <w:rFonts w:hint="eastAsia" w:eastAsia="仿宋" w:cs="Times New Roman"/>
                <w:color w:val="auto"/>
                <w:kern w:val="0"/>
                <w:sz w:val="24"/>
                <w:szCs w:val="22"/>
                <w:highlight w:val="none"/>
                <w:lang w:val="en-US" w:eastAsia="zh-CN" w:bidi="ar-SA"/>
              </w:rPr>
              <w:t>河道</w:t>
            </w:r>
            <w:r>
              <w:rPr>
                <w:rFonts w:hint="eastAsia" w:ascii="Times New Roman" w:hAnsi="Times New Roman" w:eastAsia="仿宋" w:cs="Times New Roman"/>
                <w:color w:val="auto"/>
                <w:kern w:val="0"/>
                <w:sz w:val="24"/>
                <w:szCs w:val="22"/>
                <w:highlight w:val="none"/>
                <w:lang w:val="en-US" w:eastAsia="zh-CN" w:bidi="ar-SA"/>
              </w:rPr>
              <w:t>施工</w:t>
            </w:r>
            <w:r>
              <w:rPr>
                <w:rFonts w:hint="eastAsia" w:eastAsia="仿宋" w:cs="Times New Roman"/>
                <w:color w:val="auto"/>
                <w:kern w:val="0"/>
                <w:sz w:val="24"/>
                <w:szCs w:val="22"/>
                <w:highlight w:val="none"/>
                <w:lang w:val="en-US" w:eastAsia="zh-CN" w:bidi="ar-SA"/>
              </w:rPr>
              <w:t>的</w:t>
            </w:r>
            <w:r>
              <w:rPr>
                <w:rFonts w:hint="eastAsia" w:ascii="Times New Roman" w:hAnsi="Times New Roman" w:eastAsia="仿宋" w:cs="Times New Roman"/>
                <w:color w:val="auto"/>
                <w:kern w:val="0"/>
                <w:sz w:val="24"/>
                <w:szCs w:val="22"/>
                <w:highlight w:val="none"/>
                <w:lang w:val="en-US" w:eastAsia="zh-CN" w:bidi="ar-SA"/>
              </w:rPr>
              <w:t>过程中应严格管理并做好施工机械的保养和管理，以降低因意外事故对</w:t>
            </w:r>
            <w:r>
              <w:rPr>
                <w:rFonts w:hint="eastAsia" w:eastAsia="仿宋" w:cs="Times New Roman"/>
                <w:color w:val="auto"/>
                <w:kern w:val="0"/>
                <w:sz w:val="24"/>
                <w:szCs w:val="22"/>
                <w:highlight w:val="none"/>
                <w:lang w:val="en-US" w:eastAsia="zh-CN" w:bidi="ar-SA"/>
              </w:rPr>
              <w:t>长荡湖</w:t>
            </w:r>
            <w:r>
              <w:rPr>
                <w:rFonts w:hint="eastAsia" w:ascii="Times New Roman" w:hAnsi="Times New Roman" w:eastAsia="仿宋" w:cs="Times New Roman"/>
                <w:color w:val="auto"/>
                <w:kern w:val="0"/>
                <w:sz w:val="24"/>
                <w:szCs w:val="22"/>
                <w:highlight w:val="none"/>
                <w:lang w:val="en-US" w:eastAsia="zh-CN" w:bidi="ar-SA"/>
              </w:rPr>
              <w:t>的影响。</w:t>
            </w:r>
          </w:p>
          <w:p w14:paraId="47321821">
            <w:pPr>
              <w:keepNext w:val="0"/>
              <w:keepLines w:val="0"/>
              <w:widowControl/>
              <w:suppressLineNumbers w:val="0"/>
              <w:jc w:val="left"/>
              <w:rPr>
                <w:rFonts w:hint="default"/>
                <w:color w:val="auto"/>
                <w:lang w:val="en-US" w:eastAsia="zh-CN"/>
              </w:rPr>
            </w:pPr>
            <w:r>
              <w:rPr>
                <w:rFonts w:hint="eastAsia" w:ascii="Times New Roman" w:hAnsi="Times New Roman" w:eastAsia="仿宋" w:cs="Times New Roman"/>
                <w:color w:val="auto"/>
                <w:kern w:val="0"/>
                <w:sz w:val="24"/>
                <w:szCs w:val="22"/>
                <w:highlight w:val="none"/>
                <w:lang w:val="en-US" w:eastAsia="zh-CN" w:bidi="ar-SA"/>
              </w:rPr>
              <w:t>（4）</w:t>
            </w:r>
            <w:r>
              <w:rPr>
                <w:rFonts w:hint="eastAsia" w:eastAsia="仿宋" w:cs="Times New Roman"/>
                <w:color w:val="auto"/>
                <w:kern w:val="0"/>
                <w:sz w:val="24"/>
                <w:szCs w:val="22"/>
                <w:highlight w:val="none"/>
                <w:lang w:val="en-US" w:eastAsia="zh-CN" w:bidi="ar-SA"/>
              </w:rPr>
              <w:t>施工过程</w:t>
            </w:r>
            <w:r>
              <w:rPr>
                <w:rFonts w:hint="eastAsia" w:ascii="Times New Roman" w:hAnsi="Times New Roman" w:eastAsia="仿宋" w:cs="Times New Roman"/>
                <w:color w:val="auto"/>
                <w:kern w:val="0"/>
                <w:sz w:val="24"/>
                <w:szCs w:val="22"/>
                <w:highlight w:val="none"/>
                <w:lang w:val="en-US" w:eastAsia="zh-CN" w:bidi="ar-SA"/>
              </w:rPr>
              <w:t>中若发现可疑固废，建设单位应立即停止该区域的施工，并通知相关单位对可疑污染土壤或不明物质进行采样分析，确定是否属于污染土壤危险物质或固废，然后制定相应的处理处置方案。</w:t>
            </w:r>
          </w:p>
        </w:tc>
      </w:tr>
      <w:tr w14:paraId="753B9969">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90" w:hRule="atLeast"/>
        </w:trPr>
        <w:tc>
          <w:tcPr>
            <w:tcW w:w="426" w:type="dxa"/>
            <w:tcBorders>
              <w:bottom w:val="single" w:color="auto" w:sz="4" w:space="0"/>
            </w:tcBorders>
            <w:vAlign w:val="center"/>
          </w:tcPr>
          <w:p w14:paraId="5C5E67CD">
            <w:pPr>
              <w:pStyle w:val="30"/>
              <w:jc w:val="center"/>
              <w:rPr>
                <w:rFonts w:hint="default" w:ascii="仿宋" w:hAnsi="仿宋" w:eastAsia="仿宋" w:cs="仿宋"/>
                <w:color w:val="auto"/>
                <w:sz w:val="21"/>
                <w:szCs w:val="21"/>
                <w:highlight w:val="none"/>
                <w:vertAlign w:val="baseline"/>
                <w:lang w:val="en-US" w:eastAsia="zh-CN" w:bidi="ar-SA"/>
              </w:rPr>
            </w:pPr>
            <w:r>
              <w:rPr>
                <w:rFonts w:hint="eastAsia" w:ascii="仿宋" w:hAnsi="仿宋" w:eastAsia="仿宋" w:cs="仿宋"/>
                <w:color w:val="auto"/>
                <w:sz w:val="21"/>
                <w:szCs w:val="21"/>
                <w:highlight w:val="none"/>
                <w:vertAlign w:val="baseline"/>
                <w:lang w:val="en-US" w:eastAsia="zh-CN"/>
              </w:rPr>
              <w:t>运营期环生态环境保护措施</w:t>
            </w:r>
          </w:p>
        </w:tc>
        <w:tc>
          <w:tcPr>
            <w:tcW w:w="8524" w:type="dxa"/>
            <w:tcBorders>
              <w:bottom w:val="single" w:color="auto" w:sz="4" w:space="0"/>
            </w:tcBorders>
            <w:vAlign w:val="top"/>
          </w:tcPr>
          <w:p w14:paraId="225F06DD">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leftChars="0" w:right="0" w:rightChars="0" w:firstLine="482" w:firstLineChars="200"/>
              <w:jc w:val="left"/>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1、</w:t>
            </w:r>
            <w:r>
              <w:rPr>
                <w:rFonts w:hint="eastAsia" w:eastAsia="仿宋" w:cs="Times New Roman"/>
                <w:b/>
                <w:bCs/>
                <w:color w:val="auto"/>
                <w:kern w:val="0"/>
                <w:sz w:val="24"/>
                <w:szCs w:val="22"/>
                <w:highlight w:val="none"/>
                <w:lang w:val="en-US" w:eastAsia="zh-CN" w:bidi="ar-SA"/>
              </w:rPr>
              <w:t>运营期</w:t>
            </w:r>
            <w:r>
              <w:rPr>
                <w:rFonts w:hint="eastAsia" w:ascii="Times New Roman" w:hAnsi="Times New Roman" w:eastAsia="仿宋" w:cs="Times New Roman"/>
                <w:b/>
                <w:bCs/>
                <w:color w:val="auto"/>
                <w:kern w:val="0"/>
                <w:sz w:val="24"/>
                <w:szCs w:val="22"/>
                <w:highlight w:val="none"/>
                <w:lang w:val="en-US" w:eastAsia="zh-CN" w:bidi="ar-SA"/>
              </w:rPr>
              <w:t>生态环境保护措施</w:t>
            </w:r>
          </w:p>
          <w:p w14:paraId="7C12A2F3">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left"/>
              <w:textAlignment w:val="auto"/>
              <w:rPr>
                <w:rFonts w:hint="eastAsia" w:eastAsia="仿宋" w:cs="Times New Roman"/>
                <w:b w:val="0"/>
                <w:bCs w:val="0"/>
                <w:color w:val="auto"/>
                <w:kern w:val="0"/>
                <w:sz w:val="24"/>
                <w:szCs w:val="22"/>
                <w:highlight w:val="none"/>
                <w:lang w:val="en-US" w:eastAsia="zh-CN" w:bidi="ar-SA"/>
              </w:rPr>
            </w:pPr>
            <w:r>
              <w:rPr>
                <w:rFonts w:hint="eastAsia" w:eastAsia="仿宋" w:cs="Times New Roman"/>
                <w:b w:val="0"/>
                <w:bCs w:val="0"/>
                <w:color w:val="auto"/>
                <w:kern w:val="0"/>
                <w:sz w:val="24"/>
                <w:szCs w:val="22"/>
                <w:highlight w:val="none"/>
                <w:lang w:val="en-US" w:eastAsia="zh-CN" w:bidi="ar-SA"/>
              </w:rPr>
              <w:t>（1）公共设施管理单位必须强化绿化苗木的管理和养护，加强宣传教育，保护道路绿化林带不受损坏。确保道路绿化长效发挥固土护坡、减少水土流失、净化空气、隔声降噪、美化景观等环保功能。</w:t>
            </w:r>
          </w:p>
          <w:p w14:paraId="323B7A85">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left"/>
              <w:textAlignment w:val="auto"/>
              <w:rPr>
                <w:rFonts w:hint="eastAsia"/>
                <w:color w:val="auto"/>
                <w:lang w:val="en-US" w:eastAsia="zh-CN"/>
              </w:rPr>
            </w:pPr>
            <w:r>
              <w:rPr>
                <w:rFonts w:hint="eastAsia" w:ascii="Times New Roman" w:hAnsi="Times New Roman" w:eastAsia="仿宋" w:cs="Times New Roman"/>
                <w:b w:val="0"/>
                <w:bCs w:val="0"/>
                <w:color w:val="auto"/>
                <w:kern w:val="0"/>
                <w:sz w:val="24"/>
                <w:szCs w:val="22"/>
                <w:highlight w:val="none"/>
                <w:lang w:val="en-US" w:eastAsia="zh-CN" w:bidi="ar-SA"/>
              </w:rPr>
              <w:t>（2）强化道路沿线的固体废弃物污染治理的监督工作，向</w:t>
            </w:r>
            <w:r>
              <w:rPr>
                <w:rFonts w:hint="eastAsia" w:eastAsia="仿宋" w:cs="Times New Roman"/>
                <w:b w:val="0"/>
                <w:bCs w:val="0"/>
                <w:color w:val="auto"/>
                <w:kern w:val="0"/>
                <w:sz w:val="24"/>
                <w:szCs w:val="22"/>
                <w:highlight w:val="none"/>
                <w:lang w:val="en-US" w:eastAsia="zh-CN" w:bidi="ar-SA"/>
              </w:rPr>
              <w:t>游客及附近师生</w:t>
            </w:r>
            <w:r>
              <w:rPr>
                <w:rFonts w:hint="eastAsia" w:ascii="Times New Roman" w:hAnsi="Times New Roman" w:eastAsia="仿宋" w:cs="Times New Roman"/>
                <w:b w:val="0"/>
                <w:bCs w:val="0"/>
                <w:color w:val="auto"/>
                <w:kern w:val="0"/>
                <w:sz w:val="24"/>
                <w:szCs w:val="22"/>
                <w:highlight w:val="none"/>
                <w:lang w:val="en-US" w:eastAsia="zh-CN" w:bidi="ar-SA"/>
              </w:rPr>
              <w:t>加强</w:t>
            </w:r>
            <w:r>
              <w:rPr>
                <w:rFonts w:hint="eastAsia" w:eastAsia="仿宋" w:cs="Times New Roman"/>
                <w:b w:val="0"/>
                <w:bCs w:val="0"/>
                <w:color w:val="auto"/>
                <w:kern w:val="0"/>
                <w:sz w:val="24"/>
                <w:szCs w:val="22"/>
                <w:highlight w:val="none"/>
                <w:lang w:val="en-US" w:eastAsia="zh-CN" w:bidi="ar-SA"/>
              </w:rPr>
              <w:t>宣传</w:t>
            </w:r>
            <w:r>
              <w:rPr>
                <w:rFonts w:hint="eastAsia" w:ascii="Times New Roman" w:hAnsi="Times New Roman" w:eastAsia="仿宋" w:cs="Times New Roman"/>
                <w:b w:val="0"/>
                <w:bCs w:val="0"/>
                <w:color w:val="auto"/>
                <w:kern w:val="0"/>
                <w:sz w:val="24"/>
                <w:szCs w:val="22"/>
                <w:highlight w:val="none"/>
                <w:lang w:val="en-US" w:eastAsia="zh-CN" w:bidi="ar-SA"/>
              </w:rPr>
              <w:t>教育工作。</w:t>
            </w:r>
          </w:p>
          <w:p w14:paraId="59A293CE">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leftChars="0" w:right="0" w:rightChars="0" w:firstLine="482" w:firstLineChars="200"/>
              <w:jc w:val="left"/>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2</w:t>
            </w:r>
            <w:r>
              <w:rPr>
                <w:rFonts w:hint="eastAsia" w:ascii="Times New Roman" w:hAnsi="Times New Roman" w:eastAsia="仿宋" w:cs="Times New Roman"/>
                <w:b/>
                <w:bCs/>
                <w:color w:val="auto"/>
                <w:kern w:val="0"/>
                <w:sz w:val="24"/>
                <w:szCs w:val="22"/>
                <w:highlight w:val="none"/>
                <w:lang w:val="en-US" w:eastAsia="zh-CN" w:bidi="ar-SA"/>
              </w:rPr>
              <w:t>、运营期废水污染防治措施</w:t>
            </w:r>
            <w:r>
              <w:rPr>
                <w:rFonts w:hint="eastAsia" w:eastAsia="仿宋" w:cs="Times New Roman"/>
                <w:b/>
                <w:bCs/>
                <w:color w:val="auto"/>
                <w:kern w:val="0"/>
                <w:sz w:val="24"/>
                <w:szCs w:val="22"/>
                <w:highlight w:val="none"/>
                <w:lang w:val="en-US" w:eastAsia="zh-CN" w:bidi="ar-SA"/>
              </w:rPr>
              <w:t>（桥面径流）</w:t>
            </w:r>
          </w:p>
          <w:p w14:paraId="0A477DEC">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根据设计单位提供资料，本项目在设计上</w:t>
            </w:r>
            <w:r>
              <w:rPr>
                <w:rFonts w:hint="eastAsia" w:ascii="Times New Roman" w:hAnsi="Times New Roman" w:eastAsia="仿宋" w:cs="Times New Roman"/>
                <w:color w:val="auto"/>
                <w:szCs w:val="24"/>
                <w:lang w:val="en-US" w:eastAsia="zh-CN"/>
              </w:rPr>
              <w:t>采用了中间高、两端低的建筑造型，</w:t>
            </w:r>
            <w:r>
              <w:rPr>
                <w:rFonts w:hint="eastAsia" w:ascii="Times New Roman" w:hAnsi="Times New Roman" w:eastAsia="仿宋" w:cs="Times New Roman"/>
                <w:color w:val="auto"/>
                <w:kern w:val="0"/>
                <w:sz w:val="24"/>
                <w:szCs w:val="22"/>
                <w:highlight w:val="none"/>
                <w:lang w:val="en-US" w:eastAsia="zh-CN" w:bidi="ar-SA"/>
              </w:rPr>
              <w:t>已考虑收集桥面径流，雨水排入</w:t>
            </w:r>
            <w:r>
              <w:rPr>
                <w:rFonts w:hint="eastAsia" w:eastAsia="仿宋" w:cs="Times New Roman"/>
                <w:color w:val="auto"/>
                <w:kern w:val="0"/>
                <w:sz w:val="24"/>
                <w:szCs w:val="22"/>
                <w:highlight w:val="none"/>
                <w:lang w:val="en-US" w:eastAsia="zh-CN" w:bidi="ar-SA"/>
              </w:rPr>
              <w:t>体育休闲房车营地的</w:t>
            </w:r>
            <w:r>
              <w:rPr>
                <w:rFonts w:hint="eastAsia" w:ascii="Times New Roman" w:hAnsi="Times New Roman" w:eastAsia="仿宋" w:cs="Times New Roman"/>
                <w:color w:val="auto"/>
                <w:kern w:val="0"/>
                <w:sz w:val="24"/>
                <w:szCs w:val="22"/>
                <w:highlight w:val="none"/>
                <w:lang w:val="en-US" w:eastAsia="zh-CN" w:bidi="ar-SA"/>
              </w:rPr>
              <w:t>雨水管网，</w:t>
            </w:r>
            <w:r>
              <w:rPr>
                <w:rFonts w:hint="eastAsia" w:eastAsia="仿宋" w:cs="Times New Roman"/>
                <w:color w:val="auto"/>
                <w:kern w:val="0"/>
                <w:sz w:val="24"/>
                <w:szCs w:val="22"/>
                <w:highlight w:val="none"/>
                <w:lang w:val="en-US" w:eastAsia="zh-CN" w:bidi="ar-SA"/>
              </w:rPr>
              <w:t>最终流入市政管网，</w:t>
            </w:r>
            <w:r>
              <w:rPr>
                <w:rFonts w:hint="eastAsia" w:ascii="Times New Roman" w:hAnsi="Times New Roman" w:eastAsia="仿宋" w:cs="Times New Roman"/>
                <w:color w:val="auto"/>
                <w:kern w:val="0"/>
                <w:sz w:val="24"/>
                <w:szCs w:val="22"/>
                <w:highlight w:val="none"/>
                <w:lang w:val="en-US" w:eastAsia="zh-CN" w:bidi="ar-SA"/>
              </w:rPr>
              <w:t>对周边水环境影响较小。</w:t>
            </w:r>
          </w:p>
          <w:p w14:paraId="3850B3FC">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leftChars="0" w:right="0" w:rightChars="0" w:firstLine="482" w:firstLineChars="200"/>
              <w:jc w:val="left"/>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3</w:t>
            </w:r>
            <w:r>
              <w:rPr>
                <w:rFonts w:hint="eastAsia" w:ascii="Times New Roman" w:hAnsi="Times New Roman" w:eastAsia="仿宋" w:cs="Times New Roman"/>
                <w:b/>
                <w:bCs/>
                <w:color w:val="auto"/>
                <w:kern w:val="0"/>
                <w:sz w:val="24"/>
                <w:szCs w:val="22"/>
                <w:highlight w:val="none"/>
                <w:lang w:val="en-US" w:eastAsia="zh-CN" w:bidi="ar-SA"/>
              </w:rPr>
              <w:t>、运营期固废</w:t>
            </w:r>
            <w:r>
              <w:rPr>
                <w:rFonts w:hint="eastAsia" w:eastAsia="仿宋" w:cs="Times New Roman"/>
                <w:b/>
                <w:bCs/>
                <w:color w:val="auto"/>
                <w:kern w:val="0"/>
                <w:sz w:val="24"/>
                <w:szCs w:val="22"/>
                <w:highlight w:val="none"/>
                <w:lang w:val="en-US" w:eastAsia="zh-CN" w:bidi="ar-SA"/>
              </w:rPr>
              <w:t>污染防治措施</w:t>
            </w:r>
          </w:p>
          <w:p w14:paraId="2724CDA9">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left"/>
              <w:textAlignment w:val="auto"/>
              <w:rPr>
                <w:rFonts w:hint="eastAsia" w:eastAsia="仿宋" w:cs="Times New Roman"/>
                <w:b w:val="0"/>
                <w:bCs w:val="0"/>
                <w:color w:val="auto"/>
                <w:kern w:val="0"/>
                <w:sz w:val="24"/>
                <w:szCs w:val="22"/>
                <w:highlight w:val="none"/>
                <w:lang w:val="en-US" w:eastAsia="zh-CN" w:bidi="ar-SA"/>
              </w:rPr>
            </w:pPr>
            <w:r>
              <w:rPr>
                <w:rFonts w:hint="eastAsia" w:ascii="Times New Roman" w:hAnsi="Times New Roman" w:eastAsia="仿宋" w:cs="Times New Roman"/>
                <w:b w:val="0"/>
                <w:bCs w:val="0"/>
                <w:color w:val="auto"/>
                <w:kern w:val="0"/>
                <w:sz w:val="24"/>
                <w:szCs w:val="22"/>
                <w:highlight w:val="none"/>
                <w:lang w:val="en-US" w:eastAsia="zh-CN" w:bidi="ar-SA"/>
              </w:rPr>
              <w:t>拟建桥梁项目</w:t>
            </w:r>
            <w:r>
              <w:rPr>
                <w:rFonts w:hint="eastAsia" w:eastAsia="仿宋" w:cs="Times New Roman"/>
                <w:b w:val="0"/>
                <w:bCs w:val="0"/>
                <w:color w:val="auto"/>
                <w:kern w:val="0"/>
                <w:sz w:val="24"/>
                <w:szCs w:val="22"/>
                <w:highlight w:val="none"/>
                <w:lang w:val="en-US" w:eastAsia="zh-CN" w:bidi="ar-SA"/>
              </w:rPr>
              <w:t>运营</w:t>
            </w:r>
            <w:r>
              <w:rPr>
                <w:rFonts w:hint="eastAsia" w:ascii="Times New Roman" w:hAnsi="Times New Roman" w:eastAsia="仿宋" w:cs="Times New Roman"/>
                <w:b w:val="0"/>
                <w:bCs w:val="0"/>
                <w:color w:val="auto"/>
                <w:kern w:val="0"/>
                <w:sz w:val="24"/>
                <w:szCs w:val="22"/>
                <w:highlight w:val="none"/>
                <w:lang w:val="en-US" w:eastAsia="zh-CN" w:bidi="ar-SA"/>
              </w:rPr>
              <w:t>期固体废物主要来源于行人丢弃的少量生活垃圾。项目建成后由市政管理单位沿人行道设置垃圾桶，委托当地环卫部门定期清运处理。在市政管理单位加强管理的情况下，对环境影响小</w:t>
            </w:r>
            <w:r>
              <w:rPr>
                <w:rFonts w:hint="eastAsia" w:eastAsia="仿宋" w:cs="Times New Roman"/>
                <w:b w:val="0"/>
                <w:bCs w:val="0"/>
                <w:color w:val="auto"/>
                <w:kern w:val="0"/>
                <w:sz w:val="24"/>
                <w:szCs w:val="22"/>
                <w:highlight w:val="none"/>
                <w:lang w:val="en-US" w:eastAsia="zh-CN" w:bidi="ar-SA"/>
              </w:rPr>
              <w:t>。</w:t>
            </w:r>
          </w:p>
          <w:p w14:paraId="07E7986A">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leftChars="200" w:right="0" w:rightChars="0"/>
              <w:jc w:val="left"/>
              <w:textAlignment w:val="auto"/>
              <w:rPr>
                <w:rFonts w:hint="eastAsia"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4、运营期噪声</w:t>
            </w:r>
            <w:r>
              <w:rPr>
                <w:rFonts w:hint="eastAsia" w:eastAsia="仿宋" w:cs="Times New Roman"/>
                <w:b/>
                <w:bCs/>
                <w:color w:val="auto"/>
                <w:kern w:val="0"/>
                <w:sz w:val="24"/>
                <w:szCs w:val="22"/>
                <w:highlight w:val="none"/>
                <w:lang w:val="en-US" w:eastAsia="zh-CN" w:bidi="ar-SA"/>
              </w:rPr>
              <w:t>污染防治措施</w:t>
            </w:r>
          </w:p>
          <w:p w14:paraId="29ECB5A1">
            <w:pPr>
              <w:keepNext w:val="0"/>
              <w:keepLines w:val="0"/>
              <w:pageBreakBefore w:val="0"/>
              <w:widowControl w:val="0"/>
              <w:kinsoku/>
              <w:wordWrap/>
              <w:overflowPunct/>
              <w:topLinePunct w:val="0"/>
              <w:autoSpaceDE/>
              <w:autoSpaceDN/>
              <w:bidi w:val="0"/>
              <w:adjustRightInd w:val="0"/>
              <w:snapToGrid/>
              <w:spacing w:line="360" w:lineRule="auto"/>
              <w:ind w:firstLine="480"/>
              <w:jc w:val="left"/>
              <w:textAlignment w:val="auto"/>
              <w:rPr>
                <w:rFonts w:hint="default"/>
                <w:lang w:val="en-US" w:eastAsia="zh-CN"/>
              </w:rPr>
            </w:pPr>
            <w:r>
              <w:rPr>
                <w:rFonts w:hint="eastAsia" w:ascii="Times New Roman" w:hAnsi="Times New Roman" w:eastAsia="仿宋" w:cs="Times New Roman"/>
                <w:color w:val="auto"/>
                <w:kern w:val="2"/>
                <w:sz w:val="24"/>
                <w:szCs w:val="24"/>
                <w:u w:val="none"/>
                <w:lang w:val="en-US" w:eastAsia="zh-CN" w:bidi="ar-SA"/>
              </w:rPr>
              <w:t>运营期噪声主要来自</w:t>
            </w:r>
            <w:r>
              <w:rPr>
                <w:rFonts w:hint="eastAsia" w:eastAsia="仿宋" w:cs="Times New Roman"/>
                <w:color w:val="auto"/>
                <w:kern w:val="2"/>
                <w:sz w:val="24"/>
                <w:szCs w:val="24"/>
                <w:u w:val="none"/>
                <w:lang w:val="en-US" w:eastAsia="zh-CN" w:bidi="ar-SA"/>
              </w:rPr>
              <w:t>过往行人交谈</w:t>
            </w:r>
            <w:r>
              <w:rPr>
                <w:rFonts w:hint="eastAsia" w:ascii="Times New Roman" w:hAnsi="Times New Roman" w:eastAsia="仿宋" w:cs="Times New Roman"/>
                <w:color w:val="auto"/>
                <w:kern w:val="2"/>
                <w:sz w:val="24"/>
                <w:szCs w:val="24"/>
                <w:u w:val="none"/>
                <w:lang w:val="en-US" w:eastAsia="zh-CN" w:bidi="ar-SA"/>
              </w:rPr>
              <w:t>噪声，可通过设置标识牌等方式提醒行人保持安静。</w:t>
            </w:r>
          </w:p>
        </w:tc>
      </w:tr>
      <w:tr w14:paraId="04FF3D5C">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90" w:hRule="atLeast"/>
        </w:trPr>
        <w:tc>
          <w:tcPr>
            <w:tcW w:w="426" w:type="dxa"/>
            <w:tcBorders>
              <w:top w:val="single" w:color="auto" w:sz="4" w:space="0"/>
              <w:bottom w:val="single" w:color="auto" w:sz="4" w:space="0"/>
            </w:tcBorders>
            <w:vAlign w:val="center"/>
          </w:tcPr>
          <w:p w14:paraId="63B5B692">
            <w:pPr>
              <w:pStyle w:val="30"/>
              <w:jc w:val="center"/>
              <w:rPr>
                <w:rFonts w:hint="default"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其他</w:t>
            </w:r>
          </w:p>
        </w:tc>
        <w:tc>
          <w:tcPr>
            <w:tcW w:w="8524" w:type="dxa"/>
            <w:tcBorders>
              <w:top w:val="single" w:color="auto" w:sz="4" w:space="0"/>
              <w:bottom w:val="single" w:color="auto" w:sz="4" w:space="0"/>
            </w:tcBorders>
            <w:vAlign w:val="top"/>
          </w:tcPr>
          <w:p w14:paraId="040BE2EA">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right="0" w:rightChars="0"/>
              <w:jc w:val="left"/>
              <w:textAlignment w:val="auto"/>
              <w:rPr>
                <w:rFonts w:hint="eastAsia"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环境监测计划</w:t>
            </w:r>
          </w:p>
          <w:p w14:paraId="7DAE303C">
            <w:pPr>
              <w:keepNext w:val="0"/>
              <w:keepLines w:val="0"/>
              <w:widowControl/>
              <w:suppressLineNumbers w:val="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一、</w:t>
            </w:r>
            <w:r>
              <w:rPr>
                <w:rFonts w:hint="eastAsia" w:ascii="Times New Roman" w:hAnsi="Times New Roman" w:eastAsia="仿宋" w:cs="Times New Roman"/>
                <w:b/>
                <w:bCs/>
                <w:color w:val="auto"/>
                <w:kern w:val="0"/>
                <w:sz w:val="24"/>
                <w:szCs w:val="22"/>
                <w:highlight w:val="none"/>
                <w:lang w:val="en-US" w:eastAsia="zh-CN" w:bidi="ar-SA"/>
              </w:rPr>
              <w:t>施工期环境监测</w:t>
            </w:r>
          </w:p>
          <w:p w14:paraId="45C46BB3">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环境监测可由建设单位委托有相应资质的环境监测部门实施，技术要求按照有关环境监测规范的规定执行，以保障监测数据的可靠性。监测期包括整个施工阶段，监测内容包括水质、空气、噪声、生态、人群健康等。</w:t>
            </w:r>
          </w:p>
          <w:p w14:paraId="420FE1F4">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1、</w:t>
            </w:r>
            <w:r>
              <w:rPr>
                <w:rFonts w:hint="eastAsia" w:ascii="Times New Roman" w:hAnsi="Times New Roman" w:eastAsia="仿宋" w:cs="Times New Roman"/>
                <w:color w:val="auto"/>
                <w:kern w:val="0"/>
                <w:sz w:val="24"/>
                <w:szCs w:val="22"/>
                <w:highlight w:val="none"/>
                <w:lang w:val="en-US" w:eastAsia="zh-CN" w:bidi="ar-SA"/>
              </w:rPr>
              <w:t>水环境质量监测</w:t>
            </w:r>
          </w:p>
          <w:p w14:paraId="2F499EFB">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（1）监测点位</w:t>
            </w:r>
          </w:p>
          <w:p w14:paraId="5895C593">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上游背景值W2</w:t>
            </w:r>
            <w:r>
              <w:rPr>
                <w:rFonts w:hint="eastAsia" w:ascii="Times New Roman" w:hAnsi="Times New Roman" w:eastAsia="仿宋" w:cs="Times New Roman"/>
                <w:color w:val="auto"/>
                <w:kern w:val="0"/>
                <w:sz w:val="24"/>
                <w:szCs w:val="22"/>
                <w:highlight w:val="none"/>
                <w:lang w:val="en-US" w:eastAsia="zh-CN" w:bidi="ar-SA"/>
              </w:rPr>
              <w:t>，施工区域</w:t>
            </w:r>
            <w:r>
              <w:rPr>
                <w:rFonts w:hint="eastAsia" w:eastAsia="仿宋" w:cs="Times New Roman"/>
                <w:color w:val="auto"/>
                <w:kern w:val="0"/>
                <w:sz w:val="24"/>
                <w:szCs w:val="22"/>
                <w:highlight w:val="none"/>
                <w:lang w:val="en-US" w:eastAsia="zh-CN" w:bidi="ar-SA"/>
              </w:rPr>
              <w:t>W1，</w:t>
            </w:r>
            <w:r>
              <w:rPr>
                <w:rFonts w:hint="eastAsia" w:ascii="Times New Roman" w:hAnsi="Times New Roman" w:eastAsia="仿宋" w:cs="Times New Roman"/>
                <w:color w:val="auto"/>
                <w:kern w:val="0"/>
                <w:sz w:val="24"/>
                <w:szCs w:val="22"/>
                <w:highlight w:val="none"/>
                <w:lang w:val="en-US" w:eastAsia="zh-CN" w:bidi="ar-SA"/>
              </w:rPr>
              <w:t>准保护区边界水面</w:t>
            </w:r>
            <w:r>
              <w:rPr>
                <w:rFonts w:hint="eastAsia" w:eastAsia="仿宋" w:cs="Times New Roman"/>
                <w:color w:val="auto"/>
                <w:kern w:val="0"/>
                <w:sz w:val="24"/>
                <w:szCs w:val="22"/>
                <w:highlight w:val="none"/>
                <w:lang w:val="en-US" w:eastAsia="zh-CN" w:bidi="ar-SA"/>
              </w:rPr>
              <w:t>W3</w:t>
            </w:r>
            <w:r>
              <w:rPr>
                <w:rFonts w:hint="eastAsia" w:ascii="Times New Roman" w:hAnsi="Times New Roman" w:eastAsia="仿宋" w:cs="Times New Roman"/>
                <w:color w:val="auto"/>
                <w:kern w:val="0"/>
                <w:sz w:val="24"/>
                <w:szCs w:val="22"/>
                <w:highlight w:val="none"/>
                <w:lang w:val="en-US" w:eastAsia="zh-CN" w:bidi="ar-SA"/>
              </w:rPr>
              <w:t>。</w:t>
            </w:r>
          </w:p>
          <w:p w14:paraId="75CA861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监测项目</w:t>
            </w:r>
          </w:p>
          <w:p w14:paraId="27A9B03B">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水位、水温、COD、SS、BOD</w:t>
            </w:r>
            <w:r>
              <w:rPr>
                <w:rFonts w:hint="eastAsia" w:ascii="Times New Roman" w:hAnsi="Times New Roman" w:eastAsia="仿宋" w:cs="Times New Roman"/>
                <w:color w:val="auto"/>
                <w:kern w:val="0"/>
                <w:sz w:val="24"/>
                <w:szCs w:val="22"/>
                <w:highlight w:val="none"/>
                <w:vertAlign w:val="subscript"/>
                <w:lang w:val="en-US" w:eastAsia="zh-CN" w:bidi="ar-SA"/>
              </w:rPr>
              <w:t>5</w:t>
            </w:r>
            <w:r>
              <w:rPr>
                <w:rFonts w:hint="eastAsia" w:ascii="Times New Roman" w:hAnsi="Times New Roman" w:eastAsia="仿宋" w:cs="Times New Roman"/>
                <w:color w:val="auto"/>
                <w:kern w:val="0"/>
                <w:sz w:val="24"/>
                <w:szCs w:val="22"/>
                <w:highlight w:val="none"/>
                <w:lang w:val="en-US" w:eastAsia="zh-CN" w:bidi="ar-SA"/>
              </w:rPr>
              <w:t>、氨氮、总磷、总氮、石油类。</w:t>
            </w:r>
          </w:p>
          <w:p w14:paraId="71AADEF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监测时间及频次</w:t>
            </w:r>
          </w:p>
          <w:p w14:paraId="727DC768">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施工期</w:t>
            </w:r>
            <w:r>
              <w:rPr>
                <w:rFonts w:hint="eastAsia" w:ascii="Times New Roman" w:hAnsi="Times New Roman" w:eastAsia="仿宋" w:cs="Times New Roman"/>
                <w:color w:val="auto"/>
                <w:kern w:val="0"/>
                <w:sz w:val="24"/>
                <w:szCs w:val="22"/>
                <w:highlight w:val="none"/>
                <w:lang w:val="en-US" w:eastAsia="zh-CN" w:bidi="ar-SA"/>
              </w:rPr>
              <w:t>每月检测1期，每期监测1天，一天一次。</w:t>
            </w:r>
          </w:p>
          <w:p w14:paraId="353B689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2、</w:t>
            </w:r>
            <w:r>
              <w:rPr>
                <w:rFonts w:hint="eastAsia" w:ascii="Times New Roman" w:hAnsi="Times New Roman" w:eastAsia="仿宋" w:cs="Times New Roman"/>
                <w:color w:val="auto"/>
                <w:kern w:val="0"/>
                <w:sz w:val="24"/>
                <w:szCs w:val="22"/>
                <w:highlight w:val="none"/>
                <w:lang w:val="en-US" w:eastAsia="zh-CN" w:bidi="ar-SA"/>
              </w:rPr>
              <w:t>生态监测</w:t>
            </w:r>
          </w:p>
          <w:p w14:paraId="1AFCD692">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①</w:t>
            </w:r>
            <w:r>
              <w:rPr>
                <w:rFonts w:hint="eastAsia" w:ascii="Times New Roman" w:hAnsi="Times New Roman" w:eastAsia="仿宋" w:cs="Times New Roman"/>
                <w:color w:val="auto"/>
                <w:kern w:val="0"/>
                <w:sz w:val="24"/>
                <w:szCs w:val="22"/>
                <w:highlight w:val="none"/>
                <w:lang w:val="en-US" w:eastAsia="zh-CN" w:bidi="ar-SA"/>
              </w:rPr>
              <w:t>陆生生态</w:t>
            </w:r>
          </w:p>
          <w:p w14:paraId="0B2938BF">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（1）监测点位</w:t>
            </w:r>
          </w:p>
          <w:p w14:paraId="6B6401F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陆上施工区及临时堆场、弃土场区域</w:t>
            </w:r>
          </w:p>
          <w:p w14:paraId="67F5971C">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（2）监测项目</w:t>
            </w:r>
          </w:p>
          <w:p w14:paraId="76DB7618">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植被恢复、生长情况。</w:t>
            </w:r>
          </w:p>
          <w:p w14:paraId="507E0857">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（3）监测时间及频次</w:t>
            </w:r>
          </w:p>
          <w:p w14:paraId="3AAEE0EA">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施工高峰期每月监测1次。运行期每季度1次，每次连续监测1天</w:t>
            </w:r>
          </w:p>
          <w:p w14:paraId="21391893">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表5-1 本项目生态监测计划一览表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3"/>
              <w:gridCol w:w="2203"/>
              <w:gridCol w:w="2217"/>
              <w:gridCol w:w="2217"/>
            </w:tblGrid>
            <w:tr w14:paraId="75FC6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3" w:type="dxa"/>
                  <w:vAlign w:val="center"/>
                </w:tcPr>
                <w:p w14:paraId="2BB6D59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监测时段</w:t>
                  </w:r>
                </w:p>
              </w:tc>
              <w:tc>
                <w:tcPr>
                  <w:tcW w:w="2203" w:type="dxa"/>
                  <w:vAlign w:val="center"/>
                </w:tcPr>
                <w:p w14:paraId="2C834D3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监测点位</w:t>
                  </w:r>
                </w:p>
              </w:tc>
              <w:tc>
                <w:tcPr>
                  <w:tcW w:w="2217" w:type="dxa"/>
                  <w:vAlign w:val="center"/>
                </w:tcPr>
                <w:p w14:paraId="27FBED1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监测项目</w:t>
                  </w:r>
                </w:p>
              </w:tc>
              <w:tc>
                <w:tcPr>
                  <w:tcW w:w="2217" w:type="dxa"/>
                  <w:vAlign w:val="center"/>
                </w:tcPr>
                <w:p w14:paraId="6D864CE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监测频次及历时</w:t>
                  </w:r>
                </w:p>
              </w:tc>
            </w:tr>
            <w:tr w14:paraId="2A7CA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3" w:type="dxa"/>
                  <w:vAlign w:val="center"/>
                </w:tcPr>
                <w:p w14:paraId="3C39535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施工期</w:t>
                  </w:r>
                </w:p>
              </w:tc>
              <w:tc>
                <w:tcPr>
                  <w:tcW w:w="2203" w:type="dxa"/>
                  <w:vAlign w:val="center"/>
                </w:tcPr>
                <w:p w14:paraId="7635DC5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陆上施工区及临时堆场、弃土场区域</w:t>
                  </w:r>
                </w:p>
              </w:tc>
              <w:tc>
                <w:tcPr>
                  <w:tcW w:w="2217" w:type="dxa"/>
                  <w:vAlign w:val="center"/>
                </w:tcPr>
                <w:p w14:paraId="450B1C64">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植被恢复、生长状况</w:t>
                  </w:r>
                </w:p>
              </w:tc>
              <w:tc>
                <w:tcPr>
                  <w:tcW w:w="2217" w:type="dxa"/>
                  <w:vAlign w:val="center"/>
                </w:tcPr>
                <w:p w14:paraId="452587B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施工结束后验收前；3-6月/1次，连续监测1年</w:t>
                  </w:r>
                </w:p>
              </w:tc>
            </w:tr>
          </w:tbl>
          <w:p w14:paraId="06669478">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②</w:t>
            </w:r>
            <w:r>
              <w:rPr>
                <w:rFonts w:hint="eastAsia" w:ascii="Times New Roman" w:hAnsi="Times New Roman" w:eastAsia="仿宋" w:cs="Times New Roman"/>
                <w:color w:val="auto"/>
                <w:kern w:val="0"/>
                <w:sz w:val="24"/>
                <w:szCs w:val="22"/>
                <w:highlight w:val="none"/>
                <w:lang w:val="en-US" w:eastAsia="zh-CN" w:bidi="ar-SA"/>
              </w:rPr>
              <w:t>水生生态</w:t>
            </w:r>
          </w:p>
          <w:p w14:paraId="3F4FFE3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（1）监测区域</w:t>
            </w:r>
          </w:p>
          <w:p w14:paraId="7243466B">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干法</w:t>
            </w:r>
            <w:r>
              <w:rPr>
                <w:rFonts w:hint="eastAsia" w:ascii="Times New Roman" w:hAnsi="Times New Roman" w:eastAsia="仿宋" w:cs="Times New Roman"/>
                <w:color w:val="auto"/>
                <w:kern w:val="0"/>
                <w:sz w:val="24"/>
                <w:szCs w:val="22"/>
                <w:highlight w:val="none"/>
                <w:lang w:val="en-US" w:eastAsia="zh-CN" w:bidi="ar-SA"/>
              </w:rPr>
              <w:t>施工区域及湖心。</w:t>
            </w:r>
          </w:p>
          <w:p w14:paraId="2E330BFD">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（2）监测内容</w:t>
            </w:r>
          </w:p>
          <w:p w14:paraId="308C9E8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鱼类组成变化、资源量变动；浮游植物、浮游动物、底栖生物和渔业资源。</w:t>
            </w:r>
          </w:p>
          <w:p w14:paraId="656DC079">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（3）监测时间与频次</w:t>
            </w:r>
          </w:p>
          <w:p w14:paraId="023F2003">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施工期，水生生态每年监测2次，每年3~5月1次，9~10月1次。</w:t>
            </w:r>
          </w:p>
          <w:p w14:paraId="6FACD89F">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（4）监测布点</w:t>
            </w:r>
          </w:p>
          <w:p w14:paraId="1231BDA3">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对</w:t>
            </w:r>
            <w:r>
              <w:rPr>
                <w:rFonts w:hint="eastAsia" w:eastAsia="仿宋" w:cs="Times New Roman"/>
                <w:color w:val="auto"/>
                <w:kern w:val="0"/>
                <w:sz w:val="24"/>
                <w:szCs w:val="22"/>
                <w:highlight w:val="none"/>
                <w:lang w:val="en-US" w:eastAsia="zh-CN" w:bidi="ar-SA"/>
              </w:rPr>
              <w:t>施工区</w:t>
            </w:r>
            <w:r>
              <w:rPr>
                <w:rFonts w:hint="eastAsia" w:ascii="Times New Roman" w:hAnsi="Times New Roman" w:eastAsia="仿宋" w:cs="Times New Roman"/>
                <w:color w:val="auto"/>
                <w:kern w:val="0"/>
                <w:sz w:val="24"/>
                <w:szCs w:val="22"/>
                <w:highlight w:val="none"/>
                <w:lang w:val="en-US" w:eastAsia="zh-CN" w:bidi="ar-SA"/>
              </w:rPr>
              <w:t>水生生物监测共布设</w:t>
            </w:r>
            <w:r>
              <w:rPr>
                <w:rFonts w:hint="eastAsia" w:eastAsia="仿宋" w:cs="Times New Roman"/>
                <w:color w:val="auto"/>
                <w:kern w:val="0"/>
                <w:sz w:val="24"/>
                <w:szCs w:val="22"/>
                <w:highlight w:val="none"/>
                <w:lang w:val="en-US" w:eastAsia="zh-CN" w:bidi="ar-SA"/>
              </w:rPr>
              <w:t>2个监测点</w:t>
            </w:r>
            <w:r>
              <w:rPr>
                <w:rFonts w:hint="eastAsia" w:ascii="Times New Roman" w:hAnsi="Times New Roman" w:eastAsia="仿宋" w:cs="Times New Roman"/>
                <w:color w:val="auto"/>
                <w:kern w:val="0"/>
                <w:sz w:val="24"/>
                <w:szCs w:val="22"/>
                <w:highlight w:val="none"/>
                <w:lang w:val="en-US" w:eastAsia="zh-CN" w:bidi="ar-SA"/>
              </w:rPr>
              <w:t>。布点原则见表</w:t>
            </w:r>
            <w:r>
              <w:rPr>
                <w:rFonts w:hint="eastAsia" w:eastAsia="仿宋" w:cs="Times New Roman"/>
                <w:color w:val="auto"/>
                <w:kern w:val="0"/>
                <w:sz w:val="24"/>
                <w:szCs w:val="22"/>
                <w:highlight w:val="none"/>
                <w:lang w:val="en-US" w:eastAsia="zh-CN" w:bidi="ar-SA"/>
              </w:rPr>
              <w:t>5</w:t>
            </w:r>
            <w:r>
              <w:rPr>
                <w:rFonts w:hint="eastAsia" w:ascii="Times New Roman" w:hAnsi="Times New Roman" w:eastAsia="仿宋" w:cs="Times New Roman"/>
                <w:color w:val="auto"/>
                <w:kern w:val="0"/>
                <w:sz w:val="24"/>
                <w:szCs w:val="22"/>
                <w:highlight w:val="none"/>
                <w:lang w:val="en-US" w:eastAsia="zh-CN" w:bidi="ar-SA"/>
              </w:rPr>
              <w:t>-2。</w:t>
            </w:r>
          </w:p>
          <w:p w14:paraId="1C9A0D70">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表5-2 监测断面及监测内容设置</w:t>
            </w:r>
          </w:p>
          <w:tbl>
            <w:tblPr>
              <w:tblStyle w:val="2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3"/>
              <w:gridCol w:w="790"/>
              <w:gridCol w:w="6472"/>
            </w:tblGrid>
            <w:tr w14:paraId="2B26F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vAlign w:val="center"/>
                </w:tcPr>
                <w:p w14:paraId="13B1D7E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监测点位</w:t>
                  </w:r>
                </w:p>
              </w:tc>
              <w:tc>
                <w:tcPr>
                  <w:tcW w:w="447" w:type="pct"/>
                  <w:vAlign w:val="center"/>
                </w:tcPr>
                <w:p w14:paraId="2C7C41D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lang w:val="en-US" w:eastAsia="zh-CN"/>
                    </w:rPr>
                  </w:pPr>
                  <w:r>
                    <w:rPr>
                      <w:rFonts w:hint="eastAsia" w:eastAsia="仿宋" w:cs="Times New Roman"/>
                      <w:b/>
                      <w:bCs/>
                      <w:color w:val="auto"/>
                      <w:sz w:val="21"/>
                      <w:szCs w:val="21"/>
                      <w:lang w:val="en-US" w:eastAsia="zh-CN"/>
                    </w:rPr>
                    <w:t>编号</w:t>
                  </w:r>
                </w:p>
              </w:tc>
              <w:tc>
                <w:tcPr>
                  <w:tcW w:w="3662" w:type="pct"/>
                  <w:vAlign w:val="center"/>
                </w:tcPr>
                <w:p w14:paraId="43BC8DF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监测内容</w:t>
                  </w:r>
                </w:p>
              </w:tc>
            </w:tr>
            <w:tr w14:paraId="3D728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vAlign w:val="center"/>
                </w:tcPr>
                <w:p w14:paraId="19BB8C2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干法施工区域</w:t>
                  </w:r>
                </w:p>
              </w:tc>
              <w:tc>
                <w:tcPr>
                  <w:tcW w:w="447" w:type="pct"/>
                  <w:vAlign w:val="center"/>
                </w:tcPr>
                <w:p w14:paraId="78DC905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Y1</w:t>
                  </w:r>
                </w:p>
              </w:tc>
              <w:tc>
                <w:tcPr>
                  <w:tcW w:w="3662" w:type="pct"/>
                  <w:vMerge w:val="restart"/>
                  <w:vAlign w:val="center"/>
                </w:tcPr>
                <w:p w14:paraId="2AA7039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鱼类组成变化、资源量变动；浮游植物、浮游动物、底栖生物和渔业资源。</w:t>
                  </w:r>
                </w:p>
              </w:tc>
            </w:tr>
            <w:tr w14:paraId="7A8A2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pct"/>
                  <w:vAlign w:val="center"/>
                </w:tcPr>
                <w:p w14:paraId="479D596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湖心</w:t>
                  </w:r>
                </w:p>
              </w:tc>
              <w:tc>
                <w:tcPr>
                  <w:tcW w:w="447" w:type="pct"/>
                  <w:vAlign w:val="center"/>
                </w:tcPr>
                <w:p w14:paraId="400F1EB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val="0"/>
                      <w:bCs w:val="0"/>
                      <w:color w:val="auto"/>
                      <w:sz w:val="21"/>
                      <w:szCs w:val="21"/>
                      <w:lang w:val="en-US" w:eastAsia="zh-CN"/>
                    </w:rPr>
                  </w:pPr>
                  <w:r>
                    <w:rPr>
                      <w:rFonts w:hint="eastAsia" w:eastAsia="仿宋" w:cs="Times New Roman"/>
                      <w:b w:val="0"/>
                      <w:bCs w:val="0"/>
                      <w:color w:val="auto"/>
                      <w:sz w:val="21"/>
                      <w:szCs w:val="21"/>
                      <w:lang w:val="en-US" w:eastAsia="zh-CN"/>
                    </w:rPr>
                    <w:t>Y2</w:t>
                  </w:r>
                </w:p>
              </w:tc>
              <w:tc>
                <w:tcPr>
                  <w:tcW w:w="3662" w:type="pct"/>
                  <w:vMerge w:val="continue"/>
                  <w:vAlign w:val="center"/>
                </w:tcPr>
                <w:p w14:paraId="7E1AB64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b/>
                      <w:bCs/>
                      <w:color w:val="auto"/>
                      <w:sz w:val="21"/>
                      <w:szCs w:val="21"/>
                      <w:lang w:val="en-US" w:eastAsia="zh-CN"/>
                    </w:rPr>
                  </w:pPr>
                </w:p>
              </w:tc>
            </w:tr>
          </w:tbl>
          <w:p w14:paraId="5EB1911F">
            <w:pPr>
              <w:keepNext w:val="0"/>
              <w:keepLines w:val="0"/>
              <w:widowControl/>
              <w:suppressLineNumbers w:val="0"/>
              <w:ind w:left="0" w:leftChars="0" w:firstLine="0" w:firstLineChars="0"/>
              <w:jc w:val="left"/>
              <w:rPr>
                <w:rFonts w:hint="eastAsia" w:ascii="Times New Roman" w:hAnsi="Times New Roman" w:eastAsia="仿宋" w:cs="Times New Roman"/>
                <w:color w:val="auto"/>
                <w:kern w:val="0"/>
                <w:sz w:val="24"/>
                <w:szCs w:val="22"/>
                <w:highlight w:val="none"/>
                <w:lang w:val="en-US" w:eastAsia="zh-CN" w:bidi="ar-SA"/>
              </w:rPr>
            </w:pPr>
            <w:r>
              <w:rPr>
                <w:sz w:val="24"/>
              </w:rPr>
              <mc:AlternateContent>
                <mc:Choice Requires="wps">
                  <w:drawing>
                    <wp:anchor distT="0" distB="0" distL="114300" distR="114300" simplePos="0" relativeHeight="251697152" behindDoc="0" locked="0" layoutInCell="1" allowOverlap="1">
                      <wp:simplePos x="0" y="0"/>
                      <wp:positionH relativeFrom="column">
                        <wp:posOffset>1278255</wp:posOffset>
                      </wp:positionH>
                      <wp:positionV relativeFrom="paragraph">
                        <wp:posOffset>365125</wp:posOffset>
                      </wp:positionV>
                      <wp:extent cx="914400" cy="370205"/>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914400" cy="370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3B6348">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大气监测点A2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65pt;margin-top:28.75pt;height:29.15pt;width:72pt;z-index:251697152;mso-width-relative:page;mso-height-relative:page;" filled="f" stroked="f" coordsize="21600,21600" o:gfxdata="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dWf0doAAAAKAQAADwAAAAAAAAABACAAAAAiAAAAZHJz&#10;L2Rvd25yZXYueG1sUEsBAhQAFAAAAAgAh07iQF5Wmgs7AgAAZwQAAA4AAAAAAAAAAQAgAAAAKQEA&#10;AGRycy9lMm9Eb2MueG1sUEsFBgAAAAAGAAYAWQEAANYFAAAAAA==&#10;">
                      <v:fill on="f" focussize="0,0"/>
                      <v:stroke on="f" weight="0.5pt"/>
                      <v:imagedata o:title=""/>
                      <o:lock v:ext="edit" aspectratio="f"/>
                      <v:textbox>
                        <w:txbxContent>
                          <w:p w14:paraId="1A3B6348">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大气监测点A2</w:t>
                            </w:r>
                          </w:p>
                        </w:txbxContent>
                      </v:textbox>
                    </v:shape>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2159000</wp:posOffset>
                      </wp:positionH>
                      <wp:positionV relativeFrom="paragraph">
                        <wp:posOffset>354330</wp:posOffset>
                      </wp:positionV>
                      <wp:extent cx="914400" cy="370205"/>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914400" cy="370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C42653">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大气监测点A1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pt;margin-top:27.9pt;height:29.15pt;width:72pt;z-index:251696128;mso-width-relative:page;mso-height-relative:page;" filled="f" stroked="f" coordsize="21600,21600" o:gfxdata="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95ZjG9oAAAAKAQAADwAAAAAAAAABACAAAAAiAAAAZHJz&#10;L2Rvd25yZXYueG1sUEsBAhQAFAAAAAgAh07iQAQpWeM7AgAAZwQAAA4AAAAAAAAAAQAgAAAAKQEA&#10;AGRycy9lMm9Eb2MueG1sUEsFBgAAAAAGAAYAWQEAANYFAAAAAA==&#10;">
                      <v:fill on="f" focussize="0,0"/>
                      <v:stroke on="f" weight="0.5pt"/>
                      <v:imagedata o:title=""/>
                      <o:lock v:ext="edit" aspectratio="f"/>
                      <v:textbox>
                        <w:txbxContent>
                          <w:p w14:paraId="3BC42653">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大气监测点A1</w:t>
                            </w:r>
                          </w:p>
                        </w:txbxContent>
                      </v:textbox>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2256790</wp:posOffset>
                      </wp:positionH>
                      <wp:positionV relativeFrom="paragraph">
                        <wp:posOffset>525780</wp:posOffset>
                      </wp:positionV>
                      <wp:extent cx="102235" cy="81915"/>
                      <wp:effectExtent l="11430" t="12065" r="19685" b="20320"/>
                      <wp:wrapNone/>
                      <wp:docPr id="90" name="等腰三角形 90"/>
                      <wp:cNvGraphicFramePr/>
                      <a:graphic xmlns:a="http://schemas.openxmlformats.org/drawingml/2006/main">
                        <a:graphicData uri="http://schemas.microsoft.com/office/word/2010/wordprocessingShape">
                          <wps:wsp>
                            <wps:cNvSpPr/>
                            <wps:spPr>
                              <a:xfrm>
                                <a:off x="3691890" y="3281045"/>
                                <a:ext cx="102235" cy="81915"/>
                              </a:xfrm>
                              <a:prstGeom prst="triangle">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77.7pt;margin-top:41.4pt;height:6.45pt;width:8.05pt;z-index:251684864;v-text-anchor:middle;mso-width-relative:page;mso-height-relative:page;" fillcolor="#FFFFFF [3212]" filled="t" stroked="t" coordsize="21600,21600" o:gfxdata="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RqyPl2gAAAAkB&#10;AAAPAAAAAAAAAAEAIAAAACIAAABkcnMvZG93bnJldi54bWxQSwECFAAUAAAACACHTuJAThg8hosC&#10;AAANBQAADgAAAAAAAAABACAAAAApAQAAZHJzL2Uyb0RvYy54bWxQSwUGAAAAAAYABgBZAQAAJgYA&#10;AAAA&#10;" adj="10800">
                      <v:fill on="t" focussize="0,0"/>
                      <v:stroke weight="1pt" color="#FFFFFF [3212]" miterlimit="8" joinstyle="miter"/>
                      <v:imagedata o:title=""/>
                      <o:lock v:ext="edit" aspectratio="f"/>
                    </v:shap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1389380</wp:posOffset>
                      </wp:positionH>
                      <wp:positionV relativeFrom="paragraph">
                        <wp:posOffset>535940</wp:posOffset>
                      </wp:positionV>
                      <wp:extent cx="102235" cy="81915"/>
                      <wp:effectExtent l="11430" t="12065" r="19685" b="20320"/>
                      <wp:wrapNone/>
                      <wp:docPr id="91" name="等腰三角形 91"/>
                      <wp:cNvGraphicFramePr/>
                      <a:graphic xmlns:a="http://schemas.openxmlformats.org/drawingml/2006/main">
                        <a:graphicData uri="http://schemas.microsoft.com/office/word/2010/wordprocessingShape">
                          <wps:wsp>
                            <wps:cNvSpPr/>
                            <wps:spPr>
                              <a:xfrm>
                                <a:off x="0" y="0"/>
                                <a:ext cx="102235" cy="81915"/>
                              </a:xfrm>
                              <a:prstGeom prst="triangle">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09.4pt;margin-top:42.2pt;height:6.45pt;width:8.05pt;z-index:251695104;v-text-anchor:middle;mso-width-relative:page;mso-height-relative:page;" fillcolor="#FFFFFF [3212]" filled="t" stroked="t" coordsize="21600,21600" o:gfxdata="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NDnHcbaAAAACQEAAA8AAAAAAAAAAQAg&#10;AAAAIgAAAGRycy9kb3ducmV2LnhtbFBLAQIUABQAAAAIAIdO4kBu7QybfgIAAAEFAAAOAAAAAAAA&#10;AAEAIAAAACkBAABkcnMvZTJvRG9jLnhtbFBLBQYAAAAABgAGAFkBAAAZBgAAAAA=&#10;" adj="10800">
                      <v:fill on="t" focussize="0,0"/>
                      <v:stroke weight="1pt" color="#FFFFFF [3212]" miterlimit="8" joinstyle="miter"/>
                      <v:imagedata o:title=""/>
                      <o:lock v:ext="edit" aspectratio="f"/>
                    </v:shap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1570355</wp:posOffset>
                      </wp:positionH>
                      <wp:positionV relativeFrom="paragraph">
                        <wp:posOffset>744220</wp:posOffset>
                      </wp:positionV>
                      <wp:extent cx="1077595" cy="37020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1077595" cy="370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CF0E20">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水生生态调查点Y1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65pt;margin-top:58.6pt;height:29.15pt;width:84.85pt;z-index:251692032;mso-width-relative:page;mso-height-relative:page;" filled="f" stroked="f" coordsize="21600,21600" o:gfxdata="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2/VmzbAAAACwEAAA8AAAAAAAAAAQAgAAAAIgAA&#10;AGRycy9kb3ducmV2LnhtbFBLAQIUABQAAAAIAIdO4kBr2XuDPgIAAGgEAAAOAAAAAAAAAAEAIAAA&#10;ACoBAABkcnMvZTJvRG9jLnhtbFBLBQYAAAAABgAGAFkBAADaBQAAAAA=&#10;">
                      <v:fill on="f" focussize="0,0"/>
                      <v:stroke on="f" weight="0.5pt"/>
                      <v:imagedata o:title=""/>
                      <o:lock v:ext="edit" aspectratio="f"/>
                      <v:textbox>
                        <w:txbxContent>
                          <w:p w14:paraId="35CF0E20">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水生生态调查点Y1</w:t>
                            </w:r>
                          </w:p>
                        </w:txbxContent>
                      </v:textbox>
                    </v:shape>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1697355</wp:posOffset>
                      </wp:positionH>
                      <wp:positionV relativeFrom="paragraph">
                        <wp:posOffset>2133600</wp:posOffset>
                      </wp:positionV>
                      <wp:extent cx="75565" cy="75565"/>
                      <wp:effectExtent l="6350" t="6350" r="13335" b="13335"/>
                      <wp:wrapNone/>
                      <wp:docPr id="88" name="流程图: 联系 88"/>
                      <wp:cNvGraphicFramePr/>
                      <a:graphic xmlns:a="http://schemas.openxmlformats.org/drawingml/2006/main">
                        <a:graphicData uri="http://schemas.microsoft.com/office/word/2010/wordprocessingShape">
                          <wps:wsp>
                            <wps:cNvSpPr/>
                            <wps:spPr>
                              <a:xfrm>
                                <a:off x="0" y="0"/>
                                <a:ext cx="75565" cy="75565"/>
                              </a:xfrm>
                              <a:prstGeom prst="flowChartConnector">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0" type="#_x0000_t120" style="position:absolute;left:0pt;margin-left:133.65pt;margin-top:168pt;height:5.95pt;width:5.95pt;z-index:251694080;v-text-anchor:middle;mso-width-relative:page;mso-height-relative:page;" fillcolor="#FFFFFF [3212]" filled="t" stroked="t" coordsize="21600,21600" o:gfxdata="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PYhehLaAAAACwEAAA8AAAAAAAAA&#10;AQAgAAAAIgAAAGRycy9kb3ducmV2LnhtbFBLAQIUABQAAAAIAIdO4kDaGDb5gQIAAAwFAAAOAAAA&#10;AAAAAAEAIAAAACkBAABkcnMvZTJvRG9jLnhtbFBLBQYAAAAABgAGAFkBAAAcBgAAAAA=&#10;">
                      <v:fill on="t" focussize="0,0"/>
                      <v:stroke weight="1pt" color="#FFFFFF [3212]" miterlimit="8" joinstyle="miter"/>
                      <v:imagedata o:title=""/>
                      <o:lock v:ext="edit" aspectratio="f"/>
                    </v:shape>
                  </w:pict>
                </mc:Fallback>
              </mc:AlternateContent>
            </w:r>
            <w:r>
              <w:drawing>
                <wp:inline distT="0" distB="0" distL="114300" distR="114300">
                  <wp:extent cx="5609590" cy="2810510"/>
                  <wp:effectExtent l="0" t="0" r="10160" b="8890"/>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67"/>
                          <a:stretch>
                            <a:fillRect/>
                          </a:stretch>
                        </pic:blipFill>
                        <pic:spPr>
                          <a:xfrm>
                            <a:off x="0" y="0"/>
                            <a:ext cx="5609590" cy="2810510"/>
                          </a:xfrm>
                          <a:prstGeom prst="rect">
                            <a:avLst/>
                          </a:prstGeom>
                          <a:noFill/>
                          <a:ln>
                            <a:noFill/>
                          </a:ln>
                        </pic:spPr>
                      </pic:pic>
                    </a:graphicData>
                  </a:graphic>
                </wp:inline>
              </w:drawing>
            </w:r>
            <w:r>
              <w:rPr>
                <w:sz w:val="24"/>
              </w:rPr>
              <mc:AlternateContent>
                <mc:Choice Requires="wps">
                  <w:drawing>
                    <wp:anchor distT="0" distB="0" distL="114300" distR="114300" simplePos="0" relativeHeight="251693056" behindDoc="0" locked="0" layoutInCell="1" allowOverlap="1">
                      <wp:simplePos x="0" y="0"/>
                      <wp:positionH relativeFrom="column">
                        <wp:posOffset>1584325</wp:posOffset>
                      </wp:positionH>
                      <wp:positionV relativeFrom="paragraph">
                        <wp:posOffset>1962150</wp:posOffset>
                      </wp:positionV>
                      <wp:extent cx="1077595" cy="37020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077595" cy="370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81519B">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水生生态调查点Y2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75pt;margin-top:154.5pt;height:29.15pt;width:84.85pt;z-index:251693056;mso-width-relative:page;mso-height-relative:page;" filled="f" stroked="f" coordsize="21600,21600" o:gfxdata="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KpwAHcAAAACwEAAA8AAAAAAAAAAQAgAAAAIgAA&#10;AGRycy9kb3ducmV2LnhtbFBLAQIUABQAAAAIAIdO4kD+oi0IPQIAAGgEAAAOAAAAAAAAAAEAIAAA&#10;ACsBAABkcnMvZTJvRG9jLnhtbFBLBQYAAAAABgAGAFkBAADaBQAAAAA=&#10;">
                      <v:fill on="f" focussize="0,0"/>
                      <v:stroke on="f" weight="0.5pt"/>
                      <v:imagedata o:title=""/>
                      <o:lock v:ext="edit" aspectratio="f"/>
                      <v:textbox>
                        <w:txbxContent>
                          <w:p w14:paraId="5481519B">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水生生态调查点Y2</w:t>
                            </w:r>
                          </w:p>
                        </w:txbxContent>
                      </v:textbox>
                    </v:shape>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1681480</wp:posOffset>
                      </wp:positionH>
                      <wp:positionV relativeFrom="paragraph">
                        <wp:posOffset>912495</wp:posOffset>
                      </wp:positionV>
                      <wp:extent cx="75565" cy="75565"/>
                      <wp:effectExtent l="6350" t="6350" r="13335" b="13335"/>
                      <wp:wrapNone/>
                      <wp:docPr id="85" name="流程图: 联系 85"/>
                      <wp:cNvGraphicFramePr/>
                      <a:graphic xmlns:a="http://schemas.openxmlformats.org/drawingml/2006/main">
                        <a:graphicData uri="http://schemas.microsoft.com/office/word/2010/wordprocessingShape">
                          <wps:wsp>
                            <wps:cNvSpPr/>
                            <wps:spPr>
                              <a:xfrm>
                                <a:off x="3075940" y="2820035"/>
                                <a:ext cx="75565" cy="75565"/>
                              </a:xfrm>
                              <a:prstGeom prst="flowChartConnector">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0" type="#_x0000_t120" style="position:absolute;left:0pt;margin-left:132.4pt;margin-top:71.85pt;height:5.95pt;width:5.95pt;z-index:251691008;v-text-anchor:middle;mso-width-relative:page;mso-height-relative:page;" fillcolor="#FFFFFF [3212]" filled="t" stroked="t" coordsize="21600,21600" o:gfxdata="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e1A6V9kA&#10;AAALAQAADwAAAAAAAAABACAAAAAiAAAAZHJzL2Rvd25yZXYueG1sUEsBAhQAFAAAAAgAh07iQMEH&#10;mlKQAgAAGAUAAA4AAAAAAAAAAQAgAAAAKAEAAGRycy9lMm9Eb2MueG1sUEsFBgAAAAAGAAYAWQEA&#10;ACoGAAAAAA==&#10;">
                      <v:fill on="t" focussize="0,0"/>
                      <v:stroke weight="1pt" color="#FFFFFF [3212]" miterlimit="8" joinstyle="miter"/>
                      <v:imagedata o:title=""/>
                      <o:lock v:ext="edit" aspectratio="f"/>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1138555</wp:posOffset>
                      </wp:positionH>
                      <wp:positionV relativeFrom="paragraph">
                        <wp:posOffset>979170</wp:posOffset>
                      </wp:positionV>
                      <wp:extent cx="914400" cy="37020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914400" cy="370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B4CC58">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水质监测点W2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65pt;margin-top:77.1pt;height:29.15pt;width:72pt;z-index:251689984;mso-width-relative:page;mso-height-relative:page;" filled="f" stroked="f" coordsize="21600,21600" o:gfxdata="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1mtKitsAAAALAQAADwAAAAAAAAABACAAAAAiAAAAZHJz&#10;L2Rvd25yZXYueG1sUEsBAhQAFAAAAAgAh07iQI5bF3c6AgAAZwQAAA4AAAAAAAAAAQAgAAAAKgEA&#10;AGRycy9lMm9Eb2MueG1sUEsFBgAAAAAGAAYAWQEAANYFAAAAAA==&#10;">
                      <v:fill on="f" focussize="0,0"/>
                      <v:stroke on="f" weight="0.5pt"/>
                      <v:imagedata o:title=""/>
                      <o:lock v:ext="edit" aspectratio="f"/>
                      <v:textbox>
                        <w:txbxContent>
                          <w:p w14:paraId="59B4CC58">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水质监测点W2</w:t>
                            </w:r>
                          </w:p>
                        </w:txbxContent>
                      </v:textbox>
                    </v:shap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1685290</wp:posOffset>
                      </wp:positionH>
                      <wp:positionV relativeFrom="paragraph">
                        <wp:posOffset>495935</wp:posOffset>
                      </wp:positionV>
                      <wp:extent cx="914400" cy="37020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914400" cy="370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DD91B7">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水质监测点W1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7pt;margin-top:39.05pt;height:29.15pt;width:72pt;z-index:251688960;mso-width-relative:page;mso-height-relative:page;" filled="f" stroked="f" coordsize="21600,21600" o:gfxdata="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6Q38WNsAAAAKAQAADwAAAAAAAAABACAAAAAiAAAAZHJz&#10;L2Rvd25yZXYueG1sUEsBAhQAFAAAAAgAh07iQMstzIA6AgAAZwQAAA4AAAAAAAAAAQAgAAAAKgEA&#10;AGRycy9lMm9Eb2MueG1sUEsFBgAAAAAGAAYAWQEAANYFAAAAAA==&#10;">
                      <v:fill on="f" focussize="0,0"/>
                      <v:stroke on="f" weight="0.5pt"/>
                      <v:imagedata o:title=""/>
                      <o:lock v:ext="edit" aspectratio="f"/>
                      <v:textbox>
                        <w:txbxContent>
                          <w:p w14:paraId="08DD91B7">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水质监测点W1</w:t>
                            </w:r>
                          </w:p>
                        </w:txbxContent>
                      </v:textbox>
                    </v:shap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3154045</wp:posOffset>
                      </wp:positionH>
                      <wp:positionV relativeFrom="paragraph">
                        <wp:posOffset>498475</wp:posOffset>
                      </wp:positionV>
                      <wp:extent cx="914400" cy="370205"/>
                      <wp:effectExtent l="0" t="0" r="0" b="0"/>
                      <wp:wrapNone/>
                      <wp:docPr id="82" name="文本框 82"/>
                      <wp:cNvGraphicFramePr/>
                      <a:graphic xmlns:a="http://schemas.openxmlformats.org/drawingml/2006/main">
                        <a:graphicData uri="http://schemas.microsoft.com/office/word/2010/wordprocessingShape">
                          <wps:wsp>
                            <wps:cNvSpPr txBox="1"/>
                            <wps:spPr>
                              <a:xfrm>
                                <a:off x="4782185" y="2629535"/>
                                <a:ext cx="914400" cy="370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D2856F">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水质监测点W3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35pt;margin-top:39.25pt;height:29.15pt;width:72pt;z-index:251687936;mso-width-relative:page;mso-height-relative:page;" filled="f" stroked="f" coordsize="21600,21600" o:gfxdata="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KtQu/9sAAAAKAQAADwAAAAAA&#10;AAABACAAAAAiAAAAZHJzL2Rvd25yZXYueG1sUEsBAhQAFAAAAAgAh07iQMdbIrZJAgAAcwQAAA4A&#10;AAAAAAAAAQAgAAAAKgEAAGRycy9lMm9Eb2MueG1sUEsFBgAAAAAGAAYAWQEAAOUFAAAAAA==&#10;">
                      <v:fill on="f" focussize="0,0"/>
                      <v:stroke on="f" weight="0.5pt"/>
                      <v:imagedata o:title=""/>
                      <o:lock v:ext="edit" aspectratio="f"/>
                      <v:textbox>
                        <w:txbxContent>
                          <w:p w14:paraId="62D2856F">
                            <w:pPr>
                              <w:rPr>
                                <w:rFonts w:hint="default" w:eastAsiaTheme="minorEastAsia"/>
                                <w:color w:val="FFFFFF" w:themeColor="background1"/>
                                <w:sz w:val="11"/>
                                <w:szCs w:val="11"/>
                                <w:lang w:val="en-US" w:eastAsia="zh-CN"/>
                                <w14:textFill>
                                  <w14:solidFill>
                                    <w14:schemeClr w14:val="bg1"/>
                                  </w14:solidFill>
                                </w14:textFill>
                              </w:rPr>
                            </w:pPr>
                            <w:r>
                              <w:rPr>
                                <w:rFonts w:hint="eastAsia"/>
                                <w:color w:val="FFFFFF" w:themeColor="background1"/>
                                <w:sz w:val="11"/>
                                <w:szCs w:val="11"/>
                                <w:lang w:val="en-US" w:eastAsia="zh-CN"/>
                                <w14:textFill>
                                  <w14:solidFill>
                                    <w14:schemeClr w14:val="bg1"/>
                                  </w14:solidFill>
                                </w14:textFill>
                              </w:rPr>
                              <w:t>水质监测点W3</w:t>
                            </w:r>
                          </w:p>
                        </w:txbxContent>
                      </v:textbox>
                    </v:shape>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3239770</wp:posOffset>
                      </wp:positionH>
                      <wp:positionV relativeFrom="paragraph">
                        <wp:posOffset>648970</wp:posOffset>
                      </wp:positionV>
                      <wp:extent cx="115570" cy="108585"/>
                      <wp:effectExtent l="19685" t="20320" r="36195" b="23495"/>
                      <wp:wrapNone/>
                      <wp:docPr id="81" name="五角星 81"/>
                      <wp:cNvGraphicFramePr/>
                      <a:graphic xmlns:a="http://schemas.openxmlformats.org/drawingml/2006/main">
                        <a:graphicData uri="http://schemas.microsoft.com/office/word/2010/wordprocessingShape">
                          <wps:wsp>
                            <wps:cNvSpPr/>
                            <wps:spPr>
                              <a:xfrm>
                                <a:off x="0" y="0"/>
                                <a:ext cx="115570" cy="108585"/>
                              </a:xfrm>
                              <a:prstGeom prst="star5">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5.1pt;margin-top:51.1pt;height:8.55pt;width:9.1pt;z-index:251686912;v-text-anchor:middle;mso-width-relative:page;mso-height-relative:page;" fillcolor="#FFFFFF [3212]" filled="t" stroked="t" coordsize="115570,108585" o:gfxdata="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ZoXAVNgAAAALAQAADwAAAAAAAAABACAAAAAiAAAAZHJzL2Rvd25y&#10;ZXYueG1sUEsBAhQAFAAAAAgAh07iQGLWkV9wAgAA+QQAAA4AAAAAAAAAAQAgAAAAJwEAAGRycy9l&#10;Mm9Eb2MueG1sUEsFBgAAAAAGAAYAWQEAAAkGAAAAAA==&#10;" path="m0,41475l44144,41475,57785,0,71425,41475,115569,41475,79856,67108,93498,108584,57785,82950,22071,108584,35713,67108xe">
                      <v:path o:connectlocs="57785,0;0,41475;22071,108584;93498,108584;115569,41475" o:connectangles="247,164,82,82,0"/>
                      <v:fill on="t" focussize="0,0"/>
                      <v:stroke weight="1pt" color="#FFFFFF [3212]" miterlimit="8" joinstyle="miter"/>
                      <v:imagedata o:title=""/>
                      <o:lock v:ext="edit" aspectratio="f"/>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1211580</wp:posOffset>
                      </wp:positionH>
                      <wp:positionV relativeFrom="paragraph">
                        <wp:posOffset>1131570</wp:posOffset>
                      </wp:positionV>
                      <wp:extent cx="115570" cy="108585"/>
                      <wp:effectExtent l="19685" t="20320" r="36195" b="23495"/>
                      <wp:wrapNone/>
                      <wp:docPr id="80" name="五角星 80"/>
                      <wp:cNvGraphicFramePr/>
                      <a:graphic xmlns:a="http://schemas.openxmlformats.org/drawingml/2006/main">
                        <a:graphicData uri="http://schemas.microsoft.com/office/word/2010/wordprocessingShape">
                          <wps:wsp>
                            <wps:cNvSpPr/>
                            <wps:spPr>
                              <a:xfrm>
                                <a:off x="0" y="0"/>
                                <a:ext cx="115570" cy="108585"/>
                              </a:xfrm>
                              <a:prstGeom prst="star5">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95.4pt;margin-top:89.1pt;height:8.55pt;width:9.1pt;z-index:251685888;v-text-anchor:middle;mso-width-relative:page;mso-height-relative:page;" fillcolor="#FFFFFF [3212]" filled="t" stroked="t" coordsize="115570,108585" o:gfxdata="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PCXQPXAAAACwEAAA8AAAAAAAAAAQAgAAAAIgAAAGRycy9kb3ducmV2&#10;LnhtbFBLAQIUABQAAAAIAIdO4kD9oFZgbwIAAPkEAAAOAAAAAAAAAAEAIAAAACYBAABkcnMvZTJv&#10;RG9jLnhtbFBLBQYAAAAABgAGAFkBAAAHBgAAAAA=&#10;" path="m0,41475l44144,41475,57785,0,71425,41475,115569,41475,79856,67108,93498,108584,57785,82950,22071,108584,35713,67108xe">
                      <v:path o:connectlocs="57785,0;0,41475;22071,108584;93498,108584;115569,41475" o:connectangles="247,164,82,82,0"/>
                      <v:fill on="t" focussize="0,0"/>
                      <v:stroke weight="1pt" color="#FFFFFF [3212]" miterlimit="8" joinstyle="miter"/>
                      <v:imagedata o:title=""/>
                      <o:lock v:ext="edit" aspectratio="f"/>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1767205</wp:posOffset>
                      </wp:positionH>
                      <wp:positionV relativeFrom="paragraph">
                        <wp:posOffset>639445</wp:posOffset>
                      </wp:positionV>
                      <wp:extent cx="115570" cy="108585"/>
                      <wp:effectExtent l="19685" t="20320" r="36195" b="23495"/>
                      <wp:wrapNone/>
                      <wp:docPr id="79" name="五角星 79"/>
                      <wp:cNvGraphicFramePr/>
                      <a:graphic xmlns:a="http://schemas.openxmlformats.org/drawingml/2006/main">
                        <a:graphicData uri="http://schemas.microsoft.com/office/word/2010/wordprocessingShape">
                          <wps:wsp>
                            <wps:cNvSpPr/>
                            <wps:spPr>
                              <a:xfrm>
                                <a:off x="3678555" y="3024505"/>
                                <a:ext cx="115570" cy="108585"/>
                              </a:xfrm>
                              <a:prstGeom prst="star5">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9.15pt;margin-top:50.35pt;height:8.55pt;width:9.1pt;z-index:251684864;v-text-anchor:middle;mso-width-relative:page;mso-height-relative:page;" fillcolor="#FFFFFF [3212]" filled="t" stroked="t" coordsize="115570,108585" o:gfxdata="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Kx0m21wAAAAsBAAAPAAAAAAAAAAEAIAAA&#10;ACIAAABkcnMvZG93bnJldi54bWxQSwECFAAUAAAACACHTuJAs2P1HH8CAAAFBQAADgAAAAAAAAAB&#10;ACAAAAAmAQAAZHJzL2Uyb0RvYy54bWxQSwUGAAAAAAYABgBZAQAAFwYAAAAA&#10;" path="m0,41475l44144,41475,57785,0,71425,41475,115569,41475,79856,67108,93498,108584,57785,82950,22071,108584,35713,67108xe">
                      <v:path o:connectlocs="57785,0;0,41475;22071,108584;93498,108584;115569,41475" o:connectangles="247,164,82,82,0"/>
                      <v:fill on="t" focussize="0,0"/>
                      <v:stroke weight="1pt" color="#FFFFFF [3212]" miterlimit="8" joinstyle="miter"/>
                      <v:imagedata o:title=""/>
                      <o:lock v:ext="edit" aspectratio="f"/>
                    </v:shape>
                  </w:pict>
                </mc:Fallback>
              </mc:AlternateContent>
            </w:r>
            <w:r>
              <w:drawing>
                <wp:anchor distT="0" distB="0" distL="114300" distR="114300" simplePos="0" relativeHeight="251683840" behindDoc="0" locked="0" layoutInCell="1" allowOverlap="1">
                  <wp:simplePos x="0" y="0"/>
                  <wp:positionH relativeFrom="column">
                    <wp:posOffset>5078730</wp:posOffset>
                  </wp:positionH>
                  <wp:positionV relativeFrom="paragraph">
                    <wp:posOffset>72390</wp:posOffset>
                  </wp:positionV>
                  <wp:extent cx="516255" cy="567055"/>
                  <wp:effectExtent l="0" t="0" r="17145" b="4445"/>
                  <wp:wrapNone/>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r:embed="rId68"/>
                          <a:stretch>
                            <a:fillRect/>
                          </a:stretch>
                        </pic:blipFill>
                        <pic:spPr>
                          <a:xfrm>
                            <a:off x="0" y="0"/>
                            <a:ext cx="516255" cy="567055"/>
                          </a:xfrm>
                          <a:prstGeom prst="rect">
                            <a:avLst/>
                          </a:prstGeom>
                          <a:noFill/>
                          <a:ln>
                            <a:noFill/>
                          </a:ln>
                        </pic:spPr>
                      </pic:pic>
                    </a:graphicData>
                  </a:graphic>
                </wp:anchor>
              </w:drawing>
            </w:r>
          </w:p>
          <w:p w14:paraId="16E455AE">
            <w:pPr>
              <w:pStyle w:val="30"/>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仿宋" w:cs="Times New Roman"/>
                <w:b/>
                <w:bCs/>
                <w:color w:val="auto"/>
                <w:kern w:val="0"/>
                <w:sz w:val="24"/>
                <w:szCs w:val="22"/>
                <w:highlight w:val="none"/>
                <w:lang w:val="en-US" w:eastAsia="zh-CN" w:bidi="ar-SA"/>
              </w:rPr>
            </w:pPr>
            <w:r>
              <w:rPr>
                <w:rFonts w:hint="eastAsia" w:ascii="Times New Roman" w:hAnsi="Times New Roman" w:eastAsia="仿宋" w:cs="Times New Roman"/>
                <w:b/>
                <w:bCs/>
                <w:color w:val="auto"/>
                <w:kern w:val="0"/>
                <w:sz w:val="24"/>
                <w:szCs w:val="22"/>
                <w:highlight w:val="none"/>
                <w:lang w:val="en-US" w:eastAsia="zh-CN" w:bidi="ar-SA"/>
              </w:rPr>
              <w:t>图5-1 环境监测点位图</w:t>
            </w:r>
          </w:p>
          <w:p w14:paraId="339F5FDC">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4、</w:t>
            </w:r>
            <w:r>
              <w:rPr>
                <w:rFonts w:hint="eastAsia" w:ascii="Times New Roman" w:hAnsi="Times New Roman" w:eastAsia="仿宋" w:cs="Times New Roman"/>
                <w:color w:val="auto"/>
                <w:kern w:val="0"/>
                <w:sz w:val="24"/>
                <w:szCs w:val="22"/>
                <w:highlight w:val="none"/>
                <w:lang w:val="en-US" w:eastAsia="zh-CN" w:bidi="ar-SA"/>
              </w:rPr>
              <w:t>声环境质量监测</w:t>
            </w:r>
          </w:p>
          <w:p w14:paraId="1B306237">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（1）监测点位</w:t>
            </w:r>
          </w:p>
          <w:p w14:paraId="3B05ACA4">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施工场地厂界。</w:t>
            </w:r>
          </w:p>
          <w:p w14:paraId="259C650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（2）监测项目</w:t>
            </w:r>
          </w:p>
          <w:p w14:paraId="63155B3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等效A声级</w:t>
            </w:r>
            <w:r>
              <w:rPr>
                <w:rFonts w:hint="eastAsia" w:ascii="Times New Roman" w:hAnsi="Times New Roman" w:eastAsia="仿宋" w:cs="Times New Roman"/>
                <w:color w:val="auto"/>
                <w:kern w:val="0"/>
                <w:sz w:val="24"/>
                <w:szCs w:val="22"/>
                <w:highlight w:val="none"/>
                <w:lang w:val="en-US" w:eastAsia="zh-CN" w:bidi="ar-SA"/>
              </w:rPr>
              <w:t>。</w:t>
            </w:r>
          </w:p>
          <w:p w14:paraId="39F3E89A">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（3）监测时间及频次</w:t>
            </w:r>
          </w:p>
          <w:p w14:paraId="5F1B7D93">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施工期每季度监测1期，每期监测1天，每天昼夜各一次。</w:t>
            </w:r>
          </w:p>
          <w:p w14:paraId="1C1995D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5、</w:t>
            </w:r>
            <w:r>
              <w:rPr>
                <w:rFonts w:hint="eastAsia" w:ascii="Times New Roman" w:hAnsi="Times New Roman" w:eastAsia="仿宋" w:cs="Times New Roman"/>
                <w:color w:val="auto"/>
                <w:kern w:val="0"/>
                <w:sz w:val="24"/>
                <w:szCs w:val="22"/>
                <w:highlight w:val="none"/>
                <w:lang w:val="en-US" w:eastAsia="zh-CN" w:bidi="ar-SA"/>
              </w:rPr>
              <w:t>空气环境质量监测</w:t>
            </w:r>
          </w:p>
          <w:p w14:paraId="7B127EFA">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（1）监测点位</w:t>
            </w:r>
          </w:p>
          <w:p w14:paraId="3CAA45A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施工场地上风向1个，下风向</w:t>
            </w:r>
            <w:r>
              <w:rPr>
                <w:rFonts w:hint="eastAsia" w:eastAsia="仿宋" w:cs="Times New Roman"/>
                <w:color w:val="auto"/>
                <w:kern w:val="0"/>
                <w:sz w:val="24"/>
                <w:szCs w:val="22"/>
                <w:highlight w:val="none"/>
                <w:lang w:val="en-US" w:eastAsia="zh-CN" w:bidi="ar-SA"/>
              </w:rPr>
              <w:t>兼河海大学长荡湖校区敏感点</w:t>
            </w:r>
            <w:r>
              <w:rPr>
                <w:rFonts w:hint="eastAsia" w:ascii="Times New Roman" w:hAnsi="Times New Roman" w:eastAsia="仿宋" w:cs="Times New Roman"/>
                <w:color w:val="auto"/>
                <w:kern w:val="0"/>
                <w:sz w:val="24"/>
                <w:szCs w:val="22"/>
                <w:highlight w:val="none"/>
                <w:lang w:val="en-US" w:eastAsia="zh-CN" w:bidi="ar-SA"/>
              </w:rPr>
              <w:t>1个。</w:t>
            </w:r>
          </w:p>
          <w:p w14:paraId="04A713EB">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（2）监测项目</w:t>
            </w:r>
          </w:p>
          <w:p w14:paraId="0A455F84">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PM10、TSP。</w:t>
            </w:r>
          </w:p>
          <w:p w14:paraId="140D56F0">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（3）监测时间及频次</w:t>
            </w:r>
          </w:p>
          <w:p w14:paraId="1031663A">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施工期每季度监测1期，每期监测1天。</w:t>
            </w:r>
          </w:p>
          <w:p w14:paraId="77424424">
            <w:pPr>
              <w:keepNext w:val="0"/>
              <w:keepLines w:val="0"/>
              <w:widowControl/>
              <w:suppressLineNumbers w:val="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二、运营</w:t>
            </w:r>
            <w:r>
              <w:rPr>
                <w:rFonts w:hint="eastAsia" w:ascii="Times New Roman" w:hAnsi="Times New Roman" w:eastAsia="仿宋" w:cs="Times New Roman"/>
                <w:b/>
                <w:bCs/>
                <w:color w:val="auto"/>
                <w:kern w:val="0"/>
                <w:sz w:val="24"/>
                <w:szCs w:val="22"/>
                <w:highlight w:val="none"/>
                <w:lang w:val="en-US" w:eastAsia="zh-CN" w:bidi="ar-SA"/>
              </w:rPr>
              <w:t>期环境监测</w:t>
            </w:r>
          </w:p>
          <w:p w14:paraId="2D15FB66">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1、</w:t>
            </w:r>
            <w:r>
              <w:rPr>
                <w:rFonts w:hint="eastAsia" w:ascii="Times New Roman" w:hAnsi="Times New Roman" w:eastAsia="仿宋" w:cs="Times New Roman"/>
                <w:color w:val="auto"/>
                <w:kern w:val="0"/>
                <w:sz w:val="24"/>
                <w:szCs w:val="22"/>
                <w:highlight w:val="none"/>
                <w:lang w:val="en-US" w:eastAsia="zh-CN" w:bidi="ar-SA"/>
              </w:rPr>
              <w:t>地表水监测</w:t>
            </w:r>
          </w:p>
          <w:p w14:paraId="28659AE4">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（1）监测点位</w:t>
            </w:r>
          </w:p>
          <w:p w14:paraId="3ADBEEE2">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上游背景值W2</w:t>
            </w:r>
            <w:r>
              <w:rPr>
                <w:rFonts w:hint="eastAsia" w:ascii="Times New Roman" w:hAnsi="Times New Roman" w:eastAsia="仿宋" w:cs="Times New Roman"/>
                <w:color w:val="auto"/>
                <w:kern w:val="0"/>
                <w:sz w:val="24"/>
                <w:szCs w:val="22"/>
                <w:highlight w:val="none"/>
                <w:lang w:val="en-US" w:eastAsia="zh-CN" w:bidi="ar-SA"/>
              </w:rPr>
              <w:t>，施工区域</w:t>
            </w:r>
            <w:r>
              <w:rPr>
                <w:rFonts w:hint="eastAsia" w:eastAsia="仿宋" w:cs="Times New Roman"/>
                <w:color w:val="auto"/>
                <w:kern w:val="0"/>
                <w:sz w:val="24"/>
                <w:szCs w:val="22"/>
                <w:highlight w:val="none"/>
                <w:lang w:val="en-US" w:eastAsia="zh-CN" w:bidi="ar-SA"/>
              </w:rPr>
              <w:t>W1，</w:t>
            </w:r>
            <w:r>
              <w:rPr>
                <w:rFonts w:hint="eastAsia" w:ascii="Times New Roman" w:hAnsi="Times New Roman" w:eastAsia="仿宋" w:cs="Times New Roman"/>
                <w:color w:val="auto"/>
                <w:kern w:val="0"/>
                <w:sz w:val="24"/>
                <w:szCs w:val="22"/>
                <w:highlight w:val="none"/>
                <w:lang w:val="en-US" w:eastAsia="zh-CN" w:bidi="ar-SA"/>
              </w:rPr>
              <w:t>准保护区边界水面</w:t>
            </w:r>
            <w:r>
              <w:rPr>
                <w:rFonts w:hint="eastAsia" w:eastAsia="仿宋" w:cs="Times New Roman"/>
                <w:color w:val="auto"/>
                <w:kern w:val="0"/>
                <w:sz w:val="24"/>
                <w:szCs w:val="22"/>
                <w:highlight w:val="none"/>
                <w:lang w:val="en-US" w:eastAsia="zh-CN" w:bidi="ar-SA"/>
              </w:rPr>
              <w:t>W3</w:t>
            </w:r>
            <w:r>
              <w:rPr>
                <w:rFonts w:hint="eastAsia" w:ascii="Times New Roman" w:hAnsi="Times New Roman" w:eastAsia="仿宋" w:cs="Times New Roman"/>
                <w:color w:val="auto"/>
                <w:kern w:val="0"/>
                <w:sz w:val="24"/>
                <w:szCs w:val="22"/>
                <w:highlight w:val="none"/>
                <w:lang w:val="en-US" w:eastAsia="zh-CN" w:bidi="ar-SA"/>
              </w:rPr>
              <w:t>。</w:t>
            </w:r>
          </w:p>
          <w:p w14:paraId="56939213">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监测项目</w:t>
            </w:r>
          </w:p>
          <w:p w14:paraId="041FAE3E">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水位、水温、COD、SS、BOD</w:t>
            </w:r>
            <w:r>
              <w:rPr>
                <w:rFonts w:hint="eastAsia" w:ascii="Times New Roman" w:hAnsi="Times New Roman" w:eastAsia="仿宋" w:cs="Times New Roman"/>
                <w:color w:val="auto"/>
                <w:kern w:val="0"/>
                <w:sz w:val="24"/>
                <w:szCs w:val="22"/>
                <w:highlight w:val="none"/>
                <w:vertAlign w:val="subscript"/>
                <w:lang w:val="en-US" w:eastAsia="zh-CN" w:bidi="ar-SA"/>
              </w:rPr>
              <w:t>5</w:t>
            </w:r>
            <w:r>
              <w:rPr>
                <w:rFonts w:hint="eastAsia" w:ascii="Times New Roman" w:hAnsi="Times New Roman" w:eastAsia="仿宋" w:cs="Times New Roman"/>
                <w:color w:val="auto"/>
                <w:kern w:val="0"/>
                <w:sz w:val="24"/>
                <w:szCs w:val="22"/>
                <w:highlight w:val="none"/>
                <w:lang w:val="en-US" w:eastAsia="zh-CN" w:bidi="ar-SA"/>
              </w:rPr>
              <w:t>、氨氮、总磷、总氮、石油类。</w:t>
            </w:r>
          </w:p>
          <w:p w14:paraId="5C62513B">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监测时间及频次</w:t>
            </w:r>
          </w:p>
          <w:p w14:paraId="158019B3">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每</w:t>
            </w:r>
            <w:r>
              <w:rPr>
                <w:rFonts w:hint="eastAsia" w:eastAsia="仿宋" w:cs="Times New Roman"/>
                <w:color w:val="auto"/>
                <w:kern w:val="0"/>
                <w:sz w:val="24"/>
                <w:szCs w:val="22"/>
                <w:highlight w:val="none"/>
                <w:lang w:val="en-US" w:eastAsia="zh-CN" w:bidi="ar-SA"/>
              </w:rPr>
              <w:t>年</w:t>
            </w:r>
            <w:r>
              <w:rPr>
                <w:rFonts w:hint="eastAsia" w:ascii="Times New Roman" w:hAnsi="Times New Roman" w:eastAsia="仿宋" w:cs="Times New Roman"/>
                <w:color w:val="auto"/>
                <w:kern w:val="0"/>
                <w:sz w:val="24"/>
                <w:szCs w:val="22"/>
                <w:highlight w:val="none"/>
                <w:lang w:val="en-US" w:eastAsia="zh-CN" w:bidi="ar-SA"/>
              </w:rPr>
              <w:t>检测1期，每期监测1天，一天一次。</w:t>
            </w:r>
          </w:p>
          <w:p w14:paraId="02F18DCA">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2、</w:t>
            </w:r>
            <w:r>
              <w:rPr>
                <w:rFonts w:hint="eastAsia" w:ascii="Times New Roman" w:hAnsi="Times New Roman" w:eastAsia="仿宋" w:cs="Times New Roman"/>
                <w:color w:val="auto"/>
                <w:kern w:val="0"/>
                <w:sz w:val="24"/>
                <w:szCs w:val="22"/>
                <w:highlight w:val="none"/>
                <w:lang w:val="en-US" w:eastAsia="zh-CN" w:bidi="ar-SA"/>
              </w:rPr>
              <w:t>生态监测</w:t>
            </w:r>
          </w:p>
          <w:p w14:paraId="33AC8BF8">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①</w:t>
            </w:r>
            <w:r>
              <w:rPr>
                <w:rFonts w:hint="eastAsia" w:ascii="Times New Roman" w:hAnsi="Times New Roman" w:eastAsia="仿宋" w:cs="Times New Roman"/>
                <w:color w:val="auto"/>
                <w:kern w:val="0"/>
                <w:sz w:val="24"/>
                <w:szCs w:val="22"/>
                <w:highlight w:val="none"/>
                <w:lang w:val="en-US" w:eastAsia="zh-CN" w:bidi="ar-SA"/>
              </w:rPr>
              <w:t>陆生生态</w:t>
            </w:r>
          </w:p>
          <w:p w14:paraId="0739B402">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（1）监测点位</w:t>
            </w:r>
          </w:p>
          <w:p w14:paraId="033E3BCD">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陆上施工区及临时堆场、弃土场区域</w:t>
            </w:r>
          </w:p>
          <w:p w14:paraId="27A1512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（2）监测项目</w:t>
            </w:r>
          </w:p>
          <w:p w14:paraId="12C87584">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植被恢复、生长情况。</w:t>
            </w:r>
          </w:p>
          <w:p w14:paraId="1D087A8C">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（3）监测时间及频次</w:t>
            </w:r>
          </w:p>
          <w:p w14:paraId="6D2CB29E">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每季度</w:t>
            </w:r>
            <w:r>
              <w:rPr>
                <w:rFonts w:hint="eastAsia" w:eastAsia="仿宋" w:cs="Times New Roman"/>
                <w:color w:val="auto"/>
                <w:kern w:val="0"/>
                <w:sz w:val="24"/>
                <w:szCs w:val="22"/>
                <w:highlight w:val="none"/>
                <w:lang w:val="en-US" w:eastAsia="zh-CN" w:bidi="ar-SA"/>
              </w:rPr>
              <w:t>监测1期，每期</w:t>
            </w:r>
            <w:r>
              <w:rPr>
                <w:rFonts w:hint="eastAsia" w:ascii="Times New Roman" w:hAnsi="Times New Roman" w:eastAsia="仿宋" w:cs="Times New Roman"/>
                <w:color w:val="auto"/>
                <w:kern w:val="0"/>
                <w:sz w:val="24"/>
                <w:szCs w:val="22"/>
                <w:highlight w:val="none"/>
                <w:lang w:val="en-US" w:eastAsia="zh-CN" w:bidi="ar-SA"/>
              </w:rPr>
              <w:t>1次，每次连续监测1天</w:t>
            </w:r>
          </w:p>
          <w:p w14:paraId="0598C3C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default" w:ascii="Times New Roman" w:hAnsi="Times New Roman" w:eastAsia="仿宋" w:cs="Times New Roman"/>
                <w:color w:val="auto"/>
                <w:kern w:val="0"/>
                <w:sz w:val="24"/>
                <w:szCs w:val="22"/>
                <w:highlight w:val="none"/>
                <w:lang w:val="en-US" w:eastAsia="zh-CN" w:bidi="ar-SA"/>
              </w:rPr>
              <w:t>②</w:t>
            </w:r>
            <w:r>
              <w:rPr>
                <w:rFonts w:hint="eastAsia" w:ascii="Times New Roman" w:hAnsi="Times New Roman" w:eastAsia="仿宋" w:cs="Times New Roman"/>
                <w:color w:val="auto"/>
                <w:kern w:val="0"/>
                <w:sz w:val="24"/>
                <w:szCs w:val="22"/>
                <w:highlight w:val="none"/>
                <w:lang w:val="en-US" w:eastAsia="zh-CN" w:bidi="ar-SA"/>
              </w:rPr>
              <w:t>水生生态</w:t>
            </w:r>
          </w:p>
          <w:p w14:paraId="5E831AFD">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（1）监测区域</w:t>
            </w:r>
          </w:p>
          <w:p w14:paraId="4C6B4E02">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eastAsia="仿宋" w:cs="Times New Roman"/>
                <w:color w:val="auto"/>
                <w:kern w:val="0"/>
                <w:sz w:val="24"/>
                <w:szCs w:val="22"/>
                <w:highlight w:val="none"/>
                <w:lang w:val="en-US" w:eastAsia="zh-CN" w:bidi="ar-SA"/>
              </w:rPr>
              <w:t>干法</w:t>
            </w:r>
            <w:r>
              <w:rPr>
                <w:rFonts w:hint="eastAsia" w:ascii="Times New Roman" w:hAnsi="Times New Roman" w:eastAsia="仿宋" w:cs="Times New Roman"/>
                <w:color w:val="auto"/>
                <w:kern w:val="0"/>
                <w:sz w:val="24"/>
                <w:szCs w:val="22"/>
                <w:highlight w:val="none"/>
                <w:lang w:val="en-US" w:eastAsia="zh-CN" w:bidi="ar-SA"/>
              </w:rPr>
              <w:t>施工区域及湖心。</w:t>
            </w:r>
          </w:p>
          <w:p w14:paraId="0EFE1761">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（2）监测内容</w:t>
            </w:r>
          </w:p>
          <w:p w14:paraId="7385A262">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鱼类组成变化、资源量变动；浮游植物、浮游动物、底栖生物和渔业资源。</w:t>
            </w:r>
          </w:p>
          <w:p w14:paraId="6F4CCAE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（3）监测时间与频次</w:t>
            </w:r>
          </w:p>
          <w:p w14:paraId="3E51A04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每年监测2次，每年3~5月1次，9~10月1次。</w:t>
            </w:r>
          </w:p>
          <w:p w14:paraId="2464154D">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（4）监测布点</w:t>
            </w:r>
          </w:p>
          <w:p w14:paraId="6C61016A">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共布设</w:t>
            </w:r>
            <w:r>
              <w:rPr>
                <w:rFonts w:hint="eastAsia" w:eastAsia="仿宋" w:cs="Times New Roman"/>
                <w:color w:val="auto"/>
                <w:kern w:val="0"/>
                <w:sz w:val="24"/>
                <w:szCs w:val="22"/>
                <w:highlight w:val="none"/>
                <w:lang w:val="en-US" w:eastAsia="zh-CN" w:bidi="ar-SA"/>
              </w:rPr>
              <w:t>2监测点</w:t>
            </w:r>
            <w:r>
              <w:rPr>
                <w:rFonts w:hint="eastAsia" w:ascii="Times New Roman" w:hAnsi="Times New Roman" w:eastAsia="仿宋" w:cs="Times New Roman"/>
                <w:color w:val="auto"/>
                <w:kern w:val="0"/>
                <w:sz w:val="24"/>
                <w:szCs w:val="22"/>
                <w:highlight w:val="none"/>
                <w:lang w:val="en-US" w:eastAsia="zh-CN" w:bidi="ar-SA"/>
              </w:rPr>
              <w:t>。布点原则见表</w:t>
            </w:r>
            <w:r>
              <w:rPr>
                <w:rFonts w:hint="eastAsia" w:eastAsia="仿宋" w:cs="Times New Roman"/>
                <w:color w:val="auto"/>
                <w:kern w:val="0"/>
                <w:sz w:val="24"/>
                <w:szCs w:val="22"/>
                <w:highlight w:val="none"/>
                <w:lang w:val="en-US" w:eastAsia="zh-CN" w:bidi="ar-SA"/>
              </w:rPr>
              <w:t>5</w:t>
            </w:r>
            <w:r>
              <w:rPr>
                <w:rFonts w:hint="eastAsia" w:ascii="Times New Roman" w:hAnsi="Times New Roman" w:eastAsia="仿宋" w:cs="Times New Roman"/>
                <w:color w:val="auto"/>
                <w:kern w:val="0"/>
                <w:sz w:val="24"/>
                <w:szCs w:val="22"/>
                <w:highlight w:val="none"/>
                <w:lang w:val="en-US" w:eastAsia="zh-CN" w:bidi="ar-SA"/>
              </w:rPr>
              <w:t>-2。</w:t>
            </w:r>
          </w:p>
          <w:p w14:paraId="33DDE31F">
            <w:pPr>
              <w:keepNext w:val="0"/>
              <w:keepLines w:val="0"/>
              <w:widowControl/>
              <w:suppressLineNumbers w:val="0"/>
              <w:jc w:val="left"/>
              <w:rPr>
                <w:rFonts w:hint="eastAsia" w:ascii="Times New Roman" w:hAnsi="Times New Roman" w:eastAsia="仿宋" w:cs="Times New Roman"/>
                <w:b/>
                <w:bCs/>
                <w:color w:val="auto"/>
                <w:kern w:val="0"/>
                <w:sz w:val="24"/>
                <w:szCs w:val="22"/>
                <w:highlight w:val="none"/>
                <w:lang w:val="en-US" w:eastAsia="zh-CN" w:bidi="ar-SA"/>
              </w:rPr>
            </w:pPr>
            <w:r>
              <w:rPr>
                <w:rFonts w:hint="eastAsia" w:eastAsia="仿宋" w:cs="Times New Roman"/>
                <w:b/>
                <w:bCs/>
                <w:color w:val="auto"/>
                <w:kern w:val="0"/>
                <w:sz w:val="24"/>
                <w:szCs w:val="22"/>
                <w:highlight w:val="none"/>
                <w:lang w:val="en-US" w:eastAsia="zh-CN" w:bidi="ar-SA"/>
              </w:rPr>
              <w:t>3、</w:t>
            </w:r>
            <w:r>
              <w:rPr>
                <w:rFonts w:hint="eastAsia" w:ascii="Times New Roman" w:hAnsi="Times New Roman" w:eastAsia="仿宋" w:cs="Times New Roman"/>
                <w:b/>
                <w:bCs/>
                <w:color w:val="auto"/>
                <w:kern w:val="0"/>
                <w:sz w:val="24"/>
                <w:szCs w:val="22"/>
                <w:highlight w:val="none"/>
                <w:lang w:val="en-US" w:eastAsia="zh-CN" w:bidi="ar-SA"/>
              </w:rPr>
              <w:t>监测数据的整理、审查及存档</w:t>
            </w:r>
          </w:p>
          <w:p w14:paraId="7DA56465">
            <w:pPr>
              <w:keepNext w:val="0"/>
              <w:keepLines w:val="0"/>
              <w:widowControl/>
              <w:suppressLineNumbers w:val="0"/>
              <w:jc w:val="left"/>
              <w:rPr>
                <w:rFonts w:hint="eastAsia" w:ascii="Times New Roman" w:hAnsi="Times New Roman" w:eastAsia="仿宋" w:cs="Times New Roman"/>
                <w:color w:val="auto"/>
                <w:kern w:val="0"/>
                <w:sz w:val="24"/>
                <w:szCs w:val="22"/>
                <w:highlight w:val="none"/>
                <w:lang w:val="en-US" w:eastAsia="zh-CN" w:bidi="ar-SA"/>
              </w:rPr>
            </w:pPr>
            <w:r>
              <w:rPr>
                <w:rFonts w:hint="eastAsia" w:ascii="Times New Roman" w:hAnsi="Times New Roman" w:eastAsia="仿宋" w:cs="Times New Roman"/>
                <w:color w:val="auto"/>
                <w:kern w:val="0"/>
                <w:sz w:val="24"/>
                <w:szCs w:val="22"/>
                <w:highlight w:val="none"/>
                <w:lang w:val="en-US" w:eastAsia="zh-CN" w:bidi="ar-SA"/>
              </w:rPr>
              <w:t>每年由负责环境保护工作的人员，将当年所有环境监测资料进行归纳整理和评价，然后送分管环保的领导审查，上报当地政府环境管理部门，以便上级检查和作为今后改善环境管理工作的基础资料。</w:t>
            </w:r>
          </w:p>
          <w:p w14:paraId="455BB120">
            <w:pPr>
              <w:pStyle w:val="2"/>
              <w:rPr>
                <w:rFonts w:hint="default"/>
                <w:lang w:val="en-US" w:eastAsia="zh-CN"/>
              </w:rPr>
            </w:pPr>
          </w:p>
        </w:tc>
      </w:tr>
      <w:tr w14:paraId="36CF59CC">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rPr>
          <w:trHeight w:val="10952" w:hRule="atLeast"/>
        </w:trPr>
        <w:tc>
          <w:tcPr>
            <w:tcW w:w="426" w:type="dxa"/>
            <w:tcBorders>
              <w:top w:val="single" w:color="auto" w:sz="4" w:space="0"/>
            </w:tcBorders>
            <w:vAlign w:val="center"/>
          </w:tcPr>
          <w:p w14:paraId="31349D29">
            <w:pPr>
              <w:pStyle w:val="30"/>
              <w:jc w:val="center"/>
              <w:rPr>
                <w:rFonts w:hint="default" w:ascii="仿宋" w:hAnsi="仿宋" w:eastAsia="仿宋" w:cs="仿宋"/>
                <w:color w:val="auto"/>
                <w:sz w:val="21"/>
                <w:szCs w:val="21"/>
                <w:highlight w:val="none"/>
                <w:vertAlign w:val="baseline"/>
                <w:lang w:val="en-US" w:eastAsia="zh-CN"/>
              </w:rPr>
            </w:pPr>
            <w:r>
              <w:rPr>
                <w:rFonts w:hint="eastAsia" w:ascii="仿宋" w:hAnsi="仿宋" w:eastAsia="仿宋" w:cs="仿宋"/>
                <w:color w:val="auto"/>
                <w:sz w:val="21"/>
                <w:szCs w:val="21"/>
                <w:highlight w:val="none"/>
                <w:vertAlign w:val="baseline"/>
                <w:lang w:val="en-US" w:eastAsia="zh-CN"/>
              </w:rPr>
              <w:t>环保投资</w:t>
            </w:r>
          </w:p>
        </w:tc>
        <w:tc>
          <w:tcPr>
            <w:tcW w:w="8524" w:type="dxa"/>
            <w:tcBorders>
              <w:top w:val="single" w:color="auto" w:sz="4" w:space="0"/>
            </w:tcBorders>
            <w:vAlign w:val="top"/>
          </w:tcPr>
          <w:p w14:paraId="429F3BC4">
            <w:pPr>
              <w:keepNext w:val="0"/>
              <w:keepLines w:val="0"/>
              <w:pageBreakBefore w:val="0"/>
              <w:widowControl w:val="0"/>
              <w:numPr>
                <w:ilvl w:val="0"/>
                <w:numId w:val="0"/>
              </w:numPr>
              <w:suppressLineNumbers w:val="0"/>
              <w:tabs>
                <w:tab w:val="left" w:pos="6030"/>
              </w:tabs>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left"/>
              <w:textAlignment w:val="auto"/>
              <w:rPr>
                <w:rFonts w:hint="eastAsia" w:ascii="Times New Roman" w:hAnsi="Times New Roman" w:eastAsia="仿宋" w:cs="Times New Roman"/>
                <w:b w:val="0"/>
                <w:bCs w:val="0"/>
                <w:color w:val="auto"/>
                <w:kern w:val="0"/>
                <w:sz w:val="24"/>
                <w:szCs w:val="22"/>
                <w:highlight w:val="none"/>
                <w:lang w:val="en-US" w:eastAsia="zh-CN" w:bidi="ar-SA"/>
              </w:rPr>
            </w:pPr>
            <w:r>
              <w:rPr>
                <w:rFonts w:hint="eastAsia" w:ascii="Times New Roman" w:hAnsi="Times New Roman" w:eastAsia="仿宋" w:cs="Times New Roman"/>
                <w:b w:val="0"/>
                <w:bCs w:val="0"/>
                <w:color w:val="auto"/>
                <w:kern w:val="0"/>
                <w:sz w:val="24"/>
                <w:szCs w:val="22"/>
                <w:highlight w:val="none"/>
                <w:lang w:val="en-US" w:eastAsia="zh-CN" w:bidi="ar-SA"/>
              </w:rPr>
              <w:t>本项目总投资60</w:t>
            </w:r>
            <w:r>
              <w:rPr>
                <w:rFonts w:hint="eastAsia" w:eastAsia="仿宋" w:cs="Times New Roman"/>
                <w:b w:val="0"/>
                <w:bCs w:val="0"/>
                <w:color w:val="auto"/>
                <w:kern w:val="0"/>
                <w:sz w:val="24"/>
                <w:szCs w:val="22"/>
                <w:highlight w:val="none"/>
                <w:lang w:val="en-US" w:eastAsia="zh-CN" w:bidi="ar-SA"/>
              </w:rPr>
              <w:t>0</w:t>
            </w:r>
            <w:r>
              <w:rPr>
                <w:rFonts w:hint="eastAsia" w:ascii="Times New Roman" w:hAnsi="Times New Roman" w:eastAsia="仿宋" w:cs="Times New Roman"/>
                <w:b w:val="0"/>
                <w:bCs w:val="0"/>
                <w:color w:val="auto"/>
                <w:kern w:val="0"/>
                <w:sz w:val="24"/>
                <w:szCs w:val="22"/>
                <w:highlight w:val="none"/>
                <w:lang w:val="en-US" w:eastAsia="zh-CN" w:bidi="ar-SA"/>
              </w:rPr>
              <w:t>0万元，本项目环保投资约</w:t>
            </w:r>
            <w:r>
              <w:rPr>
                <w:rFonts w:hint="eastAsia" w:eastAsia="仿宋" w:cs="Times New Roman"/>
                <w:b w:val="0"/>
                <w:bCs w:val="0"/>
                <w:color w:val="auto"/>
                <w:kern w:val="0"/>
                <w:sz w:val="24"/>
                <w:szCs w:val="22"/>
                <w:highlight w:val="none"/>
                <w:lang w:val="en-US" w:eastAsia="zh-CN" w:bidi="ar-SA"/>
              </w:rPr>
              <w:t>66</w:t>
            </w:r>
            <w:r>
              <w:rPr>
                <w:rFonts w:hint="eastAsia" w:ascii="Times New Roman" w:hAnsi="Times New Roman" w:eastAsia="仿宋" w:cs="Times New Roman"/>
                <w:b w:val="0"/>
                <w:bCs w:val="0"/>
                <w:color w:val="auto"/>
                <w:kern w:val="0"/>
                <w:sz w:val="24"/>
                <w:szCs w:val="22"/>
                <w:highlight w:val="none"/>
                <w:lang w:val="en-US" w:eastAsia="zh-CN" w:bidi="ar-SA"/>
              </w:rPr>
              <w:t>万元，建设相应的环保处理措施，减少对周边环境的污染。具体环保设施及投资情况见表5-</w:t>
            </w:r>
            <w:r>
              <w:rPr>
                <w:rFonts w:hint="eastAsia" w:eastAsia="仿宋" w:cs="Times New Roman"/>
                <w:b w:val="0"/>
                <w:bCs w:val="0"/>
                <w:color w:val="auto"/>
                <w:kern w:val="0"/>
                <w:sz w:val="24"/>
                <w:szCs w:val="22"/>
                <w:highlight w:val="none"/>
                <w:lang w:val="en-US" w:eastAsia="zh-CN" w:bidi="ar-SA"/>
              </w:rPr>
              <w:t>3</w:t>
            </w:r>
            <w:r>
              <w:rPr>
                <w:rFonts w:hint="eastAsia" w:ascii="Times New Roman" w:hAnsi="Times New Roman" w:eastAsia="仿宋" w:cs="Times New Roman"/>
                <w:b w:val="0"/>
                <w:bCs w:val="0"/>
                <w:color w:val="auto"/>
                <w:kern w:val="0"/>
                <w:sz w:val="24"/>
                <w:szCs w:val="22"/>
                <w:highlight w:val="none"/>
                <w:lang w:val="en-US" w:eastAsia="zh-CN" w:bidi="ar-SA"/>
              </w:rPr>
              <w:t>。</w:t>
            </w:r>
          </w:p>
          <w:p w14:paraId="7195B637">
            <w:pPr>
              <w:pStyle w:val="30"/>
              <w:keepNext w:val="0"/>
              <w:keepLines w:val="0"/>
              <w:suppressLineNumbers w:val="0"/>
              <w:spacing w:before="0" w:beforeAutospacing="0" w:after="0" w:afterAutospacing="0"/>
              <w:ind w:left="0" w:right="0"/>
              <w:jc w:val="center"/>
              <w:rPr>
                <w:rFonts w:hint="default" w:ascii="Times New Roman" w:hAnsi="Times New Roman" w:eastAsia="仿宋" w:cs="Times New Roman"/>
                <w:b/>
                <w:color w:val="auto"/>
                <w:spacing w:val="10"/>
                <w:kern w:val="2"/>
                <w:sz w:val="24"/>
                <w:szCs w:val="24"/>
              </w:rPr>
            </w:pPr>
            <w:r>
              <w:rPr>
                <w:rFonts w:hint="default" w:ascii="Times New Roman" w:hAnsi="Times New Roman" w:eastAsia="仿宋" w:cs="Times New Roman"/>
                <w:b/>
                <w:color w:val="auto"/>
                <w:spacing w:val="10"/>
                <w:kern w:val="2"/>
                <w:sz w:val="24"/>
                <w:szCs w:val="24"/>
              </w:rPr>
              <w:t>表5-</w:t>
            </w:r>
            <w:r>
              <w:rPr>
                <w:rFonts w:hint="eastAsia" w:ascii="Times New Roman" w:hAnsi="Times New Roman" w:eastAsia="仿宋" w:cs="Times New Roman"/>
                <w:b/>
                <w:color w:val="auto"/>
                <w:spacing w:val="10"/>
                <w:kern w:val="2"/>
                <w:sz w:val="24"/>
                <w:szCs w:val="24"/>
                <w:lang w:val="en-US" w:eastAsia="zh-CN"/>
              </w:rPr>
              <w:t xml:space="preserve">3 </w:t>
            </w:r>
            <w:r>
              <w:rPr>
                <w:rFonts w:hint="default" w:ascii="Times New Roman" w:hAnsi="Times New Roman" w:eastAsia="仿宋" w:cs="Times New Roman"/>
                <w:b/>
                <w:color w:val="auto"/>
                <w:spacing w:val="10"/>
                <w:kern w:val="2"/>
                <w:sz w:val="24"/>
                <w:szCs w:val="24"/>
              </w:rPr>
              <w:t>环保投资一览表</w:t>
            </w:r>
          </w:p>
          <w:tbl>
            <w:tblPr>
              <w:tblStyle w:val="23"/>
              <w:tblW w:w="82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94"/>
              <w:gridCol w:w="887"/>
              <w:gridCol w:w="1309"/>
              <w:gridCol w:w="4254"/>
              <w:gridCol w:w="1184"/>
            </w:tblGrid>
            <w:tr w14:paraId="15F6CA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Align w:val="center"/>
                </w:tcPr>
                <w:p w14:paraId="159191C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治理项目</w:t>
                  </w:r>
                </w:p>
              </w:tc>
              <w:tc>
                <w:tcPr>
                  <w:tcW w:w="2196" w:type="dxa"/>
                  <w:gridSpan w:val="2"/>
                  <w:vAlign w:val="center"/>
                </w:tcPr>
                <w:p w14:paraId="1A0E91C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治理对象</w:t>
                  </w:r>
                </w:p>
              </w:tc>
              <w:tc>
                <w:tcPr>
                  <w:tcW w:w="4254" w:type="dxa"/>
                  <w:vAlign w:val="center"/>
                </w:tcPr>
                <w:p w14:paraId="59D692A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治理措施</w:t>
                  </w:r>
                </w:p>
              </w:tc>
              <w:tc>
                <w:tcPr>
                  <w:tcW w:w="1184" w:type="dxa"/>
                  <w:vAlign w:val="center"/>
                </w:tcPr>
                <w:p w14:paraId="546F2484">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b/>
                      <w:bCs/>
                      <w:color w:val="auto"/>
                      <w:sz w:val="21"/>
                      <w:szCs w:val="21"/>
                    </w:rPr>
                  </w:pPr>
                  <w:r>
                    <w:rPr>
                      <w:rFonts w:hint="eastAsia" w:eastAsia="仿宋" w:cs="Times New Roman"/>
                      <w:b/>
                      <w:bCs/>
                      <w:color w:val="auto"/>
                      <w:sz w:val="21"/>
                      <w:szCs w:val="21"/>
                      <w:lang w:val="en-US" w:eastAsia="zh-CN"/>
                    </w:rPr>
                    <w:t>预计</w:t>
                  </w:r>
                  <w:r>
                    <w:rPr>
                      <w:rFonts w:hint="default" w:ascii="Times New Roman" w:hAnsi="Times New Roman" w:eastAsia="仿宋" w:cs="Times New Roman"/>
                      <w:b/>
                      <w:bCs/>
                      <w:color w:val="auto"/>
                      <w:sz w:val="21"/>
                      <w:szCs w:val="21"/>
                    </w:rPr>
                    <w:t>投资（万元）</w:t>
                  </w:r>
                </w:p>
              </w:tc>
            </w:tr>
            <w:tr w14:paraId="298E2D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restart"/>
                  <w:vAlign w:val="center"/>
                </w:tcPr>
                <w:p w14:paraId="007A7DD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废气</w:t>
                  </w:r>
                </w:p>
              </w:tc>
              <w:tc>
                <w:tcPr>
                  <w:tcW w:w="887" w:type="dxa"/>
                  <w:vAlign w:val="center"/>
                </w:tcPr>
                <w:p w14:paraId="5FAE5B9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施工期</w:t>
                  </w:r>
                </w:p>
              </w:tc>
              <w:tc>
                <w:tcPr>
                  <w:tcW w:w="1309" w:type="dxa"/>
                  <w:vAlign w:val="center"/>
                </w:tcPr>
                <w:p w14:paraId="259E13C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施工扬尘</w:t>
                  </w:r>
                </w:p>
              </w:tc>
              <w:tc>
                <w:tcPr>
                  <w:tcW w:w="4254" w:type="dxa"/>
                  <w:vAlign w:val="center"/>
                </w:tcPr>
                <w:p w14:paraId="3A9B6C4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rPr>
                  </w:pPr>
                  <w:r>
                    <w:rPr>
                      <w:rFonts w:hint="default" w:ascii="Times New Roman" w:hAnsi="Times New Roman" w:eastAsia="仿宋" w:cs="Times New Roman"/>
                      <w:color w:val="auto"/>
                      <w:sz w:val="21"/>
                      <w:szCs w:val="21"/>
                    </w:rPr>
                    <w:t>对施工现场和道路进行定期洒水，保持地面湿度</w:t>
                  </w:r>
                  <w:r>
                    <w:rPr>
                      <w:rFonts w:hint="eastAsia" w:ascii="Times New Roman" w:hAnsi="Times New Roman" w:eastAsia="仿宋" w:cs="Times New Roman"/>
                      <w:color w:val="auto"/>
                      <w:sz w:val="21"/>
                      <w:szCs w:val="21"/>
                      <w:lang w:eastAsia="zh-CN"/>
                    </w:rPr>
                    <w:t>；</w:t>
                  </w:r>
                  <w:r>
                    <w:rPr>
                      <w:rFonts w:hint="eastAsia" w:ascii="Times New Roman" w:hAnsi="Times New Roman" w:eastAsia="仿宋" w:cs="Times New Roman"/>
                      <w:color w:val="auto"/>
                      <w:sz w:val="21"/>
                      <w:szCs w:val="21"/>
                      <w:lang w:val="en-US" w:eastAsia="zh-CN"/>
                    </w:rPr>
                    <w:t>加盖防尘网</w:t>
                  </w:r>
                  <w:r>
                    <w:rPr>
                      <w:rFonts w:hint="eastAsia" w:eastAsia="仿宋" w:cs="Times New Roman"/>
                      <w:color w:val="auto"/>
                      <w:sz w:val="21"/>
                      <w:szCs w:val="21"/>
                      <w:lang w:val="en-US" w:eastAsia="zh-CN"/>
                    </w:rPr>
                    <w:t>等</w:t>
                  </w:r>
                </w:p>
              </w:tc>
              <w:tc>
                <w:tcPr>
                  <w:tcW w:w="1184" w:type="dxa"/>
                  <w:vAlign w:val="center"/>
                </w:tcPr>
                <w:p w14:paraId="3C9DC04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5</w:t>
                  </w:r>
                </w:p>
              </w:tc>
            </w:tr>
            <w:tr w14:paraId="43BB8C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continue"/>
                  <w:vAlign w:val="center"/>
                </w:tcPr>
                <w:p w14:paraId="4DFF2784">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p>
              </w:tc>
              <w:tc>
                <w:tcPr>
                  <w:tcW w:w="887" w:type="dxa"/>
                  <w:vAlign w:val="center"/>
                </w:tcPr>
                <w:p w14:paraId="5EF09B1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运营期</w:t>
                  </w:r>
                </w:p>
              </w:tc>
              <w:tc>
                <w:tcPr>
                  <w:tcW w:w="1309" w:type="dxa"/>
                  <w:vAlign w:val="center"/>
                </w:tcPr>
                <w:p w14:paraId="323004E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w:t>
                  </w:r>
                </w:p>
              </w:tc>
              <w:tc>
                <w:tcPr>
                  <w:tcW w:w="4254" w:type="dxa"/>
                  <w:vAlign w:val="center"/>
                </w:tcPr>
                <w:p w14:paraId="086AB7B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w:t>
                  </w:r>
                </w:p>
              </w:tc>
              <w:tc>
                <w:tcPr>
                  <w:tcW w:w="1184" w:type="dxa"/>
                  <w:vAlign w:val="center"/>
                </w:tcPr>
                <w:p w14:paraId="66C3488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w:t>
                  </w:r>
                </w:p>
              </w:tc>
            </w:tr>
            <w:tr w14:paraId="29AC14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594" w:type="dxa"/>
                  <w:vMerge w:val="restart"/>
                  <w:vAlign w:val="center"/>
                </w:tcPr>
                <w:p w14:paraId="25FC8ED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废水</w:t>
                  </w:r>
                </w:p>
              </w:tc>
              <w:tc>
                <w:tcPr>
                  <w:tcW w:w="887" w:type="dxa"/>
                  <w:vMerge w:val="restart"/>
                  <w:vAlign w:val="center"/>
                </w:tcPr>
                <w:p w14:paraId="495CF52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施工期</w:t>
                  </w:r>
                </w:p>
              </w:tc>
              <w:tc>
                <w:tcPr>
                  <w:tcW w:w="1309" w:type="dxa"/>
                  <w:vAlign w:val="center"/>
                </w:tcPr>
                <w:p w14:paraId="42612A4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施工废水</w:t>
                  </w:r>
                </w:p>
              </w:tc>
              <w:tc>
                <w:tcPr>
                  <w:tcW w:w="4254" w:type="dxa"/>
                  <w:vAlign w:val="center"/>
                </w:tcPr>
                <w:p w14:paraId="6362CC3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kern w:val="2"/>
                      <w:sz w:val="21"/>
                      <w:szCs w:val="21"/>
                      <w:lang w:val="en-US" w:eastAsia="zh-CN" w:bidi="ar-SA"/>
                    </w:rPr>
                    <w:t>隔油池、沉淀池各两处，及临时堆场排水管线</w:t>
                  </w:r>
                </w:p>
              </w:tc>
              <w:tc>
                <w:tcPr>
                  <w:tcW w:w="1184" w:type="dxa"/>
                  <w:vAlign w:val="center"/>
                </w:tcPr>
                <w:p w14:paraId="117EDA6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10</w:t>
                  </w:r>
                </w:p>
              </w:tc>
            </w:tr>
            <w:tr w14:paraId="57C8D5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594" w:type="dxa"/>
                  <w:vMerge w:val="continue"/>
                  <w:vAlign w:val="center"/>
                </w:tcPr>
                <w:p w14:paraId="2F84322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p>
              </w:tc>
              <w:tc>
                <w:tcPr>
                  <w:tcW w:w="887" w:type="dxa"/>
                  <w:vMerge w:val="continue"/>
                  <w:vAlign w:val="center"/>
                </w:tcPr>
                <w:p w14:paraId="0ACC7E9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eastAsia="zh-CN"/>
                    </w:rPr>
                  </w:pPr>
                </w:p>
              </w:tc>
              <w:tc>
                <w:tcPr>
                  <w:tcW w:w="1309" w:type="dxa"/>
                  <w:vAlign w:val="center"/>
                </w:tcPr>
                <w:p w14:paraId="1468717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eastAsia" w:ascii="Times New Roman" w:hAnsi="Times New Roman" w:eastAsia="仿宋" w:cs="Times New Roman"/>
                      <w:color w:val="auto"/>
                      <w:kern w:val="2"/>
                      <w:sz w:val="21"/>
                      <w:szCs w:val="21"/>
                      <w:lang w:val="en-US" w:eastAsia="zh-CN" w:bidi="ar-SA"/>
                    </w:rPr>
                    <w:t>生活污水</w:t>
                  </w:r>
                </w:p>
              </w:tc>
              <w:tc>
                <w:tcPr>
                  <w:tcW w:w="4254" w:type="dxa"/>
                  <w:vAlign w:val="center"/>
                </w:tcPr>
                <w:p w14:paraId="1C3E128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kern w:val="2"/>
                      <w:sz w:val="21"/>
                      <w:szCs w:val="21"/>
                      <w:lang w:val="en-US" w:eastAsia="zh-CN" w:bidi="ar-SA"/>
                    </w:rPr>
                    <w:t>施工期生活污水依托</w:t>
                  </w:r>
                  <w:r>
                    <w:rPr>
                      <w:rFonts w:hint="eastAsia" w:eastAsia="仿宋" w:cs="Times New Roman"/>
                      <w:color w:val="auto"/>
                      <w:kern w:val="2"/>
                      <w:sz w:val="21"/>
                      <w:szCs w:val="21"/>
                      <w:lang w:val="en-US" w:eastAsia="zh-CN" w:bidi="ar-SA"/>
                    </w:rPr>
                    <w:t>休闲运动公园</w:t>
                  </w:r>
                  <w:r>
                    <w:rPr>
                      <w:rFonts w:hint="eastAsia" w:ascii="Times New Roman" w:hAnsi="Times New Roman" w:eastAsia="仿宋" w:cs="Times New Roman"/>
                      <w:color w:val="auto"/>
                      <w:kern w:val="2"/>
                      <w:sz w:val="21"/>
                      <w:szCs w:val="21"/>
                      <w:lang w:val="en-US" w:eastAsia="zh-CN" w:bidi="ar-SA"/>
                    </w:rPr>
                    <w:t>的公辅设施进入市政污水管网，接管至常州金坛区</w:t>
                  </w:r>
                  <w:r>
                    <w:rPr>
                      <w:rFonts w:hint="eastAsia" w:eastAsia="仿宋" w:cs="Times New Roman"/>
                      <w:color w:val="auto"/>
                      <w:kern w:val="2"/>
                      <w:sz w:val="21"/>
                      <w:szCs w:val="21"/>
                      <w:lang w:val="en-US" w:eastAsia="zh-CN" w:bidi="ar-SA"/>
                    </w:rPr>
                    <w:t>第一</w:t>
                  </w:r>
                  <w:r>
                    <w:rPr>
                      <w:rFonts w:hint="eastAsia" w:ascii="Times New Roman" w:hAnsi="Times New Roman" w:eastAsia="仿宋" w:cs="Times New Roman"/>
                      <w:color w:val="auto"/>
                      <w:kern w:val="2"/>
                      <w:sz w:val="21"/>
                      <w:szCs w:val="21"/>
                      <w:lang w:val="en-US" w:eastAsia="zh-CN" w:bidi="ar-SA"/>
                    </w:rPr>
                    <w:t>污水处理有限公司</w:t>
                  </w:r>
                </w:p>
              </w:tc>
              <w:tc>
                <w:tcPr>
                  <w:tcW w:w="1184" w:type="dxa"/>
                  <w:vAlign w:val="center"/>
                </w:tcPr>
                <w:p w14:paraId="07C8691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
                    </w:rPr>
                  </w:pPr>
                  <w:r>
                    <w:rPr>
                      <w:rFonts w:hint="eastAsia" w:eastAsia="仿宋" w:cs="Times New Roman"/>
                      <w:color w:val="auto"/>
                      <w:kern w:val="2"/>
                      <w:sz w:val="21"/>
                      <w:szCs w:val="21"/>
                      <w:lang w:val="en-US" w:eastAsia="zh-CN" w:bidi="ar"/>
                    </w:rPr>
                    <w:t>/</w:t>
                  </w:r>
                </w:p>
              </w:tc>
            </w:tr>
            <w:tr w14:paraId="7E80E4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594" w:type="dxa"/>
                  <w:vMerge w:val="continue"/>
                  <w:vAlign w:val="center"/>
                </w:tcPr>
                <w:p w14:paraId="38FB0D8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p>
              </w:tc>
              <w:tc>
                <w:tcPr>
                  <w:tcW w:w="887" w:type="dxa"/>
                  <w:vAlign w:val="center"/>
                </w:tcPr>
                <w:p w14:paraId="2D2BE3D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运营期</w:t>
                  </w:r>
                </w:p>
              </w:tc>
              <w:tc>
                <w:tcPr>
                  <w:tcW w:w="1309" w:type="dxa"/>
                  <w:vAlign w:val="center"/>
                </w:tcPr>
                <w:p w14:paraId="23FB5D9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eastAsia" w:eastAsia="仿宋" w:cs="Times New Roman"/>
                      <w:color w:val="auto"/>
                      <w:kern w:val="2"/>
                      <w:sz w:val="21"/>
                      <w:szCs w:val="21"/>
                      <w:lang w:val="en-US" w:eastAsia="zh-CN" w:bidi="ar-SA"/>
                    </w:rPr>
                    <w:t>雨水</w:t>
                  </w:r>
                </w:p>
              </w:tc>
              <w:tc>
                <w:tcPr>
                  <w:tcW w:w="4254" w:type="dxa"/>
                  <w:vAlign w:val="center"/>
                </w:tcPr>
                <w:p w14:paraId="382B39E4">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eastAsia="仿宋" w:cs="Times New Roman"/>
                      <w:color w:val="auto"/>
                      <w:sz w:val="21"/>
                      <w:szCs w:val="21"/>
                      <w:lang w:val="en-US" w:eastAsia="zh-CN"/>
                    </w:rPr>
                  </w:pPr>
                  <w:r>
                    <w:rPr>
                      <w:rFonts w:hint="eastAsia" w:eastAsia="仿宋" w:cs="Times New Roman"/>
                      <w:color w:val="auto"/>
                      <w:sz w:val="21"/>
                      <w:szCs w:val="21"/>
                      <w:lang w:val="en-US" w:eastAsia="zh-CN"/>
                    </w:rPr>
                    <w:t>设计上采用了中间高、两端低的建筑造型，已考虑收集桥面径流，雨水排入体育休闲房车营地的雨水管网，最终流入市政管网，对周边水环境影响较小。</w:t>
                  </w:r>
                </w:p>
              </w:tc>
              <w:tc>
                <w:tcPr>
                  <w:tcW w:w="1184" w:type="dxa"/>
                  <w:vAlign w:val="center"/>
                </w:tcPr>
                <w:p w14:paraId="62FBD1B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
                    </w:rPr>
                  </w:pPr>
                  <w:r>
                    <w:rPr>
                      <w:rFonts w:hint="eastAsia" w:eastAsia="仿宋" w:cs="Times New Roman"/>
                      <w:color w:val="auto"/>
                      <w:kern w:val="2"/>
                      <w:sz w:val="21"/>
                      <w:szCs w:val="21"/>
                      <w:lang w:val="en-US" w:eastAsia="zh-CN" w:bidi="ar"/>
                    </w:rPr>
                    <w:t>/</w:t>
                  </w:r>
                </w:p>
              </w:tc>
            </w:tr>
            <w:tr w14:paraId="77E535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restart"/>
                  <w:vAlign w:val="center"/>
                </w:tcPr>
                <w:p w14:paraId="3BB284B4">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固废</w:t>
                  </w:r>
                </w:p>
              </w:tc>
              <w:tc>
                <w:tcPr>
                  <w:tcW w:w="887" w:type="dxa"/>
                  <w:vMerge w:val="restart"/>
                  <w:vAlign w:val="center"/>
                </w:tcPr>
                <w:p w14:paraId="17BD844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施工期</w:t>
                  </w:r>
                </w:p>
              </w:tc>
              <w:tc>
                <w:tcPr>
                  <w:tcW w:w="1309" w:type="dxa"/>
                  <w:vAlign w:val="center"/>
                </w:tcPr>
                <w:p w14:paraId="76AF7C7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施工人员生活垃圾</w:t>
                  </w:r>
                </w:p>
              </w:tc>
              <w:tc>
                <w:tcPr>
                  <w:tcW w:w="4254" w:type="dxa"/>
                  <w:vAlign w:val="center"/>
                </w:tcPr>
                <w:p w14:paraId="043DCFD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交由环卫部门清运处理</w:t>
                  </w:r>
                </w:p>
              </w:tc>
              <w:tc>
                <w:tcPr>
                  <w:tcW w:w="1184" w:type="dxa"/>
                  <w:vMerge w:val="restart"/>
                  <w:vAlign w:val="center"/>
                </w:tcPr>
                <w:p w14:paraId="46E114C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1.5</w:t>
                  </w:r>
                </w:p>
              </w:tc>
            </w:tr>
            <w:tr w14:paraId="2E8AF9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continue"/>
                  <w:vAlign w:val="center"/>
                </w:tcPr>
                <w:p w14:paraId="1599819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p>
              </w:tc>
              <w:tc>
                <w:tcPr>
                  <w:tcW w:w="887" w:type="dxa"/>
                  <w:vMerge w:val="continue"/>
                  <w:vAlign w:val="center"/>
                </w:tcPr>
                <w:p w14:paraId="54EE914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p>
              </w:tc>
              <w:tc>
                <w:tcPr>
                  <w:tcW w:w="1309" w:type="dxa"/>
                  <w:vAlign w:val="center"/>
                </w:tcPr>
                <w:p w14:paraId="0BF6E6E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eastAsia" w:eastAsia="仿宋" w:cs="Times New Roman"/>
                      <w:color w:val="auto"/>
                      <w:sz w:val="21"/>
                      <w:szCs w:val="21"/>
                      <w:lang w:val="en-US" w:eastAsia="zh-CN"/>
                    </w:rPr>
                    <w:t>施工建筑垃圾</w:t>
                  </w:r>
                </w:p>
              </w:tc>
              <w:tc>
                <w:tcPr>
                  <w:tcW w:w="4254" w:type="dxa"/>
                  <w:vAlign w:val="center"/>
                </w:tcPr>
                <w:p w14:paraId="1CD90B9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仿宋" w:hAnsi="仿宋" w:eastAsia="仿宋" w:cs="仿宋"/>
                      <w:color w:val="auto"/>
                      <w:kern w:val="0"/>
                      <w:sz w:val="21"/>
                      <w:szCs w:val="21"/>
                      <w:lang w:val="en-US" w:eastAsia="zh-CN" w:bidi="ar"/>
                    </w:rPr>
                    <w:t>由施工单位负责日产日清，送特种垃圾管理站统一处理</w:t>
                  </w:r>
                </w:p>
              </w:tc>
              <w:tc>
                <w:tcPr>
                  <w:tcW w:w="1184" w:type="dxa"/>
                  <w:vMerge w:val="continue"/>
                  <w:vAlign w:val="center"/>
                </w:tcPr>
                <w:p w14:paraId="79FFEFA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rPr>
                  </w:pPr>
                </w:p>
              </w:tc>
            </w:tr>
            <w:tr w14:paraId="33E3F4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continue"/>
                  <w:vAlign w:val="center"/>
                </w:tcPr>
                <w:p w14:paraId="5554BD3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p>
              </w:tc>
              <w:tc>
                <w:tcPr>
                  <w:tcW w:w="887" w:type="dxa"/>
                  <w:vMerge w:val="continue"/>
                  <w:vAlign w:val="center"/>
                </w:tcPr>
                <w:p w14:paraId="45A1402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p>
              </w:tc>
              <w:tc>
                <w:tcPr>
                  <w:tcW w:w="1309" w:type="dxa"/>
                  <w:vAlign w:val="center"/>
                </w:tcPr>
                <w:p w14:paraId="3CCB611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废机油、隔油油泥</w:t>
                  </w:r>
                </w:p>
              </w:tc>
              <w:tc>
                <w:tcPr>
                  <w:tcW w:w="4254" w:type="dxa"/>
                  <w:vAlign w:val="center"/>
                </w:tcPr>
                <w:p w14:paraId="05BE59E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仿宋" w:hAnsi="仿宋" w:eastAsia="仿宋" w:cs="仿宋"/>
                      <w:color w:val="auto"/>
                      <w:kern w:val="0"/>
                      <w:sz w:val="21"/>
                      <w:szCs w:val="21"/>
                      <w:lang w:val="en-US" w:eastAsia="zh-CN" w:bidi="ar"/>
                    </w:rPr>
                    <w:t>委托有资质单位处置</w:t>
                  </w:r>
                </w:p>
              </w:tc>
              <w:tc>
                <w:tcPr>
                  <w:tcW w:w="1184" w:type="dxa"/>
                  <w:vMerge w:val="continue"/>
                  <w:vAlign w:val="center"/>
                </w:tcPr>
                <w:p w14:paraId="1BEA628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
                    </w:rPr>
                  </w:pPr>
                </w:p>
              </w:tc>
            </w:tr>
            <w:tr w14:paraId="0393A4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continue"/>
                  <w:vAlign w:val="center"/>
                </w:tcPr>
                <w:p w14:paraId="366A671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p>
              </w:tc>
              <w:tc>
                <w:tcPr>
                  <w:tcW w:w="887" w:type="dxa"/>
                  <w:vAlign w:val="center"/>
                </w:tcPr>
                <w:p w14:paraId="1BD6CCCC">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运营期</w:t>
                  </w:r>
                </w:p>
              </w:tc>
              <w:tc>
                <w:tcPr>
                  <w:tcW w:w="1309" w:type="dxa"/>
                  <w:vAlign w:val="center"/>
                </w:tcPr>
                <w:p w14:paraId="3CCCF99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生活垃圾</w:t>
                  </w:r>
                </w:p>
              </w:tc>
              <w:tc>
                <w:tcPr>
                  <w:tcW w:w="4254" w:type="dxa"/>
                  <w:vAlign w:val="center"/>
                </w:tcPr>
                <w:p w14:paraId="24F56C9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沿人行道设置垃圾桶，委托当地环卫部门定期清运处理</w:t>
                  </w:r>
                  <w:r>
                    <w:rPr>
                      <w:rFonts w:hint="eastAsia" w:eastAsia="仿宋" w:cs="Times New Roman"/>
                      <w:color w:val="auto"/>
                      <w:sz w:val="21"/>
                      <w:szCs w:val="21"/>
                      <w:lang w:val="en-US" w:eastAsia="zh-CN"/>
                    </w:rPr>
                    <w:t>，加强日常管理</w:t>
                  </w:r>
                </w:p>
              </w:tc>
              <w:tc>
                <w:tcPr>
                  <w:tcW w:w="1184" w:type="dxa"/>
                  <w:vAlign w:val="center"/>
                </w:tcPr>
                <w:p w14:paraId="62F707B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
                    </w:rPr>
                  </w:pPr>
                  <w:r>
                    <w:rPr>
                      <w:rFonts w:hint="eastAsia" w:eastAsia="仿宋" w:cs="Times New Roman"/>
                      <w:color w:val="auto"/>
                      <w:kern w:val="2"/>
                      <w:sz w:val="21"/>
                      <w:szCs w:val="21"/>
                      <w:lang w:val="en-US" w:eastAsia="zh-CN" w:bidi="ar"/>
                    </w:rPr>
                    <w:t>2</w:t>
                  </w:r>
                </w:p>
              </w:tc>
            </w:tr>
            <w:tr w14:paraId="1BD11F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restart"/>
                  <w:vAlign w:val="center"/>
                </w:tcPr>
                <w:p w14:paraId="7E68ABE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噪声</w:t>
                  </w:r>
                </w:p>
              </w:tc>
              <w:tc>
                <w:tcPr>
                  <w:tcW w:w="887" w:type="dxa"/>
                  <w:vAlign w:val="center"/>
                </w:tcPr>
                <w:p w14:paraId="0B22C75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施工期</w:t>
                  </w:r>
                </w:p>
              </w:tc>
              <w:tc>
                <w:tcPr>
                  <w:tcW w:w="1309" w:type="dxa"/>
                  <w:vAlign w:val="center"/>
                </w:tcPr>
                <w:p w14:paraId="377FF7F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施工设备噪声</w:t>
                  </w:r>
                </w:p>
              </w:tc>
              <w:tc>
                <w:tcPr>
                  <w:tcW w:w="4254" w:type="dxa"/>
                  <w:vAlign w:val="center"/>
                </w:tcPr>
                <w:p w14:paraId="60BFFA2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使用低噪设备，合理安排施工时间，设置临时屏障等</w:t>
                  </w:r>
                </w:p>
              </w:tc>
              <w:tc>
                <w:tcPr>
                  <w:tcW w:w="1184" w:type="dxa"/>
                  <w:vAlign w:val="center"/>
                </w:tcPr>
                <w:p w14:paraId="5AE7AD2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rPr>
                  </w:pPr>
                  <w:r>
                    <w:rPr>
                      <w:rFonts w:hint="eastAsia" w:eastAsia="仿宋" w:cs="Times New Roman"/>
                      <w:color w:val="auto"/>
                      <w:kern w:val="2"/>
                      <w:sz w:val="21"/>
                      <w:szCs w:val="21"/>
                      <w:lang w:val="en-US" w:eastAsia="zh-CN" w:bidi="ar"/>
                    </w:rPr>
                    <w:t>0.3</w:t>
                  </w:r>
                </w:p>
              </w:tc>
            </w:tr>
            <w:tr w14:paraId="75DAFE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continue"/>
                  <w:vAlign w:val="center"/>
                </w:tcPr>
                <w:p w14:paraId="20E9FCD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p>
              </w:tc>
              <w:tc>
                <w:tcPr>
                  <w:tcW w:w="887" w:type="dxa"/>
                  <w:vAlign w:val="center"/>
                </w:tcPr>
                <w:p w14:paraId="141B527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运营期</w:t>
                  </w:r>
                </w:p>
              </w:tc>
              <w:tc>
                <w:tcPr>
                  <w:tcW w:w="1309" w:type="dxa"/>
                  <w:vAlign w:val="center"/>
                </w:tcPr>
                <w:p w14:paraId="6C4CBD6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eastAsia" w:eastAsia="仿宋" w:cs="Times New Roman"/>
                      <w:color w:val="auto"/>
                      <w:kern w:val="2"/>
                      <w:sz w:val="21"/>
                      <w:szCs w:val="21"/>
                      <w:lang w:val="en-US" w:eastAsia="zh-CN" w:bidi="ar-SA"/>
                    </w:rPr>
                    <w:t>行人噪声</w:t>
                  </w:r>
                </w:p>
              </w:tc>
              <w:tc>
                <w:tcPr>
                  <w:tcW w:w="4254" w:type="dxa"/>
                  <w:vAlign w:val="center"/>
                </w:tcPr>
                <w:p w14:paraId="4822411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设置标识牌等</w:t>
                  </w:r>
                </w:p>
              </w:tc>
              <w:tc>
                <w:tcPr>
                  <w:tcW w:w="1184" w:type="dxa"/>
                  <w:vAlign w:val="center"/>
                </w:tcPr>
                <w:p w14:paraId="37729EF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kern w:val="2"/>
                      <w:sz w:val="21"/>
                      <w:szCs w:val="21"/>
                      <w:lang w:val="en-US" w:eastAsia="zh-CN" w:bidi="ar"/>
                    </w:rPr>
                  </w:pPr>
                  <w:r>
                    <w:rPr>
                      <w:rFonts w:hint="eastAsia" w:eastAsia="仿宋" w:cs="Times New Roman"/>
                      <w:color w:val="auto"/>
                      <w:kern w:val="2"/>
                      <w:sz w:val="21"/>
                      <w:szCs w:val="21"/>
                      <w:lang w:val="en-US" w:eastAsia="zh-CN" w:bidi="ar"/>
                    </w:rPr>
                    <w:t>0.2</w:t>
                  </w:r>
                </w:p>
              </w:tc>
            </w:tr>
            <w:tr w14:paraId="3C8631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restart"/>
                  <w:vAlign w:val="center"/>
                </w:tcPr>
                <w:p w14:paraId="61C31B2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其他</w:t>
                  </w:r>
                </w:p>
              </w:tc>
              <w:tc>
                <w:tcPr>
                  <w:tcW w:w="2196" w:type="dxa"/>
                  <w:gridSpan w:val="2"/>
                  <w:vAlign w:val="center"/>
                </w:tcPr>
                <w:p w14:paraId="1BED21D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生态恢复</w:t>
                  </w:r>
                </w:p>
              </w:tc>
              <w:tc>
                <w:tcPr>
                  <w:tcW w:w="4254" w:type="dxa"/>
                  <w:vAlign w:val="center"/>
                </w:tcPr>
                <w:p w14:paraId="5B5A5FF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整理绿化用地、</w:t>
                  </w:r>
                  <w:r>
                    <w:rPr>
                      <w:rFonts w:hint="eastAsia" w:eastAsia="仿宋" w:cs="Times New Roman"/>
                      <w:color w:val="auto"/>
                      <w:sz w:val="21"/>
                      <w:szCs w:val="21"/>
                      <w:lang w:val="en-US" w:eastAsia="zh-CN"/>
                    </w:rPr>
                    <w:t>临时占地生态恢复</w:t>
                  </w:r>
                  <w:r>
                    <w:rPr>
                      <w:rFonts w:hint="eastAsia" w:ascii="Times New Roman" w:hAnsi="Times New Roman" w:eastAsia="仿宋" w:cs="Times New Roman"/>
                      <w:color w:val="auto"/>
                      <w:sz w:val="21"/>
                      <w:szCs w:val="21"/>
                      <w:lang w:val="en-US" w:eastAsia="zh-CN"/>
                    </w:rPr>
                    <w:t>、</w:t>
                  </w:r>
                  <w:r>
                    <w:rPr>
                      <w:rFonts w:hint="eastAsia" w:eastAsia="仿宋" w:cs="Times New Roman"/>
                      <w:color w:val="auto"/>
                      <w:sz w:val="21"/>
                      <w:szCs w:val="21"/>
                      <w:lang w:val="en-US" w:eastAsia="zh-CN"/>
                    </w:rPr>
                    <w:t>渔业资源补偿与增殖放流，</w:t>
                  </w:r>
                  <w:r>
                    <w:rPr>
                      <w:rFonts w:hint="eastAsia" w:ascii="Times New Roman" w:hAnsi="Times New Roman" w:eastAsia="仿宋" w:cs="Times New Roman"/>
                      <w:color w:val="auto"/>
                      <w:sz w:val="21"/>
                      <w:szCs w:val="21"/>
                      <w:lang w:val="en-US" w:eastAsia="zh-CN"/>
                    </w:rPr>
                    <w:t>加强管理及环保宣传，定期巡护、设置标识牌等</w:t>
                  </w:r>
                </w:p>
              </w:tc>
              <w:tc>
                <w:tcPr>
                  <w:tcW w:w="1184" w:type="dxa"/>
                  <w:vAlign w:val="center"/>
                </w:tcPr>
                <w:p w14:paraId="4587AF6C">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40</w:t>
                  </w:r>
                </w:p>
              </w:tc>
            </w:tr>
            <w:tr w14:paraId="0932BA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continue"/>
                  <w:vAlign w:val="center"/>
                </w:tcPr>
                <w:p w14:paraId="0620F01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p>
              </w:tc>
              <w:tc>
                <w:tcPr>
                  <w:tcW w:w="2196" w:type="dxa"/>
                  <w:gridSpan w:val="2"/>
                  <w:vMerge w:val="restart"/>
                  <w:vAlign w:val="center"/>
                </w:tcPr>
                <w:p w14:paraId="4A61157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水生生态</w:t>
                  </w:r>
                </w:p>
              </w:tc>
              <w:tc>
                <w:tcPr>
                  <w:tcW w:w="4254" w:type="dxa"/>
                  <w:vAlign w:val="center"/>
                </w:tcPr>
                <w:p w14:paraId="394EAEA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eastAsia="仿宋" w:cs="Times New Roman"/>
                      <w:color w:val="auto"/>
                      <w:sz w:val="21"/>
                      <w:szCs w:val="21"/>
                      <w:lang w:val="en-US" w:eastAsia="zh-CN"/>
                    </w:rPr>
                  </w:pPr>
                  <w:r>
                    <w:rPr>
                      <w:rFonts w:hint="eastAsia" w:eastAsia="仿宋" w:cs="Times New Roman"/>
                      <w:color w:val="auto"/>
                      <w:kern w:val="2"/>
                      <w:sz w:val="21"/>
                      <w:szCs w:val="21"/>
                      <w:lang w:val="en-US" w:eastAsia="zh-CN" w:bidi="ar-SA"/>
                    </w:rPr>
                    <w:t>施工期拉网法驱鱼，保护渔业资源</w:t>
                  </w:r>
                </w:p>
              </w:tc>
              <w:tc>
                <w:tcPr>
                  <w:tcW w:w="1184" w:type="dxa"/>
                  <w:vAlign w:val="center"/>
                </w:tcPr>
                <w:p w14:paraId="1374EC1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eastAsia" w:eastAsia="仿宋" w:cs="Times New Roman"/>
                      <w:color w:val="auto"/>
                      <w:kern w:val="2"/>
                      <w:sz w:val="21"/>
                      <w:szCs w:val="21"/>
                      <w:lang w:val="en-US" w:eastAsia="zh-CN" w:bidi="ar"/>
                    </w:rPr>
                  </w:pPr>
                  <w:r>
                    <w:rPr>
                      <w:rFonts w:hint="eastAsia" w:eastAsia="仿宋" w:cs="Times New Roman"/>
                      <w:color w:val="auto"/>
                      <w:sz w:val="21"/>
                      <w:szCs w:val="21"/>
                      <w:lang w:val="en-US" w:eastAsia="zh-CN"/>
                    </w:rPr>
                    <w:t>2</w:t>
                  </w:r>
                </w:p>
              </w:tc>
            </w:tr>
            <w:tr w14:paraId="6602D6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94" w:type="dxa"/>
                  <w:vMerge w:val="continue"/>
                  <w:vAlign w:val="center"/>
                </w:tcPr>
                <w:p w14:paraId="70861EC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p>
              </w:tc>
              <w:tc>
                <w:tcPr>
                  <w:tcW w:w="2196" w:type="dxa"/>
                  <w:gridSpan w:val="2"/>
                  <w:vMerge w:val="continue"/>
                  <w:vAlign w:val="center"/>
                </w:tcPr>
                <w:p w14:paraId="067E84B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p>
              </w:tc>
              <w:tc>
                <w:tcPr>
                  <w:tcW w:w="4254" w:type="dxa"/>
                  <w:vAlign w:val="center"/>
                </w:tcPr>
                <w:p w14:paraId="4AF03C1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施工期及运营期生态环境监测</w:t>
                  </w:r>
                </w:p>
              </w:tc>
              <w:tc>
                <w:tcPr>
                  <w:tcW w:w="1184" w:type="dxa"/>
                  <w:vAlign w:val="center"/>
                </w:tcPr>
                <w:p w14:paraId="136CD99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eastAsia="仿宋" w:cs="Times New Roman"/>
                      <w:color w:val="auto"/>
                      <w:kern w:val="2"/>
                      <w:sz w:val="21"/>
                      <w:szCs w:val="21"/>
                      <w:lang w:val="en-US" w:eastAsia="zh-CN" w:bidi="ar"/>
                    </w:rPr>
                  </w:pPr>
                  <w:r>
                    <w:rPr>
                      <w:rFonts w:hint="eastAsia" w:eastAsia="仿宋" w:cs="Times New Roman"/>
                      <w:color w:val="auto"/>
                      <w:kern w:val="2"/>
                      <w:sz w:val="21"/>
                      <w:szCs w:val="21"/>
                      <w:lang w:val="en-US" w:eastAsia="zh-CN" w:bidi="ar"/>
                    </w:rPr>
                    <w:t>5</w:t>
                  </w:r>
                </w:p>
              </w:tc>
            </w:tr>
            <w:tr w14:paraId="6A0804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044" w:type="dxa"/>
                  <w:gridSpan w:val="4"/>
                  <w:vAlign w:val="center"/>
                </w:tcPr>
                <w:p w14:paraId="1E9D549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合计</w:t>
                  </w:r>
                </w:p>
              </w:tc>
              <w:tc>
                <w:tcPr>
                  <w:tcW w:w="1184" w:type="dxa"/>
                  <w:vAlign w:val="center"/>
                </w:tcPr>
                <w:p w14:paraId="55DE2182">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eastAsia="仿宋" w:cs="Times New Roman"/>
                      <w:color w:val="auto"/>
                      <w:sz w:val="21"/>
                      <w:szCs w:val="21"/>
                      <w:lang w:val="en-US" w:eastAsia="zh-CN"/>
                    </w:rPr>
                    <w:t>66</w:t>
                  </w:r>
                </w:p>
              </w:tc>
            </w:tr>
          </w:tbl>
          <w:p w14:paraId="781C1646">
            <w:pPr>
              <w:pStyle w:val="30"/>
              <w:rPr>
                <w:rFonts w:hint="default" w:ascii="Times New Roman" w:hAnsi="Times New Roman" w:eastAsia="仿宋" w:cs="Times New Roman"/>
                <w:b w:val="0"/>
                <w:bCs w:val="0"/>
                <w:color w:val="auto"/>
                <w:kern w:val="0"/>
                <w:sz w:val="24"/>
                <w:szCs w:val="22"/>
                <w:highlight w:val="none"/>
                <w:lang w:val="en-US" w:eastAsia="zh-CN" w:bidi="ar-SA"/>
              </w:rPr>
            </w:pPr>
          </w:p>
        </w:tc>
      </w:tr>
    </w:tbl>
    <w:p w14:paraId="04BAE2E6">
      <w:pPr>
        <w:rPr>
          <w:rFonts w:hint="eastAsia" w:ascii="黑体" w:hAnsi="黑体" w:eastAsia="黑体"/>
          <w:snapToGrid w:val="0"/>
          <w:color w:val="auto"/>
          <w:sz w:val="30"/>
          <w:szCs w:val="30"/>
          <w:highlight w:val="none"/>
          <w:lang w:val="en-US" w:eastAsia="zh-CN"/>
        </w:rPr>
      </w:pPr>
      <w:r>
        <w:rPr>
          <w:rFonts w:hint="eastAsia" w:ascii="黑体" w:hAnsi="黑体" w:eastAsia="黑体"/>
          <w:snapToGrid w:val="0"/>
          <w:color w:val="auto"/>
          <w:sz w:val="30"/>
          <w:szCs w:val="30"/>
          <w:highlight w:val="none"/>
          <w:lang w:val="en-US" w:eastAsia="zh-CN"/>
        </w:rPr>
        <w:br w:type="page"/>
      </w:r>
    </w:p>
    <w:p w14:paraId="74D01B39">
      <w:pPr>
        <w:pStyle w:val="19"/>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center"/>
        <w:textAlignment w:val="auto"/>
        <w:outlineLvl w:val="0"/>
        <w:rPr>
          <w:rFonts w:hint="default" w:ascii="黑体" w:hAnsi="黑体" w:eastAsia="黑体"/>
          <w:snapToGrid w:val="0"/>
          <w:color w:val="auto"/>
          <w:sz w:val="30"/>
          <w:szCs w:val="30"/>
          <w:highlight w:val="none"/>
          <w:lang w:val="en-US" w:eastAsia="zh-CN"/>
        </w:rPr>
      </w:pPr>
      <w:bookmarkStart w:id="8" w:name="_Toc13391"/>
      <w:r>
        <w:rPr>
          <w:rFonts w:hint="eastAsia" w:ascii="黑体" w:hAnsi="黑体" w:eastAsia="黑体"/>
          <w:snapToGrid w:val="0"/>
          <w:color w:val="auto"/>
          <w:sz w:val="30"/>
          <w:szCs w:val="30"/>
          <w:highlight w:val="none"/>
          <w:lang w:val="en-US" w:eastAsia="zh-CN"/>
        </w:rPr>
        <w:t>六、生态环境保护措施监督检查清单</w:t>
      </w:r>
      <w:bookmarkEnd w:id="8"/>
    </w:p>
    <w:tbl>
      <w:tblPr>
        <w:tblStyle w:val="23"/>
        <w:tblW w:w="504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1976"/>
        <w:gridCol w:w="1958"/>
        <w:gridCol w:w="1727"/>
        <w:gridCol w:w="1806"/>
      </w:tblGrid>
      <w:tr w14:paraId="3EE6DB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8" w:type="pct"/>
            <w:vMerge w:val="restart"/>
            <w:tcBorders>
              <w:tl2br w:val="single" w:color="auto" w:sz="4" w:space="0"/>
            </w:tcBorders>
            <w:vAlign w:val="center"/>
          </w:tcPr>
          <w:p w14:paraId="5A9B1419">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right"/>
              <w:textAlignment w:val="auto"/>
              <w:rPr>
                <w:rFonts w:hint="default" w:ascii="Times New Roman" w:hAnsi="Times New Roman" w:eastAsia="仿宋" w:cs="Times New Roman"/>
                <w:b/>
                <w:bCs/>
                <w:color w:val="auto"/>
                <w:kern w:val="0"/>
                <w:sz w:val="21"/>
                <w:szCs w:val="21"/>
                <w:highlight w:val="none"/>
                <w:lang w:val="en-US" w:eastAsia="zh-Hans"/>
              </w:rPr>
            </w:pPr>
            <w:bookmarkStart w:id="9" w:name="_Toc5283"/>
            <w:r>
              <w:rPr>
                <w:rFonts w:hint="default" w:ascii="Times New Roman" w:hAnsi="Times New Roman" w:eastAsia="仿宋" w:cs="Times New Roman"/>
                <w:b/>
                <w:bCs/>
                <w:color w:val="auto"/>
                <w:kern w:val="0"/>
                <w:sz w:val="21"/>
                <w:szCs w:val="21"/>
                <w:highlight w:val="none"/>
                <w:lang w:val="en-US" w:eastAsia="zh-Hans"/>
              </w:rPr>
              <w:t>内容</w:t>
            </w:r>
            <w:bookmarkEnd w:id="9"/>
          </w:p>
          <w:p w14:paraId="03C71A83">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left"/>
              <w:textAlignment w:val="auto"/>
              <w:rPr>
                <w:rFonts w:hint="default" w:ascii="Times New Roman" w:hAnsi="Times New Roman" w:eastAsia="仿宋" w:cs="Times New Roman"/>
                <w:color w:val="auto"/>
                <w:kern w:val="0"/>
                <w:sz w:val="21"/>
                <w:szCs w:val="21"/>
                <w:highlight w:val="none"/>
                <w:lang w:val="en-US" w:eastAsia="zh-Hans"/>
              </w:rPr>
            </w:pPr>
            <w:bookmarkStart w:id="10" w:name="_Toc13997"/>
            <w:r>
              <w:rPr>
                <w:rFonts w:hint="default" w:ascii="Times New Roman" w:hAnsi="Times New Roman" w:eastAsia="仿宋" w:cs="Times New Roman"/>
                <w:b/>
                <w:bCs/>
                <w:color w:val="auto"/>
                <w:kern w:val="0"/>
                <w:sz w:val="21"/>
                <w:szCs w:val="21"/>
                <w:highlight w:val="none"/>
                <w:lang w:val="en-US" w:eastAsia="zh-Hans"/>
              </w:rPr>
              <w:t>要素</w:t>
            </w:r>
            <w:bookmarkEnd w:id="10"/>
          </w:p>
        </w:tc>
        <w:tc>
          <w:tcPr>
            <w:tcW w:w="2287" w:type="pct"/>
            <w:gridSpan w:val="2"/>
            <w:tcBorders>
              <w:tl2br w:val="nil"/>
              <w:tr2bl w:val="nil"/>
            </w:tcBorders>
            <w:vAlign w:val="center"/>
          </w:tcPr>
          <w:p w14:paraId="05E6F1DF">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lang w:val="en-US" w:eastAsia="zh-Hans"/>
              </w:rPr>
            </w:pPr>
            <w:bookmarkStart w:id="11" w:name="_Toc5840"/>
            <w:r>
              <w:rPr>
                <w:rFonts w:hint="default" w:ascii="Times New Roman" w:hAnsi="Times New Roman" w:eastAsia="仿宋" w:cs="Times New Roman"/>
                <w:b/>
                <w:bCs/>
                <w:color w:val="auto"/>
                <w:kern w:val="0"/>
                <w:sz w:val="21"/>
                <w:szCs w:val="21"/>
                <w:highlight w:val="none"/>
                <w:lang w:val="en-US" w:eastAsia="zh-Hans"/>
              </w:rPr>
              <w:t>施工期</w:t>
            </w:r>
            <w:bookmarkEnd w:id="11"/>
          </w:p>
        </w:tc>
        <w:tc>
          <w:tcPr>
            <w:tcW w:w="2054" w:type="pct"/>
            <w:gridSpan w:val="2"/>
            <w:tcBorders>
              <w:tl2br w:val="nil"/>
              <w:tr2bl w:val="nil"/>
            </w:tcBorders>
            <w:vAlign w:val="center"/>
          </w:tcPr>
          <w:p w14:paraId="3F9CA8B2">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lang w:val="en-US" w:eastAsia="zh-Hans"/>
              </w:rPr>
            </w:pPr>
            <w:bookmarkStart w:id="12" w:name="_Toc26518"/>
            <w:r>
              <w:rPr>
                <w:rFonts w:hint="default" w:ascii="Times New Roman" w:hAnsi="Times New Roman" w:eastAsia="仿宋" w:cs="Times New Roman"/>
                <w:b/>
                <w:bCs/>
                <w:color w:val="auto"/>
                <w:kern w:val="0"/>
                <w:sz w:val="21"/>
                <w:szCs w:val="21"/>
                <w:highlight w:val="none"/>
                <w:lang w:val="en-US" w:eastAsia="zh-Hans"/>
              </w:rPr>
              <w:t>运营期</w:t>
            </w:r>
            <w:bookmarkEnd w:id="12"/>
          </w:p>
        </w:tc>
      </w:tr>
      <w:tr w14:paraId="1C5659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8" w:type="pct"/>
            <w:vMerge w:val="continue"/>
            <w:tcBorders>
              <w:tl2br w:val="nil"/>
              <w:tr2bl w:val="nil"/>
            </w:tcBorders>
            <w:vAlign w:val="center"/>
          </w:tcPr>
          <w:p w14:paraId="581EE293">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p>
        </w:tc>
        <w:tc>
          <w:tcPr>
            <w:tcW w:w="1148" w:type="pct"/>
            <w:tcBorders>
              <w:tl2br w:val="nil"/>
              <w:tr2bl w:val="nil"/>
            </w:tcBorders>
            <w:vAlign w:val="center"/>
          </w:tcPr>
          <w:p w14:paraId="38621D1C">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lang w:val="en-US" w:eastAsia="zh-Hans"/>
              </w:rPr>
            </w:pPr>
            <w:bookmarkStart w:id="13" w:name="_Toc5606"/>
            <w:r>
              <w:rPr>
                <w:rFonts w:hint="default" w:ascii="Times New Roman" w:hAnsi="Times New Roman" w:eastAsia="仿宋" w:cs="Times New Roman"/>
                <w:b/>
                <w:bCs/>
                <w:color w:val="auto"/>
                <w:kern w:val="0"/>
                <w:sz w:val="21"/>
                <w:szCs w:val="21"/>
                <w:highlight w:val="none"/>
                <w:lang w:val="en-US" w:eastAsia="zh-Hans"/>
              </w:rPr>
              <w:t>环境保护措施</w:t>
            </w:r>
            <w:bookmarkEnd w:id="13"/>
          </w:p>
        </w:tc>
        <w:tc>
          <w:tcPr>
            <w:tcW w:w="1138" w:type="pct"/>
            <w:tcBorders>
              <w:tl2br w:val="nil"/>
              <w:tr2bl w:val="nil"/>
            </w:tcBorders>
            <w:vAlign w:val="center"/>
          </w:tcPr>
          <w:p w14:paraId="63A77315">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lang w:val="en-US" w:eastAsia="zh-Hans"/>
              </w:rPr>
            </w:pPr>
            <w:bookmarkStart w:id="14" w:name="_Toc3200"/>
            <w:r>
              <w:rPr>
                <w:rFonts w:hint="default" w:ascii="Times New Roman" w:hAnsi="Times New Roman" w:eastAsia="仿宋" w:cs="Times New Roman"/>
                <w:b/>
                <w:bCs/>
                <w:color w:val="auto"/>
                <w:kern w:val="0"/>
                <w:sz w:val="21"/>
                <w:szCs w:val="21"/>
                <w:highlight w:val="none"/>
                <w:lang w:val="en-US" w:eastAsia="zh-Hans"/>
              </w:rPr>
              <w:t>验收要求</w:t>
            </w:r>
            <w:bookmarkEnd w:id="14"/>
          </w:p>
        </w:tc>
        <w:tc>
          <w:tcPr>
            <w:tcW w:w="1004" w:type="pct"/>
            <w:tcBorders>
              <w:tl2br w:val="nil"/>
              <w:tr2bl w:val="nil"/>
            </w:tcBorders>
            <w:vAlign w:val="center"/>
          </w:tcPr>
          <w:p w14:paraId="3361649E">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lang w:val="en-US" w:eastAsia="zh-Hans"/>
              </w:rPr>
            </w:pPr>
            <w:bookmarkStart w:id="15" w:name="_Toc14787"/>
            <w:r>
              <w:rPr>
                <w:rFonts w:hint="default" w:ascii="Times New Roman" w:hAnsi="Times New Roman" w:eastAsia="仿宋" w:cs="Times New Roman"/>
                <w:b/>
                <w:bCs/>
                <w:color w:val="auto"/>
                <w:kern w:val="0"/>
                <w:sz w:val="21"/>
                <w:szCs w:val="21"/>
                <w:highlight w:val="none"/>
                <w:lang w:val="en-US" w:eastAsia="zh-Hans"/>
              </w:rPr>
              <w:t>环境保护措施</w:t>
            </w:r>
            <w:bookmarkEnd w:id="15"/>
          </w:p>
        </w:tc>
        <w:tc>
          <w:tcPr>
            <w:tcW w:w="1050" w:type="pct"/>
            <w:tcBorders>
              <w:tl2br w:val="nil"/>
              <w:tr2bl w:val="nil"/>
            </w:tcBorders>
            <w:vAlign w:val="center"/>
          </w:tcPr>
          <w:p w14:paraId="216F53BC">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b/>
                <w:bCs/>
                <w:color w:val="auto"/>
                <w:kern w:val="0"/>
                <w:sz w:val="21"/>
                <w:szCs w:val="21"/>
                <w:highlight w:val="none"/>
                <w:lang w:val="en-US" w:eastAsia="zh-Hans"/>
              </w:rPr>
            </w:pPr>
            <w:bookmarkStart w:id="16" w:name="_Toc32178"/>
            <w:r>
              <w:rPr>
                <w:rFonts w:hint="default" w:ascii="Times New Roman" w:hAnsi="Times New Roman" w:eastAsia="仿宋" w:cs="Times New Roman"/>
                <w:b/>
                <w:bCs/>
                <w:color w:val="auto"/>
                <w:kern w:val="0"/>
                <w:sz w:val="21"/>
                <w:szCs w:val="21"/>
                <w:highlight w:val="none"/>
                <w:lang w:val="en-US" w:eastAsia="zh-Hans"/>
              </w:rPr>
              <w:t>验收要求</w:t>
            </w:r>
            <w:bookmarkEnd w:id="16"/>
          </w:p>
        </w:tc>
      </w:tr>
      <w:tr w14:paraId="379515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6" w:hRule="atLeast"/>
          <w:jc w:val="center"/>
        </w:trPr>
        <w:tc>
          <w:tcPr>
            <w:tcW w:w="658" w:type="pct"/>
            <w:tcBorders>
              <w:tl2br w:val="nil"/>
              <w:tr2bl w:val="nil"/>
            </w:tcBorders>
            <w:vAlign w:val="center"/>
          </w:tcPr>
          <w:p w14:paraId="11332690">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陆生生态</w:t>
            </w:r>
          </w:p>
        </w:tc>
        <w:tc>
          <w:tcPr>
            <w:tcW w:w="1148" w:type="pct"/>
            <w:tcBorders>
              <w:tl2br w:val="nil"/>
              <w:tr2bl w:val="nil"/>
            </w:tcBorders>
            <w:vAlign w:val="center"/>
          </w:tcPr>
          <w:p w14:paraId="56834A65">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0"/>
                <w:sz w:val="21"/>
                <w:szCs w:val="21"/>
                <w:highlight w:val="none"/>
                <w:lang w:val="en-US" w:eastAsia="zh-CN"/>
              </w:rPr>
              <w:t>合理设置临时占地，严格控制施工作业带；施工期间的排水、绿化等水土保持措施，临时占地进行绿化恢复</w:t>
            </w:r>
          </w:p>
        </w:tc>
        <w:tc>
          <w:tcPr>
            <w:tcW w:w="1138" w:type="pct"/>
            <w:tcBorders>
              <w:tl2br w:val="nil"/>
              <w:tr2bl w:val="nil"/>
            </w:tcBorders>
            <w:vAlign w:val="center"/>
          </w:tcPr>
          <w:p w14:paraId="3481E085">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default" w:ascii="Times New Roman" w:hAnsi="Times New Roman" w:eastAsia="仿宋" w:cs="Times New Roman"/>
                <w:color w:val="auto"/>
                <w:kern w:val="0"/>
                <w:sz w:val="21"/>
                <w:szCs w:val="21"/>
                <w:highlight w:val="none"/>
                <w:lang w:val="en-US" w:eastAsia="zh-Hans"/>
              </w:rPr>
              <w:t>植被恢复效果达到要求</w:t>
            </w:r>
          </w:p>
        </w:tc>
        <w:tc>
          <w:tcPr>
            <w:tcW w:w="1004" w:type="pct"/>
            <w:tcBorders>
              <w:tl2br w:val="nil"/>
              <w:tr2bl w:val="nil"/>
            </w:tcBorders>
            <w:vAlign w:val="center"/>
          </w:tcPr>
          <w:p w14:paraId="3091596F">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c>
          <w:tcPr>
            <w:tcW w:w="1050" w:type="pct"/>
            <w:tcBorders>
              <w:tl2br w:val="nil"/>
              <w:tr2bl w:val="nil"/>
            </w:tcBorders>
            <w:vAlign w:val="center"/>
          </w:tcPr>
          <w:p w14:paraId="1933BB64">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r>
      <w:tr w14:paraId="3040C1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16" w:hRule="atLeast"/>
          <w:jc w:val="center"/>
        </w:trPr>
        <w:tc>
          <w:tcPr>
            <w:tcW w:w="658" w:type="pct"/>
            <w:tcBorders>
              <w:tl2br w:val="nil"/>
              <w:tr2bl w:val="nil"/>
            </w:tcBorders>
            <w:vAlign w:val="center"/>
          </w:tcPr>
          <w:p w14:paraId="24532284">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水生生态</w:t>
            </w:r>
          </w:p>
        </w:tc>
        <w:tc>
          <w:tcPr>
            <w:tcW w:w="1148" w:type="pct"/>
            <w:tcBorders>
              <w:tl2br w:val="nil"/>
              <w:tr2bl w:val="nil"/>
            </w:tcBorders>
            <w:vAlign w:val="center"/>
          </w:tcPr>
          <w:p w14:paraId="50D8238B">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禁止向</w:t>
            </w:r>
            <w:r>
              <w:rPr>
                <w:rFonts w:hint="eastAsia" w:eastAsia="仿宋" w:cs="Times New Roman"/>
                <w:color w:val="auto"/>
                <w:kern w:val="0"/>
                <w:sz w:val="21"/>
                <w:szCs w:val="21"/>
                <w:highlight w:val="none"/>
                <w:lang w:val="en-US" w:eastAsia="zh-CN"/>
              </w:rPr>
              <w:t>长荡湖</w:t>
            </w:r>
            <w:r>
              <w:rPr>
                <w:rFonts w:hint="default" w:ascii="Times New Roman" w:hAnsi="Times New Roman" w:eastAsia="仿宋" w:cs="Times New Roman"/>
                <w:color w:val="auto"/>
                <w:kern w:val="0"/>
                <w:sz w:val="21"/>
                <w:szCs w:val="21"/>
                <w:highlight w:val="none"/>
                <w:lang w:val="en-US" w:eastAsia="zh-Hans"/>
              </w:rPr>
              <w:t>直接排放施工废水，施工期间加强对水环境的保护，</w:t>
            </w:r>
            <w:r>
              <w:rPr>
                <w:rFonts w:hint="eastAsia" w:eastAsia="仿宋" w:cs="Times New Roman"/>
                <w:color w:val="auto"/>
                <w:kern w:val="0"/>
                <w:sz w:val="21"/>
                <w:szCs w:val="21"/>
                <w:highlight w:val="none"/>
                <w:lang w:val="en-US" w:eastAsia="zh-CN"/>
              </w:rPr>
              <w:t>建设单位应在施工场地内设置沉淀池，对临时堆放的施工材料进行遮盖，避免受雨水冲刷进入水体，</w:t>
            </w:r>
            <w:r>
              <w:rPr>
                <w:rFonts w:hint="default" w:ascii="Times New Roman" w:hAnsi="Times New Roman" w:eastAsia="仿宋" w:cs="Times New Roman"/>
                <w:color w:val="auto"/>
                <w:kern w:val="0"/>
                <w:sz w:val="21"/>
                <w:szCs w:val="21"/>
                <w:highlight w:val="none"/>
                <w:lang w:val="en-US" w:eastAsia="zh-Hans"/>
              </w:rPr>
              <w:t>避免局部水域发生污染</w:t>
            </w:r>
          </w:p>
        </w:tc>
        <w:tc>
          <w:tcPr>
            <w:tcW w:w="1138" w:type="pct"/>
            <w:tcBorders>
              <w:tl2br w:val="nil"/>
              <w:tr2bl w:val="nil"/>
            </w:tcBorders>
            <w:vAlign w:val="center"/>
          </w:tcPr>
          <w:p w14:paraId="032D164A">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落实相关措施，对水生生态的影响小</w:t>
            </w:r>
          </w:p>
        </w:tc>
        <w:tc>
          <w:tcPr>
            <w:tcW w:w="1004" w:type="pct"/>
            <w:tcBorders>
              <w:tl2br w:val="nil"/>
              <w:tr2bl w:val="nil"/>
            </w:tcBorders>
            <w:vAlign w:val="center"/>
          </w:tcPr>
          <w:p w14:paraId="3068BAFA">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c>
          <w:tcPr>
            <w:tcW w:w="1050" w:type="pct"/>
            <w:tcBorders>
              <w:tl2br w:val="nil"/>
              <w:tr2bl w:val="nil"/>
            </w:tcBorders>
            <w:vAlign w:val="center"/>
          </w:tcPr>
          <w:p w14:paraId="1637D28B">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r>
      <w:tr w14:paraId="39A5CE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4" w:hRule="atLeast"/>
          <w:jc w:val="center"/>
        </w:trPr>
        <w:tc>
          <w:tcPr>
            <w:tcW w:w="658" w:type="pct"/>
            <w:tcBorders>
              <w:tl2br w:val="nil"/>
              <w:tr2bl w:val="nil"/>
            </w:tcBorders>
            <w:vAlign w:val="center"/>
          </w:tcPr>
          <w:p w14:paraId="60B0C996">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地表水环境</w:t>
            </w:r>
          </w:p>
        </w:tc>
        <w:tc>
          <w:tcPr>
            <w:tcW w:w="1148" w:type="pct"/>
            <w:tcBorders>
              <w:tl2br w:val="nil"/>
              <w:tr2bl w:val="nil"/>
            </w:tcBorders>
            <w:vAlign w:val="center"/>
          </w:tcPr>
          <w:p w14:paraId="0FE0474D">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施工废水通过隔油沉淀池，经沉淀分离处理后回用于施工场地洒水抑尘等，不外排；施工人员产生的生活污水依托周围商业区的公辅设施进入市政污水管网，接管至常州金坛区第一污水处理有限公司</w:t>
            </w:r>
          </w:p>
        </w:tc>
        <w:tc>
          <w:tcPr>
            <w:tcW w:w="1138" w:type="pct"/>
            <w:tcBorders>
              <w:tl2br w:val="nil"/>
              <w:tr2bl w:val="nil"/>
            </w:tcBorders>
            <w:vAlign w:val="center"/>
          </w:tcPr>
          <w:p w14:paraId="118EC92F">
            <w:pPr>
              <w:keepNext w:val="0"/>
              <w:keepLines w:val="0"/>
              <w:pageBreakBefore w:val="0"/>
              <w:widowControl w:val="0"/>
              <w:numPr>
                <w:ilvl w:val="0"/>
                <w:numId w:val="0"/>
              </w:numPr>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b w:val="0"/>
                <w:bCs w:val="0"/>
                <w:color w:val="auto"/>
                <w:kern w:val="0"/>
                <w:sz w:val="21"/>
                <w:szCs w:val="21"/>
                <w:highlight w:val="none"/>
                <w:lang w:val="en-US" w:eastAsia="zh-CN"/>
              </w:rPr>
              <w:t>施工回用水满足</w:t>
            </w:r>
            <w:r>
              <w:rPr>
                <w:rFonts w:hint="default" w:ascii="Times New Roman" w:hAnsi="Times New Roman" w:eastAsia="仿宋" w:cs="Times New Roman"/>
                <w:b w:val="0"/>
                <w:bCs w:val="0"/>
                <w:color w:val="auto"/>
                <w:kern w:val="0"/>
                <w:sz w:val="21"/>
                <w:szCs w:val="21"/>
                <w:highlight w:val="none"/>
                <w:lang w:val="en-US" w:eastAsia="zh-Hans"/>
              </w:rPr>
              <w:t>《城市污水再生利用 城市杂用水水质》（GB/T 18920-2020）中相关标准</w:t>
            </w:r>
          </w:p>
        </w:tc>
        <w:tc>
          <w:tcPr>
            <w:tcW w:w="1004" w:type="pct"/>
            <w:tcBorders>
              <w:tl2br w:val="nil"/>
              <w:tr2bl w:val="nil"/>
            </w:tcBorders>
            <w:vAlign w:val="center"/>
          </w:tcPr>
          <w:p w14:paraId="5E163236">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0"/>
                <w:sz w:val="21"/>
                <w:szCs w:val="21"/>
                <w:highlight w:val="none"/>
                <w:lang w:val="en-US" w:eastAsia="zh-CN"/>
              </w:rPr>
              <w:t>在设计上采用了中间高、两端低的建筑造型，已考虑收集桥面径流，雨水排入体育休闲房车营地的雨水管网，最终流入市政管网。</w:t>
            </w:r>
          </w:p>
        </w:tc>
        <w:tc>
          <w:tcPr>
            <w:tcW w:w="1050" w:type="pct"/>
            <w:tcBorders>
              <w:tl2br w:val="nil"/>
              <w:tr2bl w:val="nil"/>
            </w:tcBorders>
            <w:vAlign w:val="center"/>
          </w:tcPr>
          <w:p w14:paraId="322CA64C">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w:t>
            </w:r>
          </w:p>
        </w:tc>
      </w:tr>
      <w:tr w14:paraId="3B0B56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658" w:type="pct"/>
            <w:tcBorders>
              <w:tl2br w:val="nil"/>
              <w:tr2bl w:val="nil"/>
            </w:tcBorders>
            <w:vAlign w:val="center"/>
          </w:tcPr>
          <w:p w14:paraId="70D31606">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地下水及土壤环境</w:t>
            </w:r>
          </w:p>
        </w:tc>
        <w:tc>
          <w:tcPr>
            <w:tcW w:w="1148" w:type="pct"/>
            <w:tcBorders>
              <w:tl2br w:val="nil"/>
              <w:tr2bl w:val="nil"/>
            </w:tcBorders>
            <w:vAlign w:val="center"/>
          </w:tcPr>
          <w:p w14:paraId="78AE1B6A">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0"/>
                <w:sz w:val="21"/>
                <w:szCs w:val="21"/>
                <w:highlight w:val="none"/>
                <w:lang w:val="en-US" w:eastAsia="zh-CN"/>
              </w:rPr>
              <w:t>/</w:t>
            </w:r>
          </w:p>
        </w:tc>
        <w:tc>
          <w:tcPr>
            <w:tcW w:w="1138" w:type="pct"/>
            <w:tcBorders>
              <w:tl2br w:val="nil"/>
              <w:tr2bl w:val="nil"/>
            </w:tcBorders>
            <w:vAlign w:val="center"/>
          </w:tcPr>
          <w:p w14:paraId="3125A2DB">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w:t>
            </w:r>
          </w:p>
        </w:tc>
        <w:tc>
          <w:tcPr>
            <w:tcW w:w="1004" w:type="pct"/>
            <w:tcBorders>
              <w:tl2br w:val="nil"/>
              <w:tr2bl w:val="nil"/>
            </w:tcBorders>
            <w:vAlign w:val="center"/>
          </w:tcPr>
          <w:p w14:paraId="087D86E6">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ascii="Times New Roman" w:hAnsi="Times New Roman" w:eastAsia="仿宋" w:cs="Times New Roman"/>
                <w:color w:val="auto"/>
                <w:kern w:val="0"/>
                <w:sz w:val="21"/>
                <w:szCs w:val="21"/>
                <w:highlight w:val="none"/>
                <w:lang w:val="en-US" w:eastAsia="zh-CN"/>
              </w:rPr>
              <w:t>/</w:t>
            </w:r>
          </w:p>
        </w:tc>
        <w:tc>
          <w:tcPr>
            <w:tcW w:w="1050" w:type="pct"/>
            <w:tcBorders>
              <w:tl2br w:val="nil"/>
              <w:tr2bl w:val="nil"/>
            </w:tcBorders>
            <w:vAlign w:val="center"/>
          </w:tcPr>
          <w:p w14:paraId="5C561B1E">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r>
      <w:tr w14:paraId="390808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76" w:hRule="atLeast"/>
          <w:jc w:val="center"/>
        </w:trPr>
        <w:tc>
          <w:tcPr>
            <w:tcW w:w="658" w:type="pct"/>
            <w:tcBorders>
              <w:tl2br w:val="nil"/>
              <w:tr2bl w:val="nil"/>
            </w:tcBorders>
            <w:vAlign w:val="center"/>
          </w:tcPr>
          <w:p w14:paraId="49DEB489">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声环境</w:t>
            </w:r>
          </w:p>
        </w:tc>
        <w:tc>
          <w:tcPr>
            <w:tcW w:w="1148" w:type="pct"/>
            <w:tcBorders>
              <w:tl2br w:val="nil"/>
              <w:tr2bl w:val="nil"/>
            </w:tcBorders>
            <w:vAlign w:val="center"/>
          </w:tcPr>
          <w:p w14:paraId="132480DE">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合理安排布局，制定施工计划，加强施工管理，必要时采取临时降噪措施</w:t>
            </w:r>
          </w:p>
        </w:tc>
        <w:tc>
          <w:tcPr>
            <w:tcW w:w="1138" w:type="pct"/>
            <w:tcBorders>
              <w:tl2br w:val="nil"/>
              <w:tr2bl w:val="nil"/>
            </w:tcBorders>
            <w:vAlign w:val="center"/>
          </w:tcPr>
          <w:p w14:paraId="151D5E31">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满足《建筑施工场界环境噪声排放标准》</w:t>
            </w:r>
            <w:r>
              <w:rPr>
                <w:rFonts w:hint="eastAsia" w:ascii="Times New Roman" w:hAnsi="Times New Roman" w:eastAsia="仿宋" w:cs="Times New Roman"/>
                <w:color w:val="auto"/>
                <w:kern w:val="0"/>
                <w:sz w:val="21"/>
                <w:szCs w:val="21"/>
                <w:highlight w:val="none"/>
                <w:lang w:val="en-US" w:eastAsia="zh-CN"/>
              </w:rPr>
              <w:t>（</w:t>
            </w:r>
            <w:r>
              <w:rPr>
                <w:rFonts w:hint="default" w:ascii="Times New Roman" w:hAnsi="Times New Roman" w:eastAsia="仿宋" w:cs="Times New Roman"/>
                <w:color w:val="auto"/>
                <w:kern w:val="0"/>
                <w:sz w:val="21"/>
                <w:szCs w:val="21"/>
                <w:highlight w:val="none"/>
                <w:lang w:val="en-US" w:eastAsia="zh-Hans"/>
              </w:rPr>
              <w:t>GB12523-2011</w:t>
            </w:r>
            <w:r>
              <w:rPr>
                <w:rFonts w:hint="eastAsia" w:ascii="Times New Roman" w:hAnsi="Times New Roman" w:eastAsia="仿宋" w:cs="Times New Roman"/>
                <w:color w:val="auto"/>
                <w:kern w:val="0"/>
                <w:sz w:val="21"/>
                <w:szCs w:val="21"/>
                <w:highlight w:val="none"/>
                <w:lang w:val="en-US" w:eastAsia="zh-CN"/>
              </w:rPr>
              <w:t>）</w:t>
            </w:r>
          </w:p>
        </w:tc>
        <w:tc>
          <w:tcPr>
            <w:tcW w:w="1004" w:type="pct"/>
            <w:tcBorders>
              <w:tl2br w:val="nil"/>
              <w:tr2bl w:val="nil"/>
            </w:tcBorders>
            <w:vAlign w:val="center"/>
          </w:tcPr>
          <w:p w14:paraId="196409C3">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eastAsia" w:eastAsia="仿宋" w:cs="Times New Roman"/>
                <w:color w:val="auto"/>
                <w:kern w:val="0"/>
                <w:sz w:val="21"/>
                <w:szCs w:val="21"/>
                <w:highlight w:val="none"/>
                <w:lang w:val="en-US" w:eastAsia="zh-CN"/>
              </w:rPr>
              <w:t>设置标识牌等</w:t>
            </w:r>
          </w:p>
        </w:tc>
        <w:tc>
          <w:tcPr>
            <w:tcW w:w="1050" w:type="pct"/>
            <w:tcBorders>
              <w:tl2br w:val="nil"/>
              <w:tr2bl w:val="nil"/>
            </w:tcBorders>
            <w:vAlign w:val="center"/>
          </w:tcPr>
          <w:p w14:paraId="7FD2A797">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0"/>
                <w:sz w:val="21"/>
                <w:szCs w:val="21"/>
                <w:highlight w:val="none"/>
                <w:lang w:val="en-US" w:eastAsia="zh-CN"/>
              </w:rPr>
              <w:t>应急疏散通道桥梁中线两侧界执行</w:t>
            </w:r>
            <w:r>
              <w:rPr>
                <w:rFonts w:hint="eastAsia" w:ascii="Times New Roman" w:hAnsi="Times New Roman" w:eastAsia="仿宋" w:cs="Times New Roman"/>
                <w:color w:val="auto"/>
                <w:kern w:val="0"/>
                <w:sz w:val="21"/>
                <w:szCs w:val="21"/>
                <w:highlight w:val="none"/>
                <w:lang w:val="en-US" w:eastAsia="zh-CN"/>
              </w:rPr>
              <w:t>《声环境质量标准》（GB3096-2008）</w:t>
            </w:r>
            <w:r>
              <w:rPr>
                <w:rFonts w:hint="eastAsia" w:eastAsia="仿宋" w:cs="Times New Roman"/>
                <w:color w:val="auto"/>
                <w:kern w:val="0"/>
                <w:sz w:val="21"/>
                <w:szCs w:val="21"/>
                <w:highlight w:val="none"/>
                <w:lang w:val="en-US" w:eastAsia="zh-CN"/>
              </w:rPr>
              <w:t>1</w:t>
            </w:r>
            <w:r>
              <w:rPr>
                <w:rFonts w:hint="eastAsia" w:ascii="Times New Roman" w:hAnsi="Times New Roman" w:eastAsia="仿宋" w:cs="Times New Roman"/>
                <w:color w:val="auto"/>
                <w:kern w:val="0"/>
                <w:sz w:val="21"/>
                <w:szCs w:val="21"/>
                <w:highlight w:val="none"/>
                <w:lang w:val="en-US" w:eastAsia="zh-CN"/>
              </w:rPr>
              <w:t>类标准</w:t>
            </w:r>
          </w:p>
        </w:tc>
      </w:tr>
      <w:tr w14:paraId="30C3AE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658" w:type="pct"/>
            <w:tcBorders>
              <w:tl2br w:val="nil"/>
              <w:tr2bl w:val="nil"/>
            </w:tcBorders>
            <w:vAlign w:val="center"/>
          </w:tcPr>
          <w:p w14:paraId="00E7753F">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振动</w:t>
            </w:r>
          </w:p>
        </w:tc>
        <w:tc>
          <w:tcPr>
            <w:tcW w:w="1148" w:type="pct"/>
            <w:tcBorders>
              <w:tl2br w:val="nil"/>
              <w:tr2bl w:val="nil"/>
            </w:tcBorders>
            <w:vAlign w:val="center"/>
          </w:tcPr>
          <w:p w14:paraId="37E2EB09">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default" w:ascii="Times New Roman" w:hAnsi="Times New Roman" w:eastAsia="仿宋" w:cs="Times New Roman"/>
                <w:color w:val="auto"/>
                <w:kern w:val="0"/>
                <w:sz w:val="21"/>
                <w:szCs w:val="21"/>
                <w:highlight w:val="none"/>
                <w:lang w:val="en-US" w:eastAsia="zh-Hans"/>
              </w:rPr>
              <w:t>/</w:t>
            </w:r>
          </w:p>
        </w:tc>
        <w:tc>
          <w:tcPr>
            <w:tcW w:w="1138" w:type="pct"/>
            <w:tcBorders>
              <w:tl2br w:val="nil"/>
              <w:tr2bl w:val="nil"/>
            </w:tcBorders>
            <w:vAlign w:val="center"/>
          </w:tcPr>
          <w:p w14:paraId="29F4B2A2">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c>
          <w:tcPr>
            <w:tcW w:w="1004" w:type="pct"/>
            <w:tcBorders>
              <w:tl2br w:val="nil"/>
              <w:tr2bl w:val="nil"/>
            </w:tcBorders>
            <w:vAlign w:val="center"/>
          </w:tcPr>
          <w:p w14:paraId="46A90216">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c>
          <w:tcPr>
            <w:tcW w:w="1050" w:type="pct"/>
            <w:tcBorders>
              <w:tl2br w:val="nil"/>
              <w:tr2bl w:val="nil"/>
            </w:tcBorders>
            <w:vAlign w:val="center"/>
          </w:tcPr>
          <w:p w14:paraId="60CD98DB">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r>
      <w:tr w14:paraId="1E503A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658" w:type="pct"/>
            <w:tcBorders>
              <w:tl2br w:val="nil"/>
              <w:tr2bl w:val="nil"/>
            </w:tcBorders>
            <w:vAlign w:val="center"/>
          </w:tcPr>
          <w:p w14:paraId="78A57677">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大气环境</w:t>
            </w:r>
          </w:p>
        </w:tc>
        <w:tc>
          <w:tcPr>
            <w:tcW w:w="1148" w:type="pct"/>
            <w:tcBorders>
              <w:tl2br w:val="nil"/>
              <w:tr2bl w:val="nil"/>
            </w:tcBorders>
            <w:vAlign w:val="center"/>
          </w:tcPr>
          <w:p w14:paraId="74B742FD">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施工场地定期洒水抑尘，堆放的物料采取防尘抑制措施，车辆进出施工现场出入口路面保持清洁、湿润，定期对机械进行维修保养</w:t>
            </w:r>
          </w:p>
        </w:tc>
        <w:tc>
          <w:tcPr>
            <w:tcW w:w="1138" w:type="pct"/>
            <w:tcBorders>
              <w:tl2br w:val="nil"/>
              <w:tr2bl w:val="nil"/>
            </w:tcBorders>
            <w:vAlign w:val="center"/>
          </w:tcPr>
          <w:p w14:paraId="1C720E35">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default" w:ascii="Times New Roman" w:hAnsi="Times New Roman" w:eastAsia="仿宋" w:cs="Times New Roman"/>
                <w:color w:val="auto"/>
                <w:kern w:val="0"/>
                <w:sz w:val="21"/>
                <w:szCs w:val="21"/>
                <w:highlight w:val="none"/>
                <w:lang w:val="en-US" w:eastAsia="zh-Hans"/>
              </w:rPr>
              <w:t>各项措施严格落实</w:t>
            </w:r>
            <w:r>
              <w:rPr>
                <w:rFonts w:hint="eastAsia" w:ascii="Times New Roman" w:hAnsi="Times New Roman" w:eastAsia="仿宋" w:cs="Times New Roman"/>
                <w:color w:val="auto"/>
                <w:kern w:val="0"/>
                <w:sz w:val="21"/>
                <w:szCs w:val="21"/>
                <w:highlight w:val="none"/>
                <w:lang w:val="en-US" w:eastAsia="zh-CN"/>
              </w:rPr>
              <w:t>，施工期扬尘执行</w:t>
            </w:r>
            <w:r>
              <w:rPr>
                <w:rFonts w:hint="eastAsia" w:ascii="Times New Roman" w:hAnsi="Times New Roman" w:eastAsia="仿宋" w:cs="Times New Roman"/>
                <w:color w:val="auto"/>
                <w:kern w:val="0"/>
                <w:sz w:val="21"/>
                <w:szCs w:val="21"/>
                <w:highlight w:val="none"/>
                <w:lang w:val="en-US" w:eastAsia="zh-CN" w:bidi="ar-SA"/>
              </w:rPr>
              <w:t>《</w:t>
            </w:r>
            <w:r>
              <w:rPr>
                <w:rFonts w:hint="eastAsia" w:eastAsia="仿宋" w:cs="Times New Roman"/>
                <w:color w:val="auto"/>
                <w:kern w:val="0"/>
                <w:sz w:val="21"/>
                <w:szCs w:val="21"/>
                <w:highlight w:val="none"/>
                <w:lang w:val="en-US" w:eastAsia="zh-CN" w:bidi="ar-SA"/>
              </w:rPr>
              <w:t>江苏省</w:t>
            </w:r>
            <w:r>
              <w:rPr>
                <w:rFonts w:hint="eastAsia" w:ascii="Times New Roman" w:hAnsi="Times New Roman" w:eastAsia="仿宋" w:cs="Times New Roman"/>
                <w:color w:val="auto"/>
                <w:kern w:val="0"/>
                <w:sz w:val="21"/>
                <w:szCs w:val="21"/>
                <w:highlight w:val="none"/>
                <w:lang w:val="en-US" w:eastAsia="zh-CN" w:bidi="ar-SA"/>
              </w:rPr>
              <w:t>大气污染物综合排放标准（</w:t>
            </w:r>
            <w:r>
              <w:rPr>
                <w:rFonts w:hint="eastAsia" w:eastAsia="仿宋" w:cs="Times New Roman"/>
                <w:color w:val="auto"/>
                <w:kern w:val="0"/>
                <w:sz w:val="21"/>
                <w:szCs w:val="21"/>
                <w:highlight w:val="none"/>
                <w:lang w:val="en-US" w:eastAsia="zh-CN" w:bidi="ar-SA"/>
              </w:rPr>
              <w:t>DB32/4041-2021</w:t>
            </w:r>
            <w:r>
              <w:rPr>
                <w:rFonts w:hint="eastAsia" w:ascii="Times New Roman" w:hAnsi="Times New Roman" w:eastAsia="仿宋" w:cs="Times New Roman"/>
                <w:color w:val="auto"/>
                <w:kern w:val="0"/>
                <w:sz w:val="21"/>
                <w:szCs w:val="21"/>
                <w:highlight w:val="none"/>
                <w:lang w:val="en-US" w:eastAsia="zh-CN" w:bidi="ar-SA"/>
              </w:rPr>
              <w:t>）中表3限值</w:t>
            </w:r>
          </w:p>
        </w:tc>
        <w:tc>
          <w:tcPr>
            <w:tcW w:w="1004" w:type="pct"/>
            <w:tcBorders>
              <w:tl2br w:val="nil"/>
              <w:tr2bl w:val="nil"/>
            </w:tcBorders>
            <w:vAlign w:val="center"/>
          </w:tcPr>
          <w:p w14:paraId="562FF223">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2"/>
                <w:sz w:val="21"/>
                <w:szCs w:val="21"/>
                <w:lang w:val="en-US" w:eastAsia="zh-CN" w:bidi="ar"/>
              </w:rPr>
              <w:t>/</w:t>
            </w:r>
          </w:p>
        </w:tc>
        <w:tc>
          <w:tcPr>
            <w:tcW w:w="1050" w:type="pct"/>
            <w:tcBorders>
              <w:tl2br w:val="nil"/>
              <w:tr2bl w:val="nil"/>
            </w:tcBorders>
            <w:vAlign w:val="center"/>
          </w:tcPr>
          <w:p w14:paraId="36404F25">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2"/>
                <w:sz w:val="21"/>
                <w:szCs w:val="21"/>
                <w:lang w:val="en-US" w:eastAsia="zh-CN" w:bidi="ar"/>
              </w:rPr>
              <w:t>/</w:t>
            </w:r>
          </w:p>
        </w:tc>
      </w:tr>
      <w:tr w14:paraId="434CB1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18" w:hRule="atLeast"/>
          <w:jc w:val="center"/>
        </w:trPr>
        <w:tc>
          <w:tcPr>
            <w:tcW w:w="658" w:type="pct"/>
            <w:tcBorders>
              <w:tl2br w:val="nil"/>
              <w:tr2bl w:val="nil"/>
            </w:tcBorders>
            <w:vAlign w:val="center"/>
          </w:tcPr>
          <w:p w14:paraId="2CF90B34">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固体废物</w:t>
            </w:r>
          </w:p>
        </w:tc>
        <w:tc>
          <w:tcPr>
            <w:tcW w:w="1148" w:type="pct"/>
            <w:tcBorders>
              <w:tl2br w:val="nil"/>
              <w:tr2bl w:val="nil"/>
            </w:tcBorders>
            <w:vAlign w:val="center"/>
          </w:tcPr>
          <w:p w14:paraId="069EC3C5">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eastAsia" w:ascii="Times New Roman" w:hAnsi="Times New Roman" w:eastAsia="仿宋" w:cs="Times New Roman"/>
                <w:color w:val="auto"/>
                <w:kern w:val="0"/>
                <w:sz w:val="21"/>
                <w:szCs w:val="21"/>
                <w:highlight w:val="none"/>
                <w:lang w:val="en-US" w:eastAsia="zh-CN"/>
              </w:rPr>
            </w:pPr>
            <w:r>
              <w:rPr>
                <w:rFonts w:hint="default" w:ascii="Times New Roman" w:hAnsi="Times New Roman" w:eastAsia="仿宋" w:cs="Times New Roman"/>
                <w:color w:val="auto"/>
                <w:kern w:val="0"/>
                <w:sz w:val="21"/>
                <w:szCs w:val="21"/>
                <w:highlight w:val="none"/>
                <w:lang w:val="en-US" w:eastAsia="zh-Hans"/>
              </w:rPr>
              <w:t>生活垃圾由环卫部门统一清运；建筑垃圾由施工单位负责日产日清，送特种垃圾管理站统一处理</w:t>
            </w:r>
            <w:r>
              <w:rPr>
                <w:rFonts w:hint="eastAsia" w:eastAsia="仿宋" w:cs="Times New Roman"/>
                <w:color w:val="auto"/>
                <w:kern w:val="0"/>
                <w:sz w:val="21"/>
                <w:szCs w:val="21"/>
                <w:highlight w:val="none"/>
                <w:lang w:val="en-US" w:eastAsia="zh-CN"/>
              </w:rPr>
              <w:t>；施工废水经隔油沉淀池简易处理后产生的废油委托有资质单位处置</w:t>
            </w:r>
          </w:p>
        </w:tc>
        <w:tc>
          <w:tcPr>
            <w:tcW w:w="1138" w:type="pct"/>
            <w:tcBorders>
              <w:tl2br w:val="nil"/>
              <w:tr2bl w:val="nil"/>
            </w:tcBorders>
            <w:vAlign w:val="center"/>
          </w:tcPr>
          <w:p w14:paraId="7CE802A2">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default" w:ascii="Times New Roman" w:hAnsi="Times New Roman" w:eastAsia="仿宋" w:cs="Times New Roman"/>
                <w:color w:val="auto"/>
                <w:kern w:val="0"/>
                <w:sz w:val="21"/>
                <w:szCs w:val="21"/>
                <w:highlight w:val="none"/>
                <w:lang w:val="en-US" w:eastAsia="zh-Hans"/>
              </w:rPr>
              <w:t>按规定妥善处置</w:t>
            </w:r>
            <w:r>
              <w:rPr>
                <w:rFonts w:hint="eastAsia" w:eastAsia="仿宋" w:cs="Times New Roman"/>
                <w:color w:val="auto"/>
                <w:kern w:val="0"/>
                <w:sz w:val="21"/>
                <w:szCs w:val="21"/>
                <w:highlight w:val="none"/>
                <w:lang w:val="en-US" w:eastAsia="zh-CN"/>
              </w:rPr>
              <w:t>，固体废物零排放</w:t>
            </w:r>
          </w:p>
        </w:tc>
        <w:tc>
          <w:tcPr>
            <w:tcW w:w="1004" w:type="pct"/>
            <w:tcBorders>
              <w:tl2br w:val="nil"/>
              <w:tr2bl w:val="nil"/>
            </w:tcBorders>
            <w:vAlign w:val="center"/>
          </w:tcPr>
          <w:p w14:paraId="1BE86219">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0"/>
                <w:sz w:val="21"/>
                <w:szCs w:val="21"/>
                <w:highlight w:val="none"/>
                <w:lang w:val="en-US" w:eastAsia="zh-CN"/>
              </w:rPr>
              <w:t>沿人行道设置垃圾桶，委托当地环卫部门定期清运处理，管理单位加强管理。</w:t>
            </w:r>
          </w:p>
        </w:tc>
        <w:tc>
          <w:tcPr>
            <w:tcW w:w="1050" w:type="pct"/>
            <w:tcBorders>
              <w:tl2br w:val="nil"/>
              <w:tr2bl w:val="nil"/>
            </w:tcBorders>
            <w:vAlign w:val="center"/>
          </w:tcPr>
          <w:p w14:paraId="2583D270">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0"/>
                <w:sz w:val="21"/>
                <w:szCs w:val="21"/>
                <w:highlight w:val="none"/>
                <w:lang w:val="en-US" w:eastAsia="zh-CN"/>
              </w:rPr>
              <w:t>固体废物零排放</w:t>
            </w:r>
          </w:p>
        </w:tc>
      </w:tr>
      <w:tr w14:paraId="69F3BA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658" w:type="pct"/>
            <w:tcBorders>
              <w:tl2br w:val="nil"/>
              <w:tr2bl w:val="nil"/>
            </w:tcBorders>
            <w:vAlign w:val="center"/>
          </w:tcPr>
          <w:p w14:paraId="1393F129">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电磁环境</w:t>
            </w:r>
          </w:p>
        </w:tc>
        <w:tc>
          <w:tcPr>
            <w:tcW w:w="1148" w:type="pct"/>
            <w:tcBorders>
              <w:tl2br w:val="nil"/>
              <w:tr2bl w:val="nil"/>
            </w:tcBorders>
            <w:vAlign w:val="center"/>
          </w:tcPr>
          <w:p w14:paraId="0EF3CF61">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c>
          <w:tcPr>
            <w:tcW w:w="1138" w:type="pct"/>
            <w:tcBorders>
              <w:tl2br w:val="nil"/>
              <w:tr2bl w:val="nil"/>
            </w:tcBorders>
            <w:vAlign w:val="center"/>
          </w:tcPr>
          <w:p w14:paraId="79802F49">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c>
          <w:tcPr>
            <w:tcW w:w="1004" w:type="pct"/>
            <w:tcBorders>
              <w:tl2br w:val="nil"/>
              <w:tr2bl w:val="nil"/>
            </w:tcBorders>
            <w:vAlign w:val="center"/>
          </w:tcPr>
          <w:p w14:paraId="6C526EB0">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c>
          <w:tcPr>
            <w:tcW w:w="1050" w:type="pct"/>
            <w:tcBorders>
              <w:tl2br w:val="nil"/>
              <w:tr2bl w:val="nil"/>
            </w:tcBorders>
            <w:vAlign w:val="center"/>
          </w:tcPr>
          <w:p w14:paraId="62CF8481">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r>
      <w:tr w14:paraId="40BD4A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4" w:hRule="atLeast"/>
          <w:jc w:val="center"/>
        </w:trPr>
        <w:tc>
          <w:tcPr>
            <w:tcW w:w="658" w:type="pct"/>
            <w:tcBorders>
              <w:tl2br w:val="nil"/>
              <w:tr2bl w:val="nil"/>
            </w:tcBorders>
            <w:vAlign w:val="center"/>
          </w:tcPr>
          <w:p w14:paraId="2E545C32">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环境风险</w:t>
            </w:r>
          </w:p>
        </w:tc>
        <w:tc>
          <w:tcPr>
            <w:tcW w:w="1148" w:type="pct"/>
            <w:tcBorders>
              <w:tl2br w:val="nil"/>
              <w:tr2bl w:val="nil"/>
            </w:tcBorders>
            <w:vAlign w:val="center"/>
          </w:tcPr>
          <w:p w14:paraId="433D4C4C">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CN"/>
              </w:rPr>
            </w:pPr>
            <w:r>
              <w:rPr>
                <w:rFonts w:hint="default" w:ascii="Times New Roman" w:hAnsi="Times New Roman" w:eastAsia="仿宋" w:cs="Times New Roman"/>
                <w:color w:val="auto"/>
                <w:kern w:val="0"/>
                <w:sz w:val="21"/>
                <w:szCs w:val="21"/>
                <w:highlight w:val="none"/>
                <w:lang w:val="en-US" w:eastAsia="zh-CN"/>
              </w:rPr>
              <w:t>车辆机械等可能会产生漏油风险</w:t>
            </w:r>
          </w:p>
        </w:tc>
        <w:tc>
          <w:tcPr>
            <w:tcW w:w="1138" w:type="pct"/>
            <w:tcBorders>
              <w:tl2br w:val="nil"/>
              <w:tr2bl w:val="nil"/>
            </w:tcBorders>
            <w:vAlign w:val="center"/>
          </w:tcPr>
          <w:p w14:paraId="5AF76D92">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CN"/>
              </w:rPr>
              <w:t>严格管理，避免施工设备、运输</w:t>
            </w:r>
            <w:r>
              <w:rPr>
                <w:rFonts w:hint="eastAsia" w:eastAsia="仿宋" w:cs="Times New Roman"/>
                <w:color w:val="auto"/>
                <w:kern w:val="0"/>
                <w:sz w:val="21"/>
                <w:szCs w:val="21"/>
                <w:highlight w:val="none"/>
                <w:lang w:val="en-US" w:eastAsia="zh-CN"/>
              </w:rPr>
              <w:t>载具</w:t>
            </w:r>
            <w:r>
              <w:rPr>
                <w:rFonts w:hint="default" w:ascii="Times New Roman" w:hAnsi="Times New Roman" w:eastAsia="仿宋" w:cs="Times New Roman"/>
                <w:color w:val="auto"/>
                <w:kern w:val="0"/>
                <w:sz w:val="21"/>
                <w:szCs w:val="21"/>
                <w:highlight w:val="none"/>
                <w:lang w:val="en-US" w:eastAsia="zh-CN"/>
              </w:rPr>
              <w:t>发生柴油泄露</w:t>
            </w:r>
          </w:p>
        </w:tc>
        <w:tc>
          <w:tcPr>
            <w:tcW w:w="1004" w:type="pct"/>
            <w:tcBorders>
              <w:tl2br w:val="nil"/>
              <w:tr2bl w:val="nil"/>
            </w:tcBorders>
            <w:vAlign w:val="center"/>
          </w:tcPr>
          <w:p w14:paraId="5E852DCF">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0"/>
                <w:sz w:val="21"/>
                <w:szCs w:val="21"/>
                <w:highlight w:val="none"/>
                <w:lang w:val="en-US" w:eastAsia="zh-CN"/>
              </w:rPr>
              <w:t>/</w:t>
            </w:r>
          </w:p>
        </w:tc>
        <w:tc>
          <w:tcPr>
            <w:tcW w:w="1050" w:type="pct"/>
            <w:tcBorders>
              <w:tl2br w:val="nil"/>
              <w:tr2bl w:val="nil"/>
            </w:tcBorders>
            <w:vAlign w:val="center"/>
          </w:tcPr>
          <w:p w14:paraId="35F166D0">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eastAsia="仿宋" w:cs="Times New Roman"/>
                <w:color w:val="auto"/>
                <w:kern w:val="0"/>
                <w:sz w:val="21"/>
                <w:szCs w:val="21"/>
                <w:highlight w:val="none"/>
                <w:lang w:val="en-US" w:eastAsia="zh-CN"/>
              </w:rPr>
              <w:t>/</w:t>
            </w:r>
          </w:p>
        </w:tc>
      </w:tr>
      <w:tr w14:paraId="5821EB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658" w:type="pct"/>
            <w:tcBorders>
              <w:tl2br w:val="nil"/>
              <w:tr2bl w:val="nil"/>
            </w:tcBorders>
            <w:vAlign w:val="center"/>
          </w:tcPr>
          <w:p w14:paraId="28076544">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环境监测</w:t>
            </w:r>
          </w:p>
        </w:tc>
        <w:tc>
          <w:tcPr>
            <w:tcW w:w="1148" w:type="pct"/>
            <w:tcBorders>
              <w:tl2br w:val="nil"/>
              <w:tr2bl w:val="nil"/>
            </w:tcBorders>
            <w:vAlign w:val="center"/>
          </w:tcPr>
          <w:p w14:paraId="443E4B48">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ascii="Times New Roman" w:hAnsi="Times New Roman" w:eastAsia="仿宋" w:cs="Times New Roman"/>
                <w:color w:val="auto"/>
                <w:kern w:val="0"/>
                <w:sz w:val="21"/>
                <w:szCs w:val="21"/>
                <w:highlight w:val="none"/>
                <w:lang w:val="en-US" w:eastAsia="zh-CN"/>
              </w:rPr>
              <w:t>/</w:t>
            </w:r>
          </w:p>
        </w:tc>
        <w:tc>
          <w:tcPr>
            <w:tcW w:w="1138" w:type="pct"/>
            <w:tcBorders>
              <w:tl2br w:val="nil"/>
              <w:tr2bl w:val="nil"/>
            </w:tcBorders>
            <w:vAlign w:val="center"/>
          </w:tcPr>
          <w:p w14:paraId="74678C11">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eastAsia" w:ascii="Times New Roman" w:hAnsi="Times New Roman" w:eastAsia="仿宋" w:cs="Times New Roman"/>
                <w:color w:val="auto"/>
                <w:kern w:val="0"/>
                <w:sz w:val="21"/>
                <w:szCs w:val="21"/>
                <w:highlight w:val="none"/>
                <w:lang w:val="en-US" w:eastAsia="zh-CN"/>
              </w:rPr>
            </w:pPr>
            <w:r>
              <w:rPr>
                <w:rFonts w:hint="eastAsia" w:ascii="Times New Roman" w:hAnsi="Times New Roman" w:eastAsia="仿宋" w:cs="Times New Roman"/>
                <w:color w:val="auto"/>
                <w:kern w:val="0"/>
                <w:sz w:val="21"/>
                <w:szCs w:val="21"/>
                <w:highlight w:val="none"/>
                <w:lang w:val="en-US" w:eastAsia="zh-CN"/>
              </w:rPr>
              <w:t>/</w:t>
            </w:r>
          </w:p>
        </w:tc>
        <w:tc>
          <w:tcPr>
            <w:tcW w:w="1004" w:type="pct"/>
            <w:tcBorders>
              <w:tl2br w:val="nil"/>
              <w:tr2bl w:val="nil"/>
            </w:tcBorders>
            <w:vAlign w:val="center"/>
          </w:tcPr>
          <w:p w14:paraId="5ED09867">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ascii="Times New Roman" w:hAnsi="Times New Roman" w:eastAsia="仿宋" w:cs="Times New Roman"/>
                <w:color w:val="auto"/>
                <w:kern w:val="0"/>
                <w:sz w:val="21"/>
                <w:szCs w:val="21"/>
                <w:highlight w:val="none"/>
                <w:lang w:val="en-US" w:eastAsia="zh-CN"/>
              </w:rPr>
              <w:t>/</w:t>
            </w:r>
          </w:p>
        </w:tc>
        <w:tc>
          <w:tcPr>
            <w:tcW w:w="1050" w:type="pct"/>
            <w:tcBorders>
              <w:tl2br w:val="nil"/>
              <w:tr2bl w:val="nil"/>
            </w:tcBorders>
            <w:vAlign w:val="center"/>
          </w:tcPr>
          <w:p w14:paraId="11D4C3DC">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ascii="Times New Roman" w:hAnsi="Times New Roman" w:eastAsia="仿宋" w:cs="Times New Roman"/>
                <w:color w:val="auto"/>
                <w:kern w:val="0"/>
                <w:sz w:val="21"/>
                <w:szCs w:val="21"/>
                <w:highlight w:val="none"/>
                <w:lang w:val="en-US" w:eastAsia="zh-CN"/>
              </w:rPr>
              <w:t>/</w:t>
            </w:r>
          </w:p>
        </w:tc>
      </w:tr>
      <w:tr w14:paraId="794C42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658" w:type="pct"/>
            <w:tcBorders>
              <w:tl2br w:val="nil"/>
              <w:tr2bl w:val="nil"/>
            </w:tcBorders>
            <w:vAlign w:val="center"/>
          </w:tcPr>
          <w:p w14:paraId="208A69A9">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其他</w:t>
            </w:r>
          </w:p>
        </w:tc>
        <w:tc>
          <w:tcPr>
            <w:tcW w:w="1148" w:type="pct"/>
            <w:tcBorders>
              <w:tl2br w:val="nil"/>
              <w:tr2bl w:val="nil"/>
            </w:tcBorders>
            <w:vAlign w:val="center"/>
          </w:tcPr>
          <w:p w14:paraId="5A39BEBD">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c>
          <w:tcPr>
            <w:tcW w:w="1138" w:type="pct"/>
            <w:tcBorders>
              <w:tl2br w:val="nil"/>
              <w:tr2bl w:val="nil"/>
            </w:tcBorders>
            <w:vAlign w:val="center"/>
          </w:tcPr>
          <w:p w14:paraId="3A6DAACD">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c>
          <w:tcPr>
            <w:tcW w:w="1004" w:type="pct"/>
            <w:tcBorders>
              <w:tl2br w:val="nil"/>
              <w:tr2bl w:val="nil"/>
            </w:tcBorders>
            <w:vAlign w:val="center"/>
          </w:tcPr>
          <w:p w14:paraId="3FA3BEF4">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eastAsia" w:ascii="Times New Roman" w:hAnsi="Times New Roman" w:eastAsia="仿宋" w:cs="Times New Roman"/>
                <w:color w:val="auto"/>
                <w:kern w:val="0"/>
                <w:sz w:val="21"/>
                <w:szCs w:val="21"/>
                <w:highlight w:val="none"/>
                <w:lang w:val="en-US" w:eastAsia="zh-CN"/>
              </w:rPr>
              <w:t>/</w:t>
            </w:r>
          </w:p>
        </w:tc>
        <w:tc>
          <w:tcPr>
            <w:tcW w:w="1050" w:type="pct"/>
            <w:tcBorders>
              <w:tl2br w:val="nil"/>
              <w:tr2bl w:val="nil"/>
            </w:tcBorders>
            <w:vAlign w:val="center"/>
          </w:tcPr>
          <w:p w14:paraId="7B5A8E28">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仿宋" w:cs="Times New Roman"/>
                <w:color w:val="auto"/>
                <w:kern w:val="0"/>
                <w:sz w:val="21"/>
                <w:szCs w:val="21"/>
                <w:highlight w:val="none"/>
                <w:lang w:val="en-US" w:eastAsia="zh-Hans"/>
              </w:rPr>
            </w:pPr>
            <w:r>
              <w:rPr>
                <w:rFonts w:hint="default" w:ascii="Times New Roman" w:hAnsi="Times New Roman" w:eastAsia="仿宋" w:cs="Times New Roman"/>
                <w:color w:val="auto"/>
                <w:kern w:val="0"/>
                <w:sz w:val="21"/>
                <w:szCs w:val="21"/>
                <w:highlight w:val="none"/>
                <w:lang w:val="en-US" w:eastAsia="zh-Hans"/>
              </w:rPr>
              <w:t>/</w:t>
            </w:r>
          </w:p>
        </w:tc>
      </w:tr>
    </w:tbl>
    <w:p w14:paraId="4C7256B9">
      <w:pPr>
        <w:pStyle w:val="19"/>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center"/>
        <w:textAlignment w:val="auto"/>
        <w:outlineLvl w:val="9"/>
        <w:rPr>
          <w:rFonts w:hint="eastAsia" w:ascii="黑体" w:hAnsi="黑体" w:eastAsia="黑体"/>
          <w:snapToGrid w:val="0"/>
          <w:color w:val="auto"/>
          <w:sz w:val="30"/>
          <w:szCs w:val="30"/>
          <w:highlight w:val="none"/>
          <w:lang w:val="en-US" w:eastAsia="zh-CN"/>
        </w:rPr>
        <w:sectPr>
          <w:footerReference r:id="rId10" w:type="default"/>
          <w:pgSz w:w="11906" w:h="16838"/>
          <w:pgMar w:top="1440" w:right="1800" w:bottom="1440" w:left="1800" w:header="850" w:footer="992" w:gutter="0"/>
          <w:pgBorders>
            <w:top w:val="none" w:sz="0" w:space="0"/>
            <w:left w:val="none" w:sz="0" w:space="0"/>
            <w:bottom w:val="none" w:sz="0" w:space="0"/>
            <w:right w:val="none" w:sz="0" w:space="0"/>
          </w:pgBorders>
          <w:pgNumType w:fmt="decimal"/>
          <w:cols w:space="0" w:num="1"/>
          <w:docGrid w:type="lines" w:linePitch="332" w:charSpace="0"/>
        </w:sectPr>
      </w:pPr>
    </w:p>
    <w:p w14:paraId="460476F7">
      <w:pPr>
        <w:pStyle w:val="19"/>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center"/>
        <w:textAlignment w:val="auto"/>
        <w:outlineLvl w:val="0"/>
        <w:rPr>
          <w:rFonts w:hint="eastAsia" w:ascii="黑体" w:hAnsi="黑体" w:eastAsia="黑体"/>
          <w:snapToGrid w:val="0"/>
          <w:color w:val="auto"/>
          <w:sz w:val="30"/>
          <w:szCs w:val="30"/>
          <w:highlight w:val="none"/>
          <w:lang w:val="en-US" w:eastAsia="zh-CN"/>
        </w:rPr>
      </w:pPr>
      <w:bookmarkStart w:id="17" w:name="_Toc6007"/>
      <w:r>
        <w:rPr>
          <w:rFonts w:hint="eastAsia" w:ascii="黑体" w:hAnsi="黑体" w:eastAsia="黑体"/>
          <w:snapToGrid w:val="0"/>
          <w:color w:val="auto"/>
          <w:sz w:val="30"/>
          <w:szCs w:val="30"/>
          <w:highlight w:val="none"/>
          <w:lang w:val="en-US" w:eastAsia="zh-CN"/>
        </w:rPr>
        <w:t>七、结论</w:t>
      </w:r>
      <w:bookmarkEnd w:id="17"/>
    </w:p>
    <w:tbl>
      <w:tblPr>
        <w:tblStyle w:val="24"/>
        <w:tblW w:w="8865" w:type="dxa"/>
        <w:tblInd w:w="-170"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fixed"/>
        <w:tblCellMar>
          <w:top w:w="0" w:type="dxa"/>
          <w:left w:w="108" w:type="dxa"/>
          <w:bottom w:w="0" w:type="dxa"/>
          <w:right w:w="108" w:type="dxa"/>
        </w:tblCellMar>
      </w:tblPr>
      <w:tblGrid>
        <w:gridCol w:w="8865"/>
      </w:tblGrid>
      <w:tr w14:paraId="2548C76E">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PrEx>
        <w:tc>
          <w:tcPr>
            <w:tcW w:w="8865" w:type="dxa"/>
            <w:tcBorders>
              <w:tl2br w:val="nil"/>
              <w:tr2bl w:val="nil"/>
            </w:tcBorders>
            <w:vAlign w:val="center"/>
          </w:tcPr>
          <w:p w14:paraId="7C0FBC82">
            <w:pPr>
              <w:keepNext w:val="0"/>
              <w:keepLines w:val="0"/>
              <w:pageBreakBefore w:val="0"/>
              <w:kinsoku/>
              <w:wordWrap/>
              <w:overflowPunct/>
              <w:topLinePunct w:val="0"/>
              <w:autoSpaceDE w:val="0"/>
              <w:autoSpaceDN w:val="0"/>
              <w:bidi w:val="0"/>
              <w:spacing w:line="360" w:lineRule="auto"/>
              <w:textAlignment w:val="auto"/>
              <w:rPr>
                <w:rFonts w:hint="eastAsia" w:eastAsia="仿宋"/>
                <w:color w:val="auto"/>
                <w:kern w:val="0"/>
                <w:sz w:val="24"/>
                <w:highlight w:val="none"/>
                <w:lang w:val="en-US" w:eastAsia="zh-CN"/>
              </w:rPr>
            </w:pPr>
            <w:r>
              <w:rPr>
                <w:rFonts w:hint="eastAsia" w:ascii="Times New Roman" w:hAnsi="Times New Roman" w:eastAsia="仿宋"/>
                <w:color w:val="auto"/>
                <w:kern w:val="0"/>
                <w:sz w:val="24"/>
                <w:highlight w:val="none"/>
                <w:lang w:val="en-US" w:eastAsia="zh-Hans"/>
              </w:rPr>
              <w:t>本项目符合《建设项目环境保护管理条例》（2017 修订版）的相关要求，符合国家及地方有关产业政策；项目符合城市总体规划及相关规划要求，选址较合理；</w:t>
            </w:r>
            <w:r>
              <w:rPr>
                <w:rFonts w:hint="eastAsia" w:eastAsia="仿宋"/>
                <w:color w:val="auto"/>
                <w:kern w:val="0"/>
                <w:sz w:val="24"/>
                <w:highlight w:val="none"/>
                <w:lang w:val="en-US" w:eastAsia="zh-CN"/>
              </w:rPr>
              <w:t>项目的建设运营对所在地的水环境、声环境、大气环境、生态环境会产生一定的不利影响，但只要严格落实报告表中提出的合理可行的环境保护措施和风险防范措施，加强项目建设不同阶段的环境管理，可以做到污染物达标排放，环境风险可控，区域环境质量达标、减缓生态影响的要求，使项目的环境影响处于可接受的范围</w:t>
            </w:r>
            <w:r>
              <w:rPr>
                <w:rFonts w:hint="eastAsia" w:eastAsia="仿宋"/>
                <w:color w:val="auto"/>
                <w:kern w:val="0"/>
                <w:sz w:val="24"/>
                <w:highlight w:val="none"/>
                <w:lang w:val="en-US" w:eastAsia="zh-Hans"/>
              </w:rPr>
              <w:t>。</w:t>
            </w:r>
            <w:r>
              <w:rPr>
                <w:rFonts w:hint="eastAsia" w:eastAsia="仿宋"/>
                <w:color w:val="auto"/>
                <w:kern w:val="0"/>
                <w:sz w:val="24"/>
                <w:highlight w:val="none"/>
                <w:lang w:val="en-US" w:eastAsia="zh-CN"/>
              </w:rPr>
              <w:t>项目建成</w:t>
            </w:r>
            <w:r>
              <w:rPr>
                <w:rFonts w:hint="eastAsia" w:ascii="Times New Roman" w:hAnsi="Times New Roman" w:eastAsia="仿宋" w:cs="Times New Roman"/>
                <w:color w:val="auto"/>
                <w:highlight w:val="none"/>
                <w:lang w:val="en-US" w:eastAsia="zh-CN"/>
              </w:rPr>
              <w:t>后可连通两岸，有助于保障行人的安全</w:t>
            </w:r>
            <w:r>
              <w:rPr>
                <w:rFonts w:hint="eastAsia" w:eastAsia="仿宋" w:cs="Times New Roman"/>
                <w:color w:val="auto"/>
                <w:highlight w:val="none"/>
                <w:lang w:val="en-US" w:eastAsia="zh-CN"/>
              </w:rPr>
              <w:t>，提高长荡湖运动休闲公园整体风貌</w:t>
            </w:r>
            <w:r>
              <w:rPr>
                <w:rFonts w:hint="eastAsia" w:ascii="Times New Roman" w:hAnsi="Times New Roman" w:eastAsia="仿宋" w:cs="Times New Roman"/>
                <w:color w:val="auto"/>
                <w:highlight w:val="none"/>
                <w:lang w:val="en-US" w:eastAsia="zh-CN"/>
              </w:rPr>
              <w:t>。</w:t>
            </w:r>
          </w:p>
          <w:p w14:paraId="5DF5758D">
            <w:pPr>
              <w:keepNext w:val="0"/>
              <w:keepLines w:val="0"/>
              <w:pageBreakBefore w:val="0"/>
              <w:kinsoku/>
              <w:wordWrap/>
              <w:overflowPunct/>
              <w:topLinePunct w:val="0"/>
              <w:autoSpaceDE w:val="0"/>
              <w:autoSpaceDN w:val="0"/>
              <w:bidi w:val="0"/>
              <w:spacing w:line="360" w:lineRule="auto"/>
              <w:textAlignment w:val="auto"/>
              <w:rPr>
                <w:rFonts w:hint="eastAsia" w:eastAsia="仿宋"/>
                <w:color w:val="auto"/>
                <w:kern w:val="0"/>
                <w:sz w:val="24"/>
                <w:highlight w:val="none"/>
                <w:lang w:val="en-US" w:eastAsia="zh-Hans"/>
              </w:rPr>
            </w:pPr>
            <w:r>
              <w:rPr>
                <w:rFonts w:hint="eastAsia" w:eastAsia="仿宋"/>
                <w:color w:val="auto"/>
                <w:kern w:val="0"/>
                <w:sz w:val="24"/>
                <w:highlight w:val="none"/>
                <w:lang w:val="en-US" w:eastAsia="zh-Hans"/>
              </w:rPr>
              <w:t>因此，</w:t>
            </w:r>
            <w:r>
              <w:rPr>
                <w:rFonts w:hint="eastAsia" w:eastAsia="仿宋"/>
                <w:color w:val="auto"/>
                <w:kern w:val="0"/>
                <w:sz w:val="24"/>
                <w:highlight w:val="none"/>
                <w:lang w:val="en-US" w:eastAsia="zh-CN"/>
              </w:rPr>
              <w:t>本工程在落实</w:t>
            </w:r>
            <w:r>
              <w:rPr>
                <w:rFonts w:hint="eastAsia" w:eastAsia="仿宋"/>
                <w:color w:val="auto"/>
                <w:kern w:val="0"/>
                <w:sz w:val="24"/>
                <w:highlight w:val="none"/>
                <w:lang w:val="en-US" w:eastAsia="zh-Hans"/>
              </w:rPr>
              <w:t>落实本报告表提出的各项环保措施要求、严格执行环保“三同时”的前提下，从环保角度分析，本项目建设具有环境可行性。</w:t>
            </w:r>
          </w:p>
          <w:p w14:paraId="1127C2C2">
            <w:pPr>
              <w:pStyle w:val="30"/>
              <w:rPr>
                <w:rFonts w:hint="eastAsia" w:eastAsia="仿宋"/>
                <w:color w:val="auto"/>
                <w:kern w:val="0"/>
                <w:sz w:val="24"/>
                <w:highlight w:val="none"/>
              </w:rPr>
            </w:pPr>
          </w:p>
          <w:p w14:paraId="5BF29A61">
            <w:pPr>
              <w:pStyle w:val="30"/>
              <w:rPr>
                <w:rFonts w:hint="eastAsia" w:eastAsia="仿宋"/>
                <w:color w:val="auto"/>
                <w:kern w:val="0"/>
                <w:sz w:val="24"/>
                <w:highlight w:val="none"/>
              </w:rPr>
            </w:pPr>
          </w:p>
          <w:p w14:paraId="26C263F2">
            <w:pPr>
              <w:pStyle w:val="30"/>
              <w:rPr>
                <w:rFonts w:hint="eastAsia" w:eastAsia="仿宋"/>
                <w:color w:val="auto"/>
                <w:kern w:val="0"/>
                <w:sz w:val="24"/>
                <w:highlight w:val="none"/>
              </w:rPr>
            </w:pPr>
          </w:p>
          <w:p w14:paraId="3FA7FB3D">
            <w:pPr>
              <w:pStyle w:val="30"/>
              <w:rPr>
                <w:rFonts w:hint="eastAsia" w:eastAsia="仿宋"/>
                <w:color w:val="auto"/>
                <w:kern w:val="0"/>
                <w:sz w:val="24"/>
                <w:highlight w:val="none"/>
              </w:rPr>
            </w:pPr>
          </w:p>
          <w:p w14:paraId="32501F50">
            <w:pPr>
              <w:pStyle w:val="30"/>
              <w:rPr>
                <w:rFonts w:hint="eastAsia" w:eastAsia="仿宋"/>
                <w:color w:val="auto"/>
                <w:kern w:val="0"/>
                <w:sz w:val="24"/>
                <w:highlight w:val="none"/>
              </w:rPr>
            </w:pPr>
          </w:p>
          <w:p w14:paraId="2B22FBED">
            <w:pPr>
              <w:pStyle w:val="30"/>
              <w:rPr>
                <w:rFonts w:hint="eastAsia" w:eastAsia="仿宋"/>
                <w:color w:val="auto"/>
                <w:kern w:val="0"/>
                <w:sz w:val="24"/>
                <w:highlight w:val="none"/>
              </w:rPr>
            </w:pPr>
          </w:p>
          <w:p w14:paraId="72334D29">
            <w:pPr>
              <w:pStyle w:val="30"/>
              <w:rPr>
                <w:rFonts w:hint="eastAsia" w:eastAsia="仿宋"/>
                <w:color w:val="auto"/>
                <w:kern w:val="0"/>
                <w:sz w:val="24"/>
                <w:highlight w:val="none"/>
              </w:rPr>
            </w:pPr>
          </w:p>
          <w:p w14:paraId="239DAFC8">
            <w:pPr>
              <w:pStyle w:val="30"/>
              <w:rPr>
                <w:rFonts w:hint="eastAsia" w:eastAsia="仿宋"/>
                <w:color w:val="auto"/>
                <w:kern w:val="0"/>
                <w:sz w:val="24"/>
                <w:highlight w:val="none"/>
              </w:rPr>
            </w:pPr>
          </w:p>
          <w:p w14:paraId="09A5011A">
            <w:pPr>
              <w:pStyle w:val="30"/>
              <w:rPr>
                <w:rFonts w:hint="eastAsia" w:eastAsia="仿宋"/>
                <w:color w:val="auto"/>
                <w:kern w:val="0"/>
                <w:sz w:val="24"/>
                <w:highlight w:val="none"/>
              </w:rPr>
            </w:pPr>
          </w:p>
          <w:p w14:paraId="78A3D694">
            <w:pPr>
              <w:pStyle w:val="30"/>
              <w:rPr>
                <w:rFonts w:hint="eastAsia" w:eastAsia="仿宋"/>
                <w:color w:val="auto"/>
                <w:kern w:val="0"/>
                <w:sz w:val="24"/>
                <w:highlight w:val="none"/>
              </w:rPr>
            </w:pPr>
          </w:p>
          <w:p w14:paraId="31EE2058">
            <w:pPr>
              <w:pStyle w:val="30"/>
              <w:rPr>
                <w:rFonts w:hint="eastAsia" w:eastAsia="仿宋"/>
                <w:color w:val="auto"/>
                <w:kern w:val="0"/>
                <w:sz w:val="24"/>
                <w:highlight w:val="none"/>
              </w:rPr>
            </w:pPr>
          </w:p>
          <w:p w14:paraId="578E3B0F">
            <w:pPr>
              <w:pStyle w:val="30"/>
              <w:rPr>
                <w:rFonts w:hint="eastAsia" w:eastAsia="仿宋"/>
                <w:color w:val="auto"/>
                <w:kern w:val="0"/>
                <w:sz w:val="24"/>
                <w:highlight w:val="none"/>
              </w:rPr>
            </w:pPr>
          </w:p>
          <w:p w14:paraId="2851806D">
            <w:pPr>
              <w:pStyle w:val="30"/>
              <w:rPr>
                <w:rFonts w:hint="eastAsia" w:eastAsia="仿宋"/>
                <w:color w:val="auto"/>
                <w:kern w:val="0"/>
                <w:sz w:val="24"/>
                <w:highlight w:val="none"/>
              </w:rPr>
            </w:pPr>
          </w:p>
          <w:p w14:paraId="36A8443C">
            <w:pPr>
              <w:pStyle w:val="30"/>
              <w:rPr>
                <w:rFonts w:hint="eastAsia" w:eastAsia="仿宋"/>
                <w:color w:val="auto"/>
                <w:kern w:val="0"/>
                <w:sz w:val="24"/>
                <w:highlight w:val="none"/>
              </w:rPr>
            </w:pPr>
          </w:p>
          <w:p w14:paraId="09164166">
            <w:pPr>
              <w:pStyle w:val="30"/>
              <w:rPr>
                <w:rFonts w:hint="eastAsia" w:eastAsia="仿宋"/>
                <w:color w:val="auto"/>
                <w:kern w:val="0"/>
                <w:sz w:val="24"/>
                <w:highlight w:val="none"/>
              </w:rPr>
            </w:pPr>
          </w:p>
          <w:p w14:paraId="4618EE2F">
            <w:pPr>
              <w:pStyle w:val="30"/>
              <w:rPr>
                <w:rFonts w:hint="eastAsia" w:eastAsia="仿宋"/>
                <w:color w:val="auto"/>
                <w:kern w:val="0"/>
                <w:sz w:val="24"/>
                <w:highlight w:val="none"/>
              </w:rPr>
            </w:pPr>
          </w:p>
          <w:p w14:paraId="5341B2A5">
            <w:pPr>
              <w:pStyle w:val="30"/>
              <w:rPr>
                <w:rFonts w:hint="eastAsia" w:eastAsia="仿宋"/>
                <w:color w:val="auto"/>
                <w:kern w:val="0"/>
                <w:sz w:val="24"/>
                <w:highlight w:val="none"/>
              </w:rPr>
            </w:pPr>
          </w:p>
          <w:p w14:paraId="18CC2D6A">
            <w:pPr>
              <w:pStyle w:val="30"/>
              <w:rPr>
                <w:rFonts w:hint="eastAsia" w:eastAsia="仿宋"/>
                <w:color w:val="auto"/>
                <w:kern w:val="0"/>
                <w:sz w:val="24"/>
                <w:highlight w:val="none"/>
              </w:rPr>
            </w:pPr>
          </w:p>
          <w:p w14:paraId="2B428AF5">
            <w:pPr>
              <w:pStyle w:val="30"/>
              <w:rPr>
                <w:rFonts w:hint="eastAsia" w:eastAsia="仿宋"/>
                <w:color w:val="auto"/>
                <w:kern w:val="0"/>
                <w:sz w:val="24"/>
                <w:highlight w:val="none"/>
              </w:rPr>
            </w:pPr>
          </w:p>
          <w:p w14:paraId="6844C1FA">
            <w:pPr>
              <w:pStyle w:val="30"/>
              <w:rPr>
                <w:rFonts w:hint="eastAsia" w:eastAsia="仿宋"/>
                <w:color w:val="auto"/>
                <w:kern w:val="0"/>
                <w:sz w:val="24"/>
                <w:highlight w:val="none"/>
              </w:rPr>
            </w:pPr>
          </w:p>
          <w:p w14:paraId="4C310519">
            <w:pPr>
              <w:pStyle w:val="30"/>
              <w:rPr>
                <w:rFonts w:hint="eastAsia" w:eastAsia="仿宋"/>
                <w:color w:val="auto"/>
                <w:kern w:val="0"/>
                <w:sz w:val="24"/>
                <w:highlight w:val="none"/>
              </w:rPr>
            </w:pPr>
          </w:p>
          <w:p w14:paraId="1EB92A56">
            <w:pPr>
              <w:pStyle w:val="30"/>
              <w:rPr>
                <w:rFonts w:hint="eastAsia" w:eastAsia="仿宋"/>
                <w:color w:val="auto"/>
                <w:kern w:val="0"/>
                <w:sz w:val="24"/>
                <w:highlight w:val="none"/>
              </w:rPr>
            </w:pPr>
          </w:p>
          <w:p w14:paraId="1FE990C4">
            <w:pPr>
              <w:pStyle w:val="30"/>
              <w:rPr>
                <w:rFonts w:hint="eastAsia" w:eastAsia="仿宋"/>
                <w:color w:val="auto"/>
                <w:kern w:val="0"/>
                <w:sz w:val="24"/>
                <w:highlight w:val="none"/>
              </w:rPr>
            </w:pPr>
          </w:p>
          <w:p w14:paraId="43EFD0CB">
            <w:pPr>
              <w:pStyle w:val="30"/>
              <w:rPr>
                <w:rFonts w:hint="eastAsia" w:eastAsia="仿宋"/>
                <w:color w:val="auto"/>
                <w:kern w:val="0"/>
                <w:sz w:val="24"/>
                <w:highlight w:val="none"/>
              </w:rPr>
            </w:pPr>
          </w:p>
          <w:p w14:paraId="4422BF52">
            <w:pPr>
              <w:pStyle w:val="30"/>
              <w:rPr>
                <w:rFonts w:hint="eastAsia" w:eastAsia="仿宋"/>
                <w:color w:val="auto"/>
                <w:kern w:val="0"/>
                <w:sz w:val="24"/>
                <w:highlight w:val="none"/>
              </w:rPr>
            </w:pPr>
          </w:p>
        </w:tc>
      </w:tr>
    </w:tbl>
    <w:p w14:paraId="6AD85231">
      <w:pPr>
        <w:pStyle w:val="30"/>
        <w:widowControl w:val="0"/>
        <w:numPr>
          <w:ilvl w:val="0"/>
          <w:numId w:val="0"/>
        </w:numPr>
        <w:autoSpaceDE w:val="0"/>
        <w:autoSpaceDN w:val="0"/>
        <w:adjustRightInd w:val="0"/>
        <w:rPr>
          <w:rFonts w:hint="default" w:ascii="Times New Roman" w:hAnsi="Times New Roman" w:cs="Times New Roman"/>
          <w:color w:val="auto"/>
          <w:highlight w:val="none"/>
          <w:lang w:val="en-US" w:eastAsia="zh-CN"/>
        </w:rPr>
        <w:sectPr>
          <w:pgSz w:w="11906" w:h="16838"/>
          <w:pgMar w:top="1440" w:right="1800" w:bottom="1440" w:left="1800" w:header="850" w:footer="992" w:gutter="0"/>
          <w:pgBorders>
            <w:top w:val="none" w:sz="0" w:space="0"/>
            <w:left w:val="none" w:sz="0" w:space="0"/>
            <w:bottom w:val="none" w:sz="0" w:space="0"/>
            <w:right w:val="none" w:sz="0" w:space="0"/>
          </w:pgBorders>
          <w:pgNumType w:fmt="decimal"/>
          <w:cols w:space="0" w:num="1"/>
          <w:docGrid w:type="lines" w:linePitch="332" w:charSpace="0"/>
        </w:sectPr>
      </w:pPr>
    </w:p>
    <w:p w14:paraId="7E9E837F">
      <w:pPr>
        <w:keepNext w:val="0"/>
        <w:keepLines w:val="0"/>
        <w:pageBreakBefore w:val="0"/>
        <w:widowControl w:val="0"/>
        <w:kinsoku/>
        <w:wordWrap/>
        <w:overflowPunct/>
        <w:topLinePunct w:val="0"/>
        <w:autoSpaceDE/>
        <w:autoSpaceDN/>
        <w:bidi w:val="0"/>
        <w:adjustRightInd/>
        <w:snapToGrid/>
        <w:ind w:firstLine="0" w:firstLineChars="0"/>
        <w:textAlignment w:val="auto"/>
        <w:rPr>
          <w:rFonts w:eastAsia="仿宋"/>
          <w:b/>
          <w:bCs/>
          <w:color w:val="auto"/>
          <w:sz w:val="24"/>
          <w:highlight w:val="none"/>
        </w:rPr>
      </w:pPr>
      <w:r>
        <w:rPr>
          <w:rFonts w:eastAsia="仿宋"/>
          <w:b/>
          <w:bCs/>
          <w:color w:val="auto"/>
          <w:sz w:val="24"/>
          <w:highlight w:val="none"/>
        </w:rPr>
        <w:t>附图</w:t>
      </w:r>
    </w:p>
    <w:p w14:paraId="51DE0E8E">
      <w:pPr>
        <w:keepNext w:val="0"/>
        <w:keepLines w:val="0"/>
        <w:pageBreakBefore w:val="0"/>
        <w:widowControl w:val="0"/>
        <w:kinsoku/>
        <w:wordWrap/>
        <w:overflowPunct/>
        <w:topLinePunct w:val="0"/>
        <w:autoSpaceDE/>
        <w:autoSpaceDN/>
        <w:bidi w:val="0"/>
        <w:adjustRightInd/>
        <w:snapToGrid/>
        <w:ind w:firstLine="0" w:firstLineChars="0"/>
        <w:textAlignment w:val="auto"/>
        <w:rPr>
          <w:rFonts w:eastAsia="仿宋"/>
          <w:color w:val="auto"/>
          <w:sz w:val="24"/>
          <w:highlight w:val="none"/>
        </w:rPr>
      </w:pPr>
      <w:bookmarkStart w:id="18" w:name="_Toc25733"/>
      <w:r>
        <w:rPr>
          <w:rFonts w:hint="eastAsia" w:eastAsia="仿宋"/>
          <w:color w:val="auto"/>
          <w:sz w:val="24"/>
          <w:highlight w:val="none"/>
        </w:rPr>
        <w:t>附图</w:t>
      </w:r>
      <w:r>
        <w:rPr>
          <w:rFonts w:eastAsia="仿宋"/>
          <w:color w:val="auto"/>
          <w:sz w:val="24"/>
          <w:highlight w:val="none"/>
        </w:rPr>
        <w:t>1</w:t>
      </w:r>
      <w:bookmarkEnd w:id="18"/>
      <w:r>
        <w:rPr>
          <w:rFonts w:hint="eastAsia" w:eastAsia="仿宋"/>
          <w:color w:val="auto"/>
          <w:sz w:val="24"/>
          <w:highlight w:val="none"/>
        </w:rPr>
        <w:t>长荡湖体育休闲房车营地—应急疏散通道项目地理位置示意图</w:t>
      </w:r>
    </w:p>
    <w:p w14:paraId="2575A921">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rPr>
      </w:pPr>
      <w:bookmarkStart w:id="19" w:name="_Toc11809"/>
      <w:r>
        <w:rPr>
          <w:rFonts w:hint="eastAsia" w:eastAsia="仿宋"/>
          <w:color w:val="auto"/>
          <w:sz w:val="24"/>
          <w:highlight w:val="none"/>
        </w:rPr>
        <w:t>附图2-1项目周边500m概况示意图（无底图）</w:t>
      </w:r>
    </w:p>
    <w:p w14:paraId="144DE335">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rPr>
      </w:pPr>
      <w:r>
        <w:rPr>
          <w:rFonts w:hint="eastAsia" w:eastAsia="仿宋"/>
          <w:color w:val="auto"/>
          <w:sz w:val="24"/>
          <w:highlight w:val="none"/>
        </w:rPr>
        <w:t>附图2-2项目周边500m概况示意图（卫星图）</w:t>
      </w:r>
    </w:p>
    <w:bookmarkEnd w:id="19"/>
    <w:p w14:paraId="4153FF01">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bookmarkStart w:id="20" w:name="_Toc27562"/>
      <w:r>
        <w:rPr>
          <w:rFonts w:hint="eastAsia" w:eastAsia="仿宋"/>
          <w:color w:val="auto"/>
          <w:sz w:val="24"/>
          <w:highlight w:val="none"/>
        </w:rPr>
        <w:t>附图3项目区域水系及地表水监测点示意图</w:t>
      </w:r>
    </w:p>
    <w:bookmarkEnd w:id="20"/>
    <w:p w14:paraId="4D7D9501">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rPr>
      </w:pPr>
      <w:bookmarkStart w:id="21" w:name="_Toc15974"/>
      <w:r>
        <w:rPr>
          <w:rFonts w:hint="eastAsia" w:eastAsia="仿宋"/>
          <w:color w:val="auto"/>
          <w:sz w:val="24"/>
          <w:highlight w:val="none"/>
        </w:rPr>
        <w:t>附图4长荡湖体育休闲房车营地—应急疏散通道项目施工平面布置图</w:t>
      </w:r>
    </w:p>
    <w:p w14:paraId="48B99A77">
      <w:pPr>
        <w:pStyle w:val="2"/>
        <w:rPr>
          <w:rFonts w:hint="default"/>
          <w:b w:val="0"/>
          <w:bCs w:val="0"/>
          <w:lang w:val="en-US" w:eastAsia="zh-CN"/>
        </w:rPr>
      </w:pPr>
      <w:r>
        <w:rPr>
          <w:rFonts w:hint="eastAsia" w:eastAsia="仿宋" w:cs="Times New Roman"/>
          <w:b w:val="0"/>
          <w:bCs w:val="0"/>
          <w:color w:val="auto"/>
          <w:kern w:val="0"/>
          <w:sz w:val="24"/>
          <w:szCs w:val="22"/>
          <w:highlight w:val="none"/>
          <w:lang w:val="en-US" w:eastAsia="zh-CN" w:bidi="ar-SA"/>
        </w:rPr>
        <w:t>附图5项目设计方案总平面图</w:t>
      </w:r>
    </w:p>
    <w:p w14:paraId="365DC3F6">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eastAsia="仿宋"/>
          <w:color w:val="auto"/>
          <w:sz w:val="24"/>
          <w:highlight w:val="none"/>
          <w:lang w:val="en-US" w:eastAsia="zh-CN"/>
        </w:rPr>
      </w:pPr>
      <w:r>
        <w:rPr>
          <w:rFonts w:hint="eastAsia" w:eastAsia="仿宋"/>
          <w:color w:val="auto"/>
          <w:sz w:val="24"/>
          <w:highlight w:val="none"/>
          <w:lang w:val="en-US" w:eastAsia="zh-CN"/>
        </w:rPr>
        <w:t>附图6项目区域生态红线图</w:t>
      </w:r>
    </w:p>
    <w:p w14:paraId="6679B52B">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rPr>
      </w:pPr>
      <w:r>
        <w:rPr>
          <w:rFonts w:hint="eastAsia" w:eastAsia="仿宋" w:cs="Times New Roman"/>
          <w:b w:val="0"/>
          <w:bCs w:val="0"/>
          <w:color w:val="auto"/>
          <w:kern w:val="0"/>
          <w:sz w:val="24"/>
          <w:szCs w:val="22"/>
          <w:highlight w:val="none"/>
          <w:lang w:val="en-US" w:eastAsia="zh-CN" w:bidi="ar-SA"/>
        </w:rPr>
        <w:t>附图7常州·金坛综合交通运输体系发展规划（2020-2035）公示图</w:t>
      </w:r>
    </w:p>
    <w:bookmarkEnd w:id="21"/>
    <w:p w14:paraId="027EC9D1">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rPr>
      </w:pPr>
      <w:bookmarkStart w:id="22" w:name="_Toc31834"/>
      <w:r>
        <w:rPr>
          <w:rFonts w:hint="eastAsia" w:eastAsia="仿宋"/>
          <w:color w:val="auto"/>
          <w:sz w:val="24"/>
          <w:highlight w:val="none"/>
        </w:rPr>
        <w:t>附</w:t>
      </w:r>
      <w:r>
        <w:rPr>
          <w:rFonts w:hint="eastAsia" w:eastAsia="仿宋"/>
          <w:color w:val="auto"/>
          <w:sz w:val="24"/>
          <w:highlight w:val="none"/>
          <w:lang w:val="en-US" w:eastAsia="zh-CN"/>
        </w:rPr>
        <w:t>图8常州市环境管控单元</w:t>
      </w:r>
      <w:r>
        <w:rPr>
          <w:rFonts w:hint="eastAsia" w:eastAsia="仿宋"/>
          <w:color w:val="auto"/>
          <w:sz w:val="24"/>
          <w:highlight w:val="none"/>
        </w:rPr>
        <w:t>图</w:t>
      </w:r>
      <w:bookmarkEnd w:id="22"/>
    </w:p>
    <w:p w14:paraId="41E45133">
      <w:pPr>
        <w:pStyle w:val="2"/>
        <w:rPr>
          <w:rFonts w:hint="default" w:eastAsia="仿宋"/>
          <w:b w:val="0"/>
          <w:bCs w:val="0"/>
          <w:lang w:val="en-US" w:eastAsia="zh-CN"/>
        </w:rPr>
      </w:pPr>
      <w:r>
        <w:rPr>
          <w:rFonts w:hint="eastAsia" w:eastAsia="仿宋"/>
          <w:b w:val="0"/>
          <w:bCs w:val="0"/>
          <w:color w:val="auto"/>
          <w:sz w:val="24"/>
          <w:highlight w:val="none"/>
          <w:lang w:val="en-US" w:eastAsia="zh-CN"/>
        </w:rPr>
        <w:t>附图9生态红线与本项目位置关系图</w:t>
      </w:r>
    </w:p>
    <w:p w14:paraId="623DC760">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eastAsia="仿宋"/>
          <w:color w:val="auto"/>
          <w:sz w:val="24"/>
          <w:highlight w:val="none"/>
          <w:lang w:val="en-US" w:eastAsia="zh-CN"/>
        </w:rPr>
      </w:pPr>
      <w:r>
        <w:rPr>
          <w:rFonts w:hint="eastAsia" w:eastAsia="仿宋"/>
          <w:color w:val="auto"/>
          <w:sz w:val="24"/>
          <w:highlight w:val="none"/>
          <w:lang w:val="en-US" w:eastAsia="zh-CN"/>
        </w:rPr>
        <w:t>附图10土地利用现状图图</w:t>
      </w:r>
    </w:p>
    <w:p w14:paraId="7E296506">
      <w:pPr>
        <w:keepNext w:val="0"/>
        <w:keepLines w:val="0"/>
        <w:widowControl/>
        <w:suppressLineNumbers w:val="0"/>
        <w:ind w:left="0" w:leftChars="0" w:firstLine="0" w:firstLineChars="0"/>
        <w:jc w:val="left"/>
        <w:rPr>
          <w:rFonts w:hint="eastAsia" w:eastAsia="仿宋" w:cs="Times New Roman"/>
          <w:b w:val="0"/>
          <w:bCs w:val="0"/>
          <w:color w:val="auto"/>
          <w:kern w:val="0"/>
          <w:sz w:val="24"/>
          <w:szCs w:val="22"/>
          <w:highlight w:val="none"/>
          <w:lang w:val="en-US" w:eastAsia="zh-CN" w:bidi="ar-SA"/>
        </w:rPr>
      </w:pPr>
    </w:p>
    <w:p w14:paraId="6D3A80C7">
      <w:pPr>
        <w:keepNext w:val="0"/>
        <w:keepLines w:val="0"/>
        <w:pageBreakBefore w:val="0"/>
        <w:widowControl w:val="0"/>
        <w:kinsoku/>
        <w:wordWrap/>
        <w:overflowPunct/>
        <w:topLinePunct w:val="0"/>
        <w:autoSpaceDE/>
        <w:autoSpaceDN/>
        <w:bidi w:val="0"/>
        <w:adjustRightInd/>
        <w:snapToGrid/>
        <w:ind w:firstLine="0" w:firstLineChars="0"/>
        <w:textAlignment w:val="auto"/>
        <w:rPr>
          <w:rFonts w:eastAsia="仿宋"/>
          <w:b/>
          <w:bCs/>
          <w:color w:val="auto"/>
          <w:sz w:val="24"/>
          <w:highlight w:val="none"/>
        </w:rPr>
      </w:pPr>
      <w:bookmarkStart w:id="23" w:name="_Toc22393"/>
      <w:r>
        <w:rPr>
          <w:rFonts w:hint="eastAsia" w:eastAsia="仿宋"/>
          <w:b/>
          <w:bCs/>
          <w:color w:val="auto"/>
          <w:sz w:val="24"/>
          <w:highlight w:val="none"/>
        </w:rPr>
        <w:t>附件</w:t>
      </w:r>
      <w:bookmarkEnd w:id="23"/>
    </w:p>
    <w:p w14:paraId="05630CCA">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highlight w:val="none"/>
          <w:lang w:val="en-US" w:eastAsia="zh-CN"/>
        </w:rPr>
      </w:pPr>
      <w:bookmarkStart w:id="24" w:name="_Toc9834"/>
      <w:bookmarkStart w:id="25" w:name="_Toc8411"/>
      <w:r>
        <w:rPr>
          <w:rFonts w:hint="eastAsia" w:eastAsia="仿宋"/>
          <w:color w:val="auto"/>
          <w:sz w:val="24"/>
          <w:highlight w:val="none"/>
        </w:rPr>
        <w:t>附件</w:t>
      </w:r>
      <w:r>
        <w:rPr>
          <w:rFonts w:eastAsia="仿宋"/>
          <w:color w:val="auto"/>
          <w:sz w:val="24"/>
          <w:highlight w:val="none"/>
        </w:rPr>
        <w:t>1</w:t>
      </w:r>
      <w:bookmarkEnd w:id="24"/>
      <w:r>
        <w:rPr>
          <w:rFonts w:hint="eastAsia" w:eastAsia="仿宋"/>
          <w:color w:val="auto"/>
          <w:sz w:val="24"/>
          <w:highlight w:val="none"/>
          <w:lang w:val="en-US" w:eastAsia="zh-CN"/>
        </w:rPr>
        <w:t>备案证</w:t>
      </w:r>
    </w:p>
    <w:p w14:paraId="33675116">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rPr>
          <w:rFonts w:hint="eastAsia" w:eastAsia="仿宋"/>
          <w:color w:val="auto"/>
          <w:sz w:val="24"/>
          <w:highlight w:val="none"/>
        </w:rPr>
        <w:t>附件</w:t>
      </w:r>
      <w:r>
        <w:rPr>
          <w:rFonts w:hint="eastAsia" w:eastAsia="仿宋"/>
          <w:color w:val="auto"/>
          <w:sz w:val="24"/>
          <w:highlight w:val="none"/>
          <w:lang w:val="en-US" w:eastAsia="zh-CN"/>
        </w:rPr>
        <w:t>2营业执照及法人身份证</w:t>
      </w:r>
    </w:p>
    <w:p w14:paraId="5AFAFF46">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rPr>
      </w:pPr>
      <w:bookmarkStart w:id="26" w:name="_Toc10085"/>
      <w:r>
        <w:rPr>
          <w:rFonts w:hint="eastAsia" w:eastAsia="仿宋"/>
          <w:color w:val="auto"/>
          <w:sz w:val="24"/>
          <w:highlight w:val="none"/>
        </w:rPr>
        <w:t>附件</w:t>
      </w:r>
      <w:r>
        <w:rPr>
          <w:rFonts w:hint="eastAsia" w:eastAsia="仿宋"/>
          <w:color w:val="auto"/>
          <w:sz w:val="24"/>
          <w:highlight w:val="none"/>
          <w:lang w:val="en-US" w:eastAsia="zh-CN"/>
        </w:rPr>
        <w:t>3</w:t>
      </w:r>
      <w:bookmarkEnd w:id="25"/>
      <w:bookmarkEnd w:id="26"/>
      <w:bookmarkStart w:id="27" w:name="_Toc30540"/>
      <w:r>
        <w:rPr>
          <w:rFonts w:hint="eastAsia" w:eastAsia="仿宋"/>
          <w:color w:val="auto"/>
          <w:sz w:val="24"/>
          <w:highlight w:val="none"/>
        </w:rPr>
        <w:t>现状监测报告</w:t>
      </w:r>
      <w:bookmarkEnd w:id="27"/>
    </w:p>
    <w:p w14:paraId="2D7DBAE7">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r>
        <w:rPr>
          <w:rFonts w:hint="eastAsia" w:eastAsia="仿宋"/>
          <w:color w:val="auto"/>
          <w:sz w:val="24"/>
          <w:highlight w:val="none"/>
          <w:lang w:val="en-US" w:eastAsia="zh-CN"/>
        </w:rPr>
        <w:t>附件4乡镇预审表</w:t>
      </w:r>
    </w:p>
    <w:p w14:paraId="640D44D7">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eastAsia="仿宋"/>
          <w:color w:val="auto"/>
          <w:sz w:val="24"/>
          <w:highlight w:val="none"/>
          <w:lang w:val="en-US" w:eastAsia="zh-CN"/>
        </w:rPr>
      </w:pPr>
      <w:r>
        <w:rPr>
          <w:rFonts w:hint="eastAsia" w:eastAsia="仿宋"/>
          <w:color w:val="auto"/>
          <w:sz w:val="24"/>
          <w:highlight w:val="none"/>
          <w:lang w:val="en-US" w:eastAsia="zh-CN"/>
        </w:rPr>
        <w:t>附件5 工程师照片</w:t>
      </w:r>
    </w:p>
    <w:p w14:paraId="5CE671EC">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r>
        <w:rPr>
          <w:rFonts w:hint="eastAsia" w:eastAsia="仿宋"/>
          <w:color w:val="auto"/>
          <w:sz w:val="24"/>
          <w:highlight w:val="none"/>
          <w:lang w:val="en-US" w:eastAsia="zh-CN"/>
        </w:rPr>
        <w:t>附件6 主要环境影响及预防或者减轻不良环境影响的对策和措施</w:t>
      </w:r>
    </w:p>
    <w:p w14:paraId="6CD2A6D1">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r>
        <w:rPr>
          <w:rFonts w:hint="eastAsia" w:eastAsia="仿宋"/>
          <w:color w:val="auto"/>
          <w:sz w:val="24"/>
          <w:highlight w:val="none"/>
          <w:lang w:val="en-US" w:eastAsia="zh-CN"/>
        </w:rPr>
        <w:t>附件7 危废处置承诺</w:t>
      </w:r>
    </w:p>
    <w:p w14:paraId="3EBBCD86">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r>
        <w:rPr>
          <w:rFonts w:hint="eastAsia" w:eastAsia="仿宋"/>
          <w:color w:val="auto"/>
          <w:sz w:val="24"/>
          <w:highlight w:val="none"/>
          <w:lang w:val="en-US" w:eastAsia="zh-CN"/>
        </w:rPr>
        <w:t>附件8 环评委托书</w:t>
      </w:r>
    </w:p>
    <w:p w14:paraId="2D67BF8D">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r>
        <w:rPr>
          <w:rFonts w:hint="eastAsia" w:eastAsia="仿宋"/>
          <w:color w:val="auto"/>
          <w:sz w:val="24"/>
          <w:highlight w:val="none"/>
          <w:lang w:val="en-US" w:eastAsia="zh-CN"/>
        </w:rPr>
        <w:t>附件9 环评合同</w:t>
      </w:r>
    </w:p>
    <w:p w14:paraId="086A38C9">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r>
        <w:rPr>
          <w:rFonts w:hint="eastAsia" w:eastAsia="仿宋"/>
          <w:color w:val="auto"/>
          <w:sz w:val="24"/>
          <w:highlight w:val="none"/>
          <w:lang w:val="en-US" w:eastAsia="zh-CN"/>
        </w:rPr>
        <w:t>附件10 真实性承诺</w:t>
      </w:r>
    </w:p>
    <w:p w14:paraId="1F66F6FB">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rPr>
          <w:rFonts w:hint="eastAsia" w:eastAsia="仿宋"/>
          <w:color w:val="auto"/>
          <w:sz w:val="24"/>
          <w:highlight w:val="none"/>
          <w:lang w:val="en-US" w:eastAsia="zh-CN"/>
        </w:rPr>
        <w:t>附件11 报批申请</w:t>
      </w:r>
    </w:p>
    <w:p w14:paraId="3E0E653F">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r>
        <w:rPr>
          <w:rFonts w:hint="eastAsia" w:eastAsia="仿宋"/>
          <w:color w:val="auto"/>
          <w:sz w:val="24"/>
          <w:highlight w:val="none"/>
          <w:lang w:val="en-US" w:eastAsia="zh-CN"/>
        </w:rPr>
        <w:t>附件12 公示承诺</w:t>
      </w:r>
    </w:p>
    <w:p w14:paraId="0A02A68E">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r>
        <w:rPr>
          <w:rFonts w:hint="eastAsia" w:eastAsia="仿宋"/>
          <w:color w:val="auto"/>
          <w:sz w:val="24"/>
          <w:highlight w:val="none"/>
          <w:lang w:val="en-US" w:eastAsia="zh-CN"/>
        </w:rPr>
        <w:t>附件13 公示证明</w:t>
      </w:r>
    </w:p>
    <w:p w14:paraId="0D84E65C">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仿宋"/>
          <w:color w:val="auto"/>
          <w:sz w:val="24"/>
          <w:highlight w:val="none"/>
          <w:lang w:val="en-US" w:eastAsia="zh-CN"/>
        </w:rPr>
      </w:pPr>
      <w:r>
        <w:rPr>
          <w:rFonts w:hint="eastAsia" w:eastAsia="仿宋"/>
          <w:color w:val="auto"/>
          <w:sz w:val="24"/>
          <w:highlight w:val="none"/>
          <w:lang w:val="en-US" w:eastAsia="zh-CN"/>
        </w:rPr>
        <w:t>附件14 长荡湖体育休闲房车营地—应急疏散通道项目符合省生态空间管控区域内允许有限人为活动的论证意见</w:t>
      </w:r>
    </w:p>
    <w:p w14:paraId="53AA3594">
      <w:pPr>
        <w:pStyle w:val="2"/>
        <w:rPr>
          <w:rFonts w:hint="default"/>
          <w:b w:val="0"/>
          <w:bCs w:val="0"/>
          <w:lang w:val="en-US" w:eastAsia="zh-CN"/>
        </w:rPr>
      </w:pPr>
    </w:p>
    <w:sectPr>
      <w:footerReference r:id="rId11" w:type="default"/>
      <w:pgSz w:w="11906" w:h="16838"/>
      <w:pgMar w:top="1080" w:right="1440" w:bottom="1080" w:left="1440" w:header="850" w:footer="992" w:gutter="0"/>
      <w:pgBorders>
        <w:top w:val="none" w:sz="0" w:space="0"/>
        <w:left w:val="none" w:sz="0" w:space="0"/>
        <w:bottom w:val="none" w:sz="0" w:space="0"/>
        <w:right w:val="none" w:sz="0" w:space="0"/>
      </w:pgBorders>
      <w:pgNumType w:fmt="decimal"/>
      <w:cols w:space="0" w:num="1"/>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AFF" w:usb1="C0007841" w:usb2="00000009" w:usb3="00000000" w:csb0="400001FF" w:csb1="FFFF0000"/>
  </w:font>
  <w:font w:name="宋体">
    <w:panose1 w:val="02010600030101010101"/>
    <w:charset w:val="88"/>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EE95CB8D-0213-40D0-85BC-4366930CCCC8}"/>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2" w:fontKey="{97FFEA30-C74E-47D8-BE2E-AF52AF35CABC}"/>
  </w:font>
  <w:font w:name="仿宋_GB2312">
    <w:panose1 w:val="02010609030101010101"/>
    <w:charset w:val="86"/>
    <w:family w:val="auto"/>
    <w:pitch w:val="default"/>
    <w:sig w:usb0="00000001" w:usb1="080E0000" w:usb2="00000000" w:usb3="00000000" w:csb0="00040000" w:csb1="00000000"/>
    <w:embedRegular r:id="rId3" w:fontKey="{61F7111C-6BE0-46A0-A680-88AB95AF1E5F}"/>
  </w:font>
  <w:font w:name="楷体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Arial Black">
    <w:panose1 w:val="020B0A04020102020204"/>
    <w:charset w:val="00"/>
    <w:family w:val="swiss"/>
    <w:pitch w:val="default"/>
    <w:sig w:usb0="00000287" w:usb1="00000000" w:usb2="00000000" w:usb3="00000000" w:csb0="2000009F" w:csb1="DFD70000"/>
  </w:font>
  <w:font w:name="楷体">
    <w:panose1 w:val="02010609060101010101"/>
    <w:charset w:val="86"/>
    <w:family w:val="modern"/>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embedRegular r:id="rId4" w:fontKey="{65019607-5F79-4AC7-A4FB-218BC3536047}"/>
  </w:font>
  <w:font w:name="Wingdings 2">
    <w:altName w:val="Wingdings"/>
    <w:panose1 w:val="05020102010507070707"/>
    <w:charset w:val="02"/>
    <w:family w:val="roman"/>
    <w:pitch w:val="default"/>
    <w:sig w:usb0="00000000" w:usb1="00000000" w:usb2="00000000" w:usb3="00000000" w:csb0="80000000" w:csb1="00000000"/>
  </w:font>
  <w:font w:name="华文仿宋">
    <w:panose1 w:val="02010600040101010101"/>
    <w:charset w:val="86"/>
    <w:family w:val="auto"/>
    <w:pitch w:val="default"/>
    <w:sig w:usb0="00000287" w:usb1="080F0000" w:usb2="00000000" w:usb3="00000000" w:csb0="0004009F" w:csb1="DFD70000"/>
    <w:embedRegular r:id="rId5" w:fontKey="{F1C55121-F2EB-41EC-AE01-17F4B3E4843A}"/>
  </w:font>
  <w:font w:name="Cambria Math">
    <w:panose1 w:val="02040503050406030204"/>
    <w:charset w:val="00"/>
    <w:family w:val="auto"/>
    <w:pitch w:val="default"/>
    <w:sig w:usb0="E00002FF" w:usb1="420024FF" w:usb2="00000000" w:usb3="00000000" w:csb0="2000019F" w:csb1="00000000"/>
    <w:embedRegular r:id="rId6" w:fontKey="{D6AD28DE-6E85-46CE-8B79-78207B6C90A2}"/>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S PGothic">
    <w:panose1 w:val="020B0600070205080204"/>
    <w:charset w:val="80"/>
    <w:family w:val="auto"/>
    <w:pitch w:val="default"/>
    <w:sig w:usb0="E00002FF" w:usb1="6AC7FDFB" w:usb2="00000012" w:usb3="00000000" w:csb0="4002009F" w:csb1="DFD7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B7DA04">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036DEB">
    <w:pPr>
      <w:pStyle w:val="15"/>
      <w:framePr w:wrap="around" w:vAnchor="text" w:hAnchor="margin" w:xAlign="center" w:y="1"/>
      <w:rPr>
        <w:rStyle w:val="26"/>
      </w:rPr>
    </w:pPr>
    <w:r>
      <w:fldChar w:fldCharType="begin"/>
    </w:r>
    <w:r>
      <w:rPr>
        <w:rStyle w:val="26"/>
      </w:rPr>
      <w:instrText xml:space="preserve">PAGE  </w:instrText>
    </w:r>
    <w:r>
      <w:fldChar w:fldCharType="end"/>
    </w:r>
  </w:p>
  <w:p w14:paraId="10D7C539">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A9699A">
    <w:pPr>
      <w:pStyle w:val="15"/>
      <w:ind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102F4A">
                          <w:pPr>
                            <w:ind w:left="0" w:leftChars="0" w:firstLine="0" w:firstLineChars="0"/>
                            <w:rPr>
                              <w:rFonts w:hint="default" w:ascii="Times New Roman" w:hAnsi="Times New Roman" w:cs="Times New Roman"/>
                              <w:sz w:val="22"/>
                              <w:szCs w:val="21"/>
                            </w:rPr>
                          </w:pPr>
                          <w:r>
                            <w:rPr>
                              <w:rFonts w:hint="default" w:ascii="Times New Roman" w:hAnsi="Times New Roman" w:cs="Times New Roman"/>
                              <w:sz w:val="22"/>
                              <w:szCs w:val="21"/>
                            </w:rPr>
                            <w:t>Ⅰ</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62102F4A">
                    <w:pPr>
                      <w:ind w:left="0" w:leftChars="0" w:firstLine="0" w:firstLineChars="0"/>
                      <w:rPr>
                        <w:rFonts w:hint="default" w:ascii="Times New Roman" w:hAnsi="Times New Roman" w:cs="Times New Roman"/>
                        <w:sz w:val="22"/>
                        <w:szCs w:val="21"/>
                      </w:rPr>
                    </w:pPr>
                    <w:r>
                      <w:rPr>
                        <w:rFonts w:hint="default" w:ascii="Times New Roman" w:hAnsi="Times New Roman" w:cs="Times New Roman"/>
                        <w:sz w:val="22"/>
                        <w:szCs w:val="21"/>
                      </w:rPr>
                      <w:t>Ⅰ</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0D9262">
    <w:pPr>
      <w:pStyle w:val="15"/>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BFE9C1">
                          <w:pPr>
                            <w:pStyle w:val="15"/>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5CBFE9C1">
                    <w:pPr>
                      <w:pStyle w:val="15"/>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3CDA32">
    <w:pPr>
      <w:pStyle w:val="15"/>
      <w:ind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B25DBA">
                          <w:pPr>
                            <w:pStyle w:val="15"/>
                            <w:ind w:firstLine="360"/>
                            <w:jc w:val="center"/>
                          </w:pPr>
                          <w:r>
                            <w:rPr>
                              <w:rFonts w:hint="eastAsia"/>
                            </w:rPr>
                            <w:fldChar w:fldCharType="begin"/>
                          </w:r>
                          <w:r>
                            <w:rPr>
                              <w:rFonts w:hint="eastAsia"/>
                            </w:rPr>
                            <w:instrText xml:space="preserve"> PAGE  \* MERGEFORMAT </w:instrText>
                          </w:r>
                          <w:r>
                            <w:rPr>
                              <w:rFonts w:hint="eastAsia"/>
                            </w:rPr>
                            <w:fldChar w:fldCharType="separate"/>
                          </w:r>
                          <w:r>
                            <w:t>90</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0AB25DBA">
                    <w:pPr>
                      <w:pStyle w:val="15"/>
                      <w:ind w:firstLine="360"/>
                      <w:jc w:val="center"/>
                    </w:pPr>
                    <w:r>
                      <w:rPr>
                        <w:rFonts w:hint="eastAsia"/>
                      </w:rPr>
                      <w:fldChar w:fldCharType="begin"/>
                    </w:r>
                    <w:r>
                      <w:rPr>
                        <w:rFonts w:hint="eastAsia"/>
                      </w:rPr>
                      <w:instrText xml:space="preserve"> PAGE  \* MERGEFORMAT </w:instrText>
                    </w:r>
                    <w:r>
                      <w:rPr>
                        <w:rFonts w:hint="eastAsia"/>
                      </w:rPr>
                      <w:fldChar w:fldCharType="separate"/>
                    </w:r>
                    <w:r>
                      <w:t>90</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73220F">
    <w:pPr>
      <w:pStyle w:val="15"/>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F386A1">
                          <w:pPr>
                            <w:pStyle w:val="15"/>
                          </w:pPr>
                          <w:r>
                            <w:rPr>
                              <w:rFonts w:hint="eastAsia"/>
                            </w:rPr>
                            <w:fldChar w:fldCharType="begin"/>
                          </w:r>
                          <w:r>
                            <w:rPr>
                              <w:rFonts w:hint="eastAsia"/>
                            </w:rPr>
                            <w:instrText xml:space="preserve"> PAGE  \* MERGEFORMAT </w:instrText>
                          </w:r>
                          <w:r>
                            <w:rPr>
                              <w:rFonts w:hint="eastAsia"/>
                            </w:rPr>
                            <w:fldChar w:fldCharType="separate"/>
                          </w:r>
                          <w:r>
                            <w:t>128</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30F386A1">
                    <w:pPr>
                      <w:pStyle w:val="15"/>
                    </w:pPr>
                    <w:r>
                      <w:rPr>
                        <w:rFonts w:hint="eastAsia"/>
                      </w:rPr>
                      <w:fldChar w:fldCharType="begin"/>
                    </w:r>
                    <w:r>
                      <w:rPr>
                        <w:rFonts w:hint="eastAsia"/>
                      </w:rPr>
                      <w:instrText xml:space="preserve"> PAGE  \* MERGEFORMAT </w:instrText>
                    </w:r>
                    <w:r>
                      <w:rPr>
                        <w:rFonts w:hint="eastAsia"/>
                      </w:rPr>
                      <w:fldChar w:fldCharType="separate"/>
                    </w:r>
                    <w:r>
                      <w:t>128</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A3C347">
    <w:pPr>
      <w:ind w:left="480"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AE63A2"/>
    <w:multiLevelType w:val="singleLevel"/>
    <w:tmpl w:val="B7AE63A2"/>
    <w:lvl w:ilvl="0" w:tentative="0">
      <w:start w:val="1"/>
      <w:numFmt w:val="bullet"/>
      <w:pStyle w:val="10"/>
      <w:lvlText w:val=""/>
      <w:lvlJc w:val="left"/>
      <w:pPr>
        <w:tabs>
          <w:tab w:val="left" w:pos="2040"/>
        </w:tabs>
        <w:ind w:left="2040" w:hanging="360"/>
      </w:pPr>
      <w:rPr>
        <w:rFonts w:hint="default" w:ascii="Wingdings" w:hAnsi="Wingdings"/>
      </w:rPr>
    </w:lvl>
  </w:abstractNum>
  <w:abstractNum w:abstractNumId="1">
    <w:nsid w:val="F6CC6A31"/>
    <w:multiLevelType w:val="singleLevel"/>
    <w:tmpl w:val="F6CC6A31"/>
    <w:lvl w:ilvl="0" w:tentative="0">
      <w:start w:val="2"/>
      <w:numFmt w:val="chineseCounting"/>
      <w:suff w:val="nothing"/>
      <w:lvlText w:val="%1、"/>
      <w:lvlJc w:val="left"/>
      <w:rPr>
        <w:rFonts w:hint="eastAsia"/>
      </w:rPr>
    </w:lvl>
  </w:abstractNum>
  <w:abstractNum w:abstractNumId="2">
    <w:nsid w:val="1A0CBBAE"/>
    <w:multiLevelType w:val="singleLevel"/>
    <w:tmpl w:val="1A0CBBAE"/>
    <w:lvl w:ilvl="0" w:tentative="0">
      <w:start w:val="5"/>
      <w:numFmt w:val="decimal"/>
      <w:suff w:val="nothing"/>
      <w:lvlText w:val="%1、"/>
      <w:lvlJc w:val="left"/>
    </w:lvl>
  </w:abstractNum>
  <w:abstractNum w:abstractNumId="3">
    <w:nsid w:val="30C954A8"/>
    <w:multiLevelType w:val="singleLevel"/>
    <w:tmpl w:val="30C954A8"/>
    <w:lvl w:ilvl="0" w:tentative="0">
      <w:start w:val="6"/>
      <w:numFmt w:val="decimal"/>
      <w:suff w:val="nothing"/>
      <w:lvlText w:val="%1、"/>
      <w:lvlJc w:val="left"/>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UyMDQxNzA3OTMwOGM3YzExNGM5NjE5OGQ3MWY1MDcifQ=="/>
  </w:docVars>
  <w:rsids>
    <w:rsidRoot w:val="00172A27"/>
    <w:rsid w:val="000474D9"/>
    <w:rsid w:val="00053AF5"/>
    <w:rsid w:val="000C4FAD"/>
    <w:rsid w:val="000D299E"/>
    <w:rsid w:val="000D676D"/>
    <w:rsid w:val="000E33C8"/>
    <w:rsid w:val="000E7410"/>
    <w:rsid w:val="000F068C"/>
    <w:rsid w:val="00140692"/>
    <w:rsid w:val="001423D7"/>
    <w:rsid w:val="00143693"/>
    <w:rsid w:val="00150EAD"/>
    <w:rsid w:val="00151F8B"/>
    <w:rsid w:val="0016036D"/>
    <w:rsid w:val="00167967"/>
    <w:rsid w:val="00172A27"/>
    <w:rsid w:val="001760E7"/>
    <w:rsid w:val="0018676E"/>
    <w:rsid w:val="001940AA"/>
    <w:rsid w:val="001C209E"/>
    <w:rsid w:val="001C5A80"/>
    <w:rsid w:val="001D528C"/>
    <w:rsid w:val="001E2DEA"/>
    <w:rsid w:val="001E74E8"/>
    <w:rsid w:val="001F5057"/>
    <w:rsid w:val="001F7584"/>
    <w:rsid w:val="00203E77"/>
    <w:rsid w:val="00204847"/>
    <w:rsid w:val="002410F1"/>
    <w:rsid w:val="00242AB4"/>
    <w:rsid w:val="00256739"/>
    <w:rsid w:val="002964F3"/>
    <w:rsid w:val="002E5FDA"/>
    <w:rsid w:val="00304094"/>
    <w:rsid w:val="00310AC0"/>
    <w:rsid w:val="00313DEC"/>
    <w:rsid w:val="00314FF0"/>
    <w:rsid w:val="00324348"/>
    <w:rsid w:val="003634AD"/>
    <w:rsid w:val="00382DF6"/>
    <w:rsid w:val="003A28BF"/>
    <w:rsid w:val="003A49E0"/>
    <w:rsid w:val="003C38B3"/>
    <w:rsid w:val="003C6AA6"/>
    <w:rsid w:val="003F4878"/>
    <w:rsid w:val="0040446F"/>
    <w:rsid w:val="00410174"/>
    <w:rsid w:val="00452FED"/>
    <w:rsid w:val="005216AE"/>
    <w:rsid w:val="00523C0B"/>
    <w:rsid w:val="0054220E"/>
    <w:rsid w:val="00575A2A"/>
    <w:rsid w:val="00592585"/>
    <w:rsid w:val="005A0EFC"/>
    <w:rsid w:val="005A37DA"/>
    <w:rsid w:val="00623F46"/>
    <w:rsid w:val="00661B16"/>
    <w:rsid w:val="006805E3"/>
    <w:rsid w:val="00684EC6"/>
    <w:rsid w:val="00685ADB"/>
    <w:rsid w:val="006C631C"/>
    <w:rsid w:val="006F6677"/>
    <w:rsid w:val="00714DEE"/>
    <w:rsid w:val="00715A10"/>
    <w:rsid w:val="00772943"/>
    <w:rsid w:val="007B0B3A"/>
    <w:rsid w:val="007B2F0E"/>
    <w:rsid w:val="007B49E4"/>
    <w:rsid w:val="007D496D"/>
    <w:rsid w:val="007F6951"/>
    <w:rsid w:val="008023DF"/>
    <w:rsid w:val="0085475A"/>
    <w:rsid w:val="00876EBF"/>
    <w:rsid w:val="008949FE"/>
    <w:rsid w:val="008A1835"/>
    <w:rsid w:val="008D1ACB"/>
    <w:rsid w:val="008D246E"/>
    <w:rsid w:val="0091340D"/>
    <w:rsid w:val="00916414"/>
    <w:rsid w:val="00921433"/>
    <w:rsid w:val="00923131"/>
    <w:rsid w:val="0093663E"/>
    <w:rsid w:val="009462BF"/>
    <w:rsid w:val="00951FEE"/>
    <w:rsid w:val="009A2102"/>
    <w:rsid w:val="009A5C00"/>
    <w:rsid w:val="009A651C"/>
    <w:rsid w:val="009B0D5A"/>
    <w:rsid w:val="009C26AD"/>
    <w:rsid w:val="009C2A09"/>
    <w:rsid w:val="009C5AD6"/>
    <w:rsid w:val="00A02FAE"/>
    <w:rsid w:val="00A20DF1"/>
    <w:rsid w:val="00A37C3C"/>
    <w:rsid w:val="00A451F0"/>
    <w:rsid w:val="00A45F04"/>
    <w:rsid w:val="00A501BC"/>
    <w:rsid w:val="00A60C53"/>
    <w:rsid w:val="00A6431F"/>
    <w:rsid w:val="00A779FF"/>
    <w:rsid w:val="00A96524"/>
    <w:rsid w:val="00AA1998"/>
    <w:rsid w:val="00AA47EC"/>
    <w:rsid w:val="00AC3369"/>
    <w:rsid w:val="00AC66BA"/>
    <w:rsid w:val="00AF36BB"/>
    <w:rsid w:val="00B67269"/>
    <w:rsid w:val="00B76409"/>
    <w:rsid w:val="00B90C50"/>
    <w:rsid w:val="00BA1886"/>
    <w:rsid w:val="00BB234E"/>
    <w:rsid w:val="00BD0A77"/>
    <w:rsid w:val="00BE30D9"/>
    <w:rsid w:val="00BE4235"/>
    <w:rsid w:val="00C034EA"/>
    <w:rsid w:val="00C100B7"/>
    <w:rsid w:val="00C232AE"/>
    <w:rsid w:val="00C32154"/>
    <w:rsid w:val="00C366CF"/>
    <w:rsid w:val="00C41174"/>
    <w:rsid w:val="00C8493F"/>
    <w:rsid w:val="00C94C06"/>
    <w:rsid w:val="00C97C2F"/>
    <w:rsid w:val="00CA57F7"/>
    <w:rsid w:val="00CB105D"/>
    <w:rsid w:val="00CB5B90"/>
    <w:rsid w:val="00CC3F77"/>
    <w:rsid w:val="00CD2DD1"/>
    <w:rsid w:val="00CE1474"/>
    <w:rsid w:val="00D551F6"/>
    <w:rsid w:val="00D649CC"/>
    <w:rsid w:val="00D64D02"/>
    <w:rsid w:val="00D822B1"/>
    <w:rsid w:val="00DB2A26"/>
    <w:rsid w:val="00DB30E9"/>
    <w:rsid w:val="00DF2937"/>
    <w:rsid w:val="00DF7763"/>
    <w:rsid w:val="00E36C86"/>
    <w:rsid w:val="00E60752"/>
    <w:rsid w:val="00E70AF4"/>
    <w:rsid w:val="00E859F8"/>
    <w:rsid w:val="00E902B3"/>
    <w:rsid w:val="00E908CF"/>
    <w:rsid w:val="00E972B6"/>
    <w:rsid w:val="00EB7E60"/>
    <w:rsid w:val="00ED33C1"/>
    <w:rsid w:val="00EF2436"/>
    <w:rsid w:val="00F14D9B"/>
    <w:rsid w:val="00F42614"/>
    <w:rsid w:val="00F7086E"/>
    <w:rsid w:val="00F95DF0"/>
    <w:rsid w:val="00FB0DF0"/>
    <w:rsid w:val="00FB14B5"/>
    <w:rsid w:val="00FB1E55"/>
    <w:rsid w:val="00FE4D25"/>
    <w:rsid w:val="01184234"/>
    <w:rsid w:val="011952D6"/>
    <w:rsid w:val="011F03E0"/>
    <w:rsid w:val="01276C89"/>
    <w:rsid w:val="012B53CC"/>
    <w:rsid w:val="01337E7A"/>
    <w:rsid w:val="01343577"/>
    <w:rsid w:val="01370652"/>
    <w:rsid w:val="0142344A"/>
    <w:rsid w:val="014F6641"/>
    <w:rsid w:val="01522011"/>
    <w:rsid w:val="015B4FB1"/>
    <w:rsid w:val="015C1F27"/>
    <w:rsid w:val="016752DF"/>
    <w:rsid w:val="016F3463"/>
    <w:rsid w:val="01742D53"/>
    <w:rsid w:val="01960024"/>
    <w:rsid w:val="01AA6604"/>
    <w:rsid w:val="01B71E8F"/>
    <w:rsid w:val="01B97F5E"/>
    <w:rsid w:val="01C6756E"/>
    <w:rsid w:val="01C72940"/>
    <w:rsid w:val="01D23588"/>
    <w:rsid w:val="01E557E7"/>
    <w:rsid w:val="01E879F1"/>
    <w:rsid w:val="01F0544B"/>
    <w:rsid w:val="01F84F67"/>
    <w:rsid w:val="01F93C3C"/>
    <w:rsid w:val="021455A7"/>
    <w:rsid w:val="02171191"/>
    <w:rsid w:val="02173A4F"/>
    <w:rsid w:val="021A7750"/>
    <w:rsid w:val="02205A60"/>
    <w:rsid w:val="0226680F"/>
    <w:rsid w:val="022E0CC1"/>
    <w:rsid w:val="022E38DD"/>
    <w:rsid w:val="02310D4F"/>
    <w:rsid w:val="023E33C5"/>
    <w:rsid w:val="02496AC2"/>
    <w:rsid w:val="02534B84"/>
    <w:rsid w:val="025A5137"/>
    <w:rsid w:val="025E6255"/>
    <w:rsid w:val="02654E97"/>
    <w:rsid w:val="02693733"/>
    <w:rsid w:val="026C7116"/>
    <w:rsid w:val="026D5E00"/>
    <w:rsid w:val="027806FA"/>
    <w:rsid w:val="027D11EF"/>
    <w:rsid w:val="02804F81"/>
    <w:rsid w:val="028203C5"/>
    <w:rsid w:val="028277C9"/>
    <w:rsid w:val="02867836"/>
    <w:rsid w:val="028D3EA9"/>
    <w:rsid w:val="02A227A1"/>
    <w:rsid w:val="02A816E8"/>
    <w:rsid w:val="02A90730"/>
    <w:rsid w:val="02A92562"/>
    <w:rsid w:val="02AC2C67"/>
    <w:rsid w:val="02AE1145"/>
    <w:rsid w:val="02AE7397"/>
    <w:rsid w:val="02B023B4"/>
    <w:rsid w:val="02B47355"/>
    <w:rsid w:val="02B62E25"/>
    <w:rsid w:val="02BC7B5E"/>
    <w:rsid w:val="02CB7F49"/>
    <w:rsid w:val="02D6551E"/>
    <w:rsid w:val="02D84EFD"/>
    <w:rsid w:val="02E07918"/>
    <w:rsid w:val="02E1392C"/>
    <w:rsid w:val="02E141D6"/>
    <w:rsid w:val="02F859E5"/>
    <w:rsid w:val="03062D2F"/>
    <w:rsid w:val="0317164F"/>
    <w:rsid w:val="03262199"/>
    <w:rsid w:val="03262B24"/>
    <w:rsid w:val="032D29B2"/>
    <w:rsid w:val="03304250"/>
    <w:rsid w:val="03311002"/>
    <w:rsid w:val="03390012"/>
    <w:rsid w:val="03394EB3"/>
    <w:rsid w:val="033A16AA"/>
    <w:rsid w:val="03465822"/>
    <w:rsid w:val="036514CC"/>
    <w:rsid w:val="03694FBE"/>
    <w:rsid w:val="03695B64"/>
    <w:rsid w:val="036F6720"/>
    <w:rsid w:val="03716E3E"/>
    <w:rsid w:val="0375571E"/>
    <w:rsid w:val="0378154F"/>
    <w:rsid w:val="03807728"/>
    <w:rsid w:val="038B058F"/>
    <w:rsid w:val="038C5FF4"/>
    <w:rsid w:val="039840BC"/>
    <w:rsid w:val="039A34DF"/>
    <w:rsid w:val="03A81BC3"/>
    <w:rsid w:val="03BC3A89"/>
    <w:rsid w:val="03BE7AAE"/>
    <w:rsid w:val="03CA7C5B"/>
    <w:rsid w:val="03CF642A"/>
    <w:rsid w:val="03DC3FEC"/>
    <w:rsid w:val="03E263ED"/>
    <w:rsid w:val="03E91990"/>
    <w:rsid w:val="03E9263D"/>
    <w:rsid w:val="03EA1592"/>
    <w:rsid w:val="03ED09A4"/>
    <w:rsid w:val="03F4702C"/>
    <w:rsid w:val="040134DD"/>
    <w:rsid w:val="0404009F"/>
    <w:rsid w:val="04086F47"/>
    <w:rsid w:val="040E3DF0"/>
    <w:rsid w:val="040E4592"/>
    <w:rsid w:val="04126045"/>
    <w:rsid w:val="041353EC"/>
    <w:rsid w:val="041B4819"/>
    <w:rsid w:val="041C6A8A"/>
    <w:rsid w:val="04283E09"/>
    <w:rsid w:val="042913CB"/>
    <w:rsid w:val="04293B45"/>
    <w:rsid w:val="042C10E4"/>
    <w:rsid w:val="0432013F"/>
    <w:rsid w:val="04367644"/>
    <w:rsid w:val="043A5465"/>
    <w:rsid w:val="043B1A6C"/>
    <w:rsid w:val="04450F7D"/>
    <w:rsid w:val="044E4967"/>
    <w:rsid w:val="04604C2D"/>
    <w:rsid w:val="046E6C32"/>
    <w:rsid w:val="04754611"/>
    <w:rsid w:val="04770389"/>
    <w:rsid w:val="048833A8"/>
    <w:rsid w:val="049752DD"/>
    <w:rsid w:val="049F5128"/>
    <w:rsid w:val="04A51429"/>
    <w:rsid w:val="04A62A1C"/>
    <w:rsid w:val="04B073F7"/>
    <w:rsid w:val="04B862AB"/>
    <w:rsid w:val="04C04528"/>
    <w:rsid w:val="04C24726"/>
    <w:rsid w:val="04C603A8"/>
    <w:rsid w:val="04D36A40"/>
    <w:rsid w:val="04E13A54"/>
    <w:rsid w:val="04E23328"/>
    <w:rsid w:val="04F646F0"/>
    <w:rsid w:val="04F82B4C"/>
    <w:rsid w:val="04FB1CE6"/>
    <w:rsid w:val="04FC745F"/>
    <w:rsid w:val="050D2A9B"/>
    <w:rsid w:val="050E09AD"/>
    <w:rsid w:val="050E318E"/>
    <w:rsid w:val="050F39DE"/>
    <w:rsid w:val="05110362"/>
    <w:rsid w:val="051200B1"/>
    <w:rsid w:val="051A51B8"/>
    <w:rsid w:val="051B2086"/>
    <w:rsid w:val="051D2B0B"/>
    <w:rsid w:val="05204079"/>
    <w:rsid w:val="052860C0"/>
    <w:rsid w:val="053848CA"/>
    <w:rsid w:val="05393890"/>
    <w:rsid w:val="053D7FEC"/>
    <w:rsid w:val="0558787B"/>
    <w:rsid w:val="055A2DBD"/>
    <w:rsid w:val="055F4446"/>
    <w:rsid w:val="05615CBF"/>
    <w:rsid w:val="056761C0"/>
    <w:rsid w:val="056F509F"/>
    <w:rsid w:val="05713F3E"/>
    <w:rsid w:val="05736715"/>
    <w:rsid w:val="05776082"/>
    <w:rsid w:val="0580326D"/>
    <w:rsid w:val="058A2C4B"/>
    <w:rsid w:val="05944D06"/>
    <w:rsid w:val="05992A58"/>
    <w:rsid w:val="05B41169"/>
    <w:rsid w:val="05BA4024"/>
    <w:rsid w:val="05BA5619"/>
    <w:rsid w:val="05BD1C43"/>
    <w:rsid w:val="05C56ED2"/>
    <w:rsid w:val="05C649F8"/>
    <w:rsid w:val="05C72C4A"/>
    <w:rsid w:val="05CD3FD8"/>
    <w:rsid w:val="05CF1AFF"/>
    <w:rsid w:val="05D353E8"/>
    <w:rsid w:val="05D437C9"/>
    <w:rsid w:val="05D52773"/>
    <w:rsid w:val="05EE0AAF"/>
    <w:rsid w:val="05EF21A1"/>
    <w:rsid w:val="05F23B71"/>
    <w:rsid w:val="05F812DD"/>
    <w:rsid w:val="05F971DE"/>
    <w:rsid w:val="06083F51"/>
    <w:rsid w:val="060C7EB6"/>
    <w:rsid w:val="061E4ACC"/>
    <w:rsid w:val="062027E7"/>
    <w:rsid w:val="06233CEE"/>
    <w:rsid w:val="06242FB9"/>
    <w:rsid w:val="06291239"/>
    <w:rsid w:val="063110B1"/>
    <w:rsid w:val="063241D4"/>
    <w:rsid w:val="063C4161"/>
    <w:rsid w:val="06412B15"/>
    <w:rsid w:val="06593E99"/>
    <w:rsid w:val="065B7F10"/>
    <w:rsid w:val="065D207B"/>
    <w:rsid w:val="065D49F2"/>
    <w:rsid w:val="066F6E3E"/>
    <w:rsid w:val="067362E3"/>
    <w:rsid w:val="06775E49"/>
    <w:rsid w:val="06826B71"/>
    <w:rsid w:val="06853151"/>
    <w:rsid w:val="068C22A8"/>
    <w:rsid w:val="068C78A2"/>
    <w:rsid w:val="06997E90"/>
    <w:rsid w:val="069A569A"/>
    <w:rsid w:val="069F3E2E"/>
    <w:rsid w:val="06A21514"/>
    <w:rsid w:val="06A53A4C"/>
    <w:rsid w:val="06B6419E"/>
    <w:rsid w:val="06D373CC"/>
    <w:rsid w:val="06DE2608"/>
    <w:rsid w:val="06F35CC1"/>
    <w:rsid w:val="06F757B1"/>
    <w:rsid w:val="06F76E3F"/>
    <w:rsid w:val="06F810B2"/>
    <w:rsid w:val="06FD49C3"/>
    <w:rsid w:val="070B4DB8"/>
    <w:rsid w:val="072329A2"/>
    <w:rsid w:val="072A23D5"/>
    <w:rsid w:val="072D2F81"/>
    <w:rsid w:val="07314DE5"/>
    <w:rsid w:val="073267E9"/>
    <w:rsid w:val="073776C8"/>
    <w:rsid w:val="07594AB6"/>
    <w:rsid w:val="075E313A"/>
    <w:rsid w:val="076771B3"/>
    <w:rsid w:val="076B12D7"/>
    <w:rsid w:val="076E5131"/>
    <w:rsid w:val="07707231"/>
    <w:rsid w:val="07783AE7"/>
    <w:rsid w:val="077875E0"/>
    <w:rsid w:val="0778786C"/>
    <w:rsid w:val="07851706"/>
    <w:rsid w:val="0788471F"/>
    <w:rsid w:val="07927D82"/>
    <w:rsid w:val="07C33A75"/>
    <w:rsid w:val="07CC203E"/>
    <w:rsid w:val="07D47BD7"/>
    <w:rsid w:val="07D6213C"/>
    <w:rsid w:val="07DE5829"/>
    <w:rsid w:val="07E86C2B"/>
    <w:rsid w:val="07F45FFC"/>
    <w:rsid w:val="07F92E63"/>
    <w:rsid w:val="08033CE1"/>
    <w:rsid w:val="08053DF5"/>
    <w:rsid w:val="0806574B"/>
    <w:rsid w:val="080D7559"/>
    <w:rsid w:val="081464D7"/>
    <w:rsid w:val="08163A15"/>
    <w:rsid w:val="081B3A6F"/>
    <w:rsid w:val="081C44A1"/>
    <w:rsid w:val="081D7E86"/>
    <w:rsid w:val="081E7BE8"/>
    <w:rsid w:val="08263045"/>
    <w:rsid w:val="08282350"/>
    <w:rsid w:val="08295A4E"/>
    <w:rsid w:val="082A3964"/>
    <w:rsid w:val="08342EB2"/>
    <w:rsid w:val="08365E65"/>
    <w:rsid w:val="083703C4"/>
    <w:rsid w:val="08393FC3"/>
    <w:rsid w:val="083975E4"/>
    <w:rsid w:val="08416C6B"/>
    <w:rsid w:val="0858402D"/>
    <w:rsid w:val="08682B91"/>
    <w:rsid w:val="086E0607"/>
    <w:rsid w:val="087314C7"/>
    <w:rsid w:val="0879749D"/>
    <w:rsid w:val="087B79DB"/>
    <w:rsid w:val="087D06A5"/>
    <w:rsid w:val="088A5FAE"/>
    <w:rsid w:val="08923B7D"/>
    <w:rsid w:val="089549D9"/>
    <w:rsid w:val="08A15A95"/>
    <w:rsid w:val="08B1373D"/>
    <w:rsid w:val="08B601C1"/>
    <w:rsid w:val="08B94B19"/>
    <w:rsid w:val="08BD6586"/>
    <w:rsid w:val="08CA6E29"/>
    <w:rsid w:val="08CA6F6A"/>
    <w:rsid w:val="08E14451"/>
    <w:rsid w:val="08E5550A"/>
    <w:rsid w:val="08E94684"/>
    <w:rsid w:val="08ED1A4F"/>
    <w:rsid w:val="08EF7874"/>
    <w:rsid w:val="08EF7924"/>
    <w:rsid w:val="08F314B9"/>
    <w:rsid w:val="09064CE7"/>
    <w:rsid w:val="09216B15"/>
    <w:rsid w:val="09251171"/>
    <w:rsid w:val="09264310"/>
    <w:rsid w:val="092C7268"/>
    <w:rsid w:val="09383E5F"/>
    <w:rsid w:val="093D7E92"/>
    <w:rsid w:val="09450D73"/>
    <w:rsid w:val="09594501"/>
    <w:rsid w:val="095F7D9D"/>
    <w:rsid w:val="09633DCF"/>
    <w:rsid w:val="096E7880"/>
    <w:rsid w:val="09776735"/>
    <w:rsid w:val="097D7547"/>
    <w:rsid w:val="09803CAF"/>
    <w:rsid w:val="0991106B"/>
    <w:rsid w:val="09A447B9"/>
    <w:rsid w:val="09A712BD"/>
    <w:rsid w:val="09AB63DF"/>
    <w:rsid w:val="09AF7C41"/>
    <w:rsid w:val="09B16C3F"/>
    <w:rsid w:val="09B21785"/>
    <w:rsid w:val="09B81054"/>
    <w:rsid w:val="09D9633F"/>
    <w:rsid w:val="09E244F6"/>
    <w:rsid w:val="09E70D03"/>
    <w:rsid w:val="0A0601DF"/>
    <w:rsid w:val="0A195A3E"/>
    <w:rsid w:val="0A1B7037"/>
    <w:rsid w:val="0A1C2E5E"/>
    <w:rsid w:val="0A2A7C4B"/>
    <w:rsid w:val="0A2F5262"/>
    <w:rsid w:val="0A305430"/>
    <w:rsid w:val="0A30772D"/>
    <w:rsid w:val="0A307A1E"/>
    <w:rsid w:val="0A40746F"/>
    <w:rsid w:val="0A4212FE"/>
    <w:rsid w:val="0A4D009D"/>
    <w:rsid w:val="0A511EB0"/>
    <w:rsid w:val="0A5B6057"/>
    <w:rsid w:val="0A5C3113"/>
    <w:rsid w:val="0A6124EE"/>
    <w:rsid w:val="0A617F01"/>
    <w:rsid w:val="0A67007D"/>
    <w:rsid w:val="0A6F38B0"/>
    <w:rsid w:val="0A702E51"/>
    <w:rsid w:val="0A7629EA"/>
    <w:rsid w:val="0A7D0E1B"/>
    <w:rsid w:val="0A8150F5"/>
    <w:rsid w:val="0A854E82"/>
    <w:rsid w:val="0A8733A3"/>
    <w:rsid w:val="0A8741B1"/>
    <w:rsid w:val="0A8752AC"/>
    <w:rsid w:val="0A876954"/>
    <w:rsid w:val="0A8C17E5"/>
    <w:rsid w:val="0A922082"/>
    <w:rsid w:val="0A94077E"/>
    <w:rsid w:val="0A953DA4"/>
    <w:rsid w:val="0A9C1E35"/>
    <w:rsid w:val="0A9D6DE7"/>
    <w:rsid w:val="0AA25AA2"/>
    <w:rsid w:val="0AA87416"/>
    <w:rsid w:val="0AA95862"/>
    <w:rsid w:val="0AB26674"/>
    <w:rsid w:val="0AB42C3E"/>
    <w:rsid w:val="0ACC1172"/>
    <w:rsid w:val="0ACC216B"/>
    <w:rsid w:val="0AD33E3F"/>
    <w:rsid w:val="0ADC27FC"/>
    <w:rsid w:val="0AE44A7F"/>
    <w:rsid w:val="0AE578F1"/>
    <w:rsid w:val="0AF463CD"/>
    <w:rsid w:val="0B055DD7"/>
    <w:rsid w:val="0B0E657E"/>
    <w:rsid w:val="0B15647B"/>
    <w:rsid w:val="0B2575B6"/>
    <w:rsid w:val="0B2C47CA"/>
    <w:rsid w:val="0B2D793F"/>
    <w:rsid w:val="0B305C06"/>
    <w:rsid w:val="0B464611"/>
    <w:rsid w:val="0B472137"/>
    <w:rsid w:val="0B4B7E79"/>
    <w:rsid w:val="0B4C1BE1"/>
    <w:rsid w:val="0B4C76F8"/>
    <w:rsid w:val="0B507BF3"/>
    <w:rsid w:val="0B5200D9"/>
    <w:rsid w:val="0B5502C1"/>
    <w:rsid w:val="0B5C5BE2"/>
    <w:rsid w:val="0B5F2C0D"/>
    <w:rsid w:val="0B5F4FF3"/>
    <w:rsid w:val="0B744217"/>
    <w:rsid w:val="0B7A339B"/>
    <w:rsid w:val="0B7C44D7"/>
    <w:rsid w:val="0B8B417D"/>
    <w:rsid w:val="0B8C2821"/>
    <w:rsid w:val="0B901D30"/>
    <w:rsid w:val="0B943679"/>
    <w:rsid w:val="0B9D61FB"/>
    <w:rsid w:val="0BAE21B6"/>
    <w:rsid w:val="0BB00CFB"/>
    <w:rsid w:val="0BC05E81"/>
    <w:rsid w:val="0BC57B43"/>
    <w:rsid w:val="0BC864DA"/>
    <w:rsid w:val="0BCD6798"/>
    <w:rsid w:val="0BDC1973"/>
    <w:rsid w:val="0BDC6D23"/>
    <w:rsid w:val="0BF108EF"/>
    <w:rsid w:val="0BF132C1"/>
    <w:rsid w:val="0BF2315A"/>
    <w:rsid w:val="0C1351C6"/>
    <w:rsid w:val="0C1647CC"/>
    <w:rsid w:val="0C172481"/>
    <w:rsid w:val="0C182552"/>
    <w:rsid w:val="0C1E10EA"/>
    <w:rsid w:val="0C2D3A23"/>
    <w:rsid w:val="0C311E3F"/>
    <w:rsid w:val="0C3628D7"/>
    <w:rsid w:val="0C49715B"/>
    <w:rsid w:val="0C5478CE"/>
    <w:rsid w:val="0C55202D"/>
    <w:rsid w:val="0C624D21"/>
    <w:rsid w:val="0C776A4C"/>
    <w:rsid w:val="0C841636"/>
    <w:rsid w:val="0C9133DB"/>
    <w:rsid w:val="0C9E5EF0"/>
    <w:rsid w:val="0CA168A5"/>
    <w:rsid w:val="0CA73F7E"/>
    <w:rsid w:val="0CAA05D6"/>
    <w:rsid w:val="0CB03572"/>
    <w:rsid w:val="0CC33EBE"/>
    <w:rsid w:val="0CC75D6A"/>
    <w:rsid w:val="0CC869D2"/>
    <w:rsid w:val="0CD00064"/>
    <w:rsid w:val="0CD66D9E"/>
    <w:rsid w:val="0CD910AD"/>
    <w:rsid w:val="0CDF1041"/>
    <w:rsid w:val="0CEB451A"/>
    <w:rsid w:val="0CEE32B6"/>
    <w:rsid w:val="0CEF3714"/>
    <w:rsid w:val="0CFD1647"/>
    <w:rsid w:val="0D026C5D"/>
    <w:rsid w:val="0D027F66"/>
    <w:rsid w:val="0D052805"/>
    <w:rsid w:val="0D0673CF"/>
    <w:rsid w:val="0D0A224A"/>
    <w:rsid w:val="0D117DB0"/>
    <w:rsid w:val="0D1A077A"/>
    <w:rsid w:val="0D1B76EC"/>
    <w:rsid w:val="0D2334A3"/>
    <w:rsid w:val="0D321188"/>
    <w:rsid w:val="0D376F26"/>
    <w:rsid w:val="0D385F5A"/>
    <w:rsid w:val="0D39627F"/>
    <w:rsid w:val="0D3B3AB8"/>
    <w:rsid w:val="0D4A63A0"/>
    <w:rsid w:val="0D553231"/>
    <w:rsid w:val="0D5C737F"/>
    <w:rsid w:val="0D66517C"/>
    <w:rsid w:val="0D6E6BCA"/>
    <w:rsid w:val="0D7300F4"/>
    <w:rsid w:val="0D742486"/>
    <w:rsid w:val="0D7F110A"/>
    <w:rsid w:val="0D840F3A"/>
    <w:rsid w:val="0D8D6748"/>
    <w:rsid w:val="0D9025B9"/>
    <w:rsid w:val="0D9642F0"/>
    <w:rsid w:val="0D9755F8"/>
    <w:rsid w:val="0D9C543C"/>
    <w:rsid w:val="0DA252ED"/>
    <w:rsid w:val="0DA25D4B"/>
    <w:rsid w:val="0DA63C69"/>
    <w:rsid w:val="0DA77755"/>
    <w:rsid w:val="0DB37F58"/>
    <w:rsid w:val="0DB742A8"/>
    <w:rsid w:val="0DC63B28"/>
    <w:rsid w:val="0DCA7AA4"/>
    <w:rsid w:val="0DCF2E79"/>
    <w:rsid w:val="0DCF5641"/>
    <w:rsid w:val="0DD05FE7"/>
    <w:rsid w:val="0DD56120"/>
    <w:rsid w:val="0DDE4F1D"/>
    <w:rsid w:val="0DE502D4"/>
    <w:rsid w:val="0DEE2D3E"/>
    <w:rsid w:val="0DF02F5A"/>
    <w:rsid w:val="0DF16980"/>
    <w:rsid w:val="0DF50570"/>
    <w:rsid w:val="0DFC2E62"/>
    <w:rsid w:val="0E034A3B"/>
    <w:rsid w:val="0E0D6FCA"/>
    <w:rsid w:val="0E130328"/>
    <w:rsid w:val="0E147362"/>
    <w:rsid w:val="0E1E1CE1"/>
    <w:rsid w:val="0E285ADE"/>
    <w:rsid w:val="0E2F49C9"/>
    <w:rsid w:val="0E377A47"/>
    <w:rsid w:val="0E3A2D15"/>
    <w:rsid w:val="0E44395E"/>
    <w:rsid w:val="0E4957D9"/>
    <w:rsid w:val="0E497692"/>
    <w:rsid w:val="0E4D3F08"/>
    <w:rsid w:val="0E646FE6"/>
    <w:rsid w:val="0E7047CE"/>
    <w:rsid w:val="0E71641A"/>
    <w:rsid w:val="0E8625D9"/>
    <w:rsid w:val="0E8B452E"/>
    <w:rsid w:val="0E9D339A"/>
    <w:rsid w:val="0EA52443"/>
    <w:rsid w:val="0EA569CF"/>
    <w:rsid w:val="0EB24C09"/>
    <w:rsid w:val="0EC2643C"/>
    <w:rsid w:val="0EC85FA3"/>
    <w:rsid w:val="0ECD6DF7"/>
    <w:rsid w:val="0ED0356B"/>
    <w:rsid w:val="0EDB2B77"/>
    <w:rsid w:val="0EE25756"/>
    <w:rsid w:val="0EE44463"/>
    <w:rsid w:val="0EF32D02"/>
    <w:rsid w:val="0EF369FD"/>
    <w:rsid w:val="0EF6634E"/>
    <w:rsid w:val="0F013101"/>
    <w:rsid w:val="0F0F11BE"/>
    <w:rsid w:val="0F205179"/>
    <w:rsid w:val="0F2300E8"/>
    <w:rsid w:val="0F303E20"/>
    <w:rsid w:val="0F30646A"/>
    <w:rsid w:val="0F3557D2"/>
    <w:rsid w:val="0F36436F"/>
    <w:rsid w:val="0F3D3F7D"/>
    <w:rsid w:val="0F444270"/>
    <w:rsid w:val="0F516AFB"/>
    <w:rsid w:val="0F5358FC"/>
    <w:rsid w:val="0F5D63CD"/>
    <w:rsid w:val="0F644C05"/>
    <w:rsid w:val="0F652272"/>
    <w:rsid w:val="0F73174D"/>
    <w:rsid w:val="0F9B2C15"/>
    <w:rsid w:val="0F9D3348"/>
    <w:rsid w:val="0F9F1AFA"/>
    <w:rsid w:val="0FA64F21"/>
    <w:rsid w:val="0FA933C0"/>
    <w:rsid w:val="0FAA63EC"/>
    <w:rsid w:val="0FAB181A"/>
    <w:rsid w:val="0FAC0586"/>
    <w:rsid w:val="0FAE4E7B"/>
    <w:rsid w:val="0FB06177"/>
    <w:rsid w:val="0FB22DC0"/>
    <w:rsid w:val="0FC44D9A"/>
    <w:rsid w:val="0FCD5301"/>
    <w:rsid w:val="0FD020DC"/>
    <w:rsid w:val="0FD847A1"/>
    <w:rsid w:val="0FD87FAF"/>
    <w:rsid w:val="0FE50E75"/>
    <w:rsid w:val="10017359"/>
    <w:rsid w:val="10075EB1"/>
    <w:rsid w:val="100B1A5C"/>
    <w:rsid w:val="100B7ABF"/>
    <w:rsid w:val="100E710B"/>
    <w:rsid w:val="101953C4"/>
    <w:rsid w:val="10246EEB"/>
    <w:rsid w:val="1028404E"/>
    <w:rsid w:val="10287675"/>
    <w:rsid w:val="102D7A4D"/>
    <w:rsid w:val="10396084"/>
    <w:rsid w:val="103C7717"/>
    <w:rsid w:val="1044122E"/>
    <w:rsid w:val="104A7613"/>
    <w:rsid w:val="10566571"/>
    <w:rsid w:val="10591DD9"/>
    <w:rsid w:val="10684DF0"/>
    <w:rsid w:val="10741C20"/>
    <w:rsid w:val="1079042A"/>
    <w:rsid w:val="108160EB"/>
    <w:rsid w:val="10853E2D"/>
    <w:rsid w:val="1089527A"/>
    <w:rsid w:val="10942C71"/>
    <w:rsid w:val="10B40E73"/>
    <w:rsid w:val="10B820FF"/>
    <w:rsid w:val="10BE3C5E"/>
    <w:rsid w:val="10D04C6D"/>
    <w:rsid w:val="10E16B8A"/>
    <w:rsid w:val="10E331A4"/>
    <w:rsid w:val="10EA5DD8"/>
    <w:rsid w:val="10F455D7"/>
    <w:rsid w:val="10F86A5D"/>
    <w:rsid w:val="110C00AB"/>
    <w:rsid w:val="110E3E23"/>
    <w:rsid w:val="111404C0"/>
    <w:rsid w:val="111C6064"/>
    <w:rsid w:val="111D346A"/>
    <w:rsid w:val="111D640E"/>
    <w:rsid w:val="111F6419"/>
    <w:rsid w:val="11253CB3"/>
    <w:rsid w:val="112B7D97"/>
    <w:rsid w:val="112C6B76"/>
    <w:rsid w:val="11324A65"/>
    <w:rsid w:val="113269F5"/>
    <w:rsid w:val="11360C84"/>
    <w:rsid w:val="11387DA5"/>
    <w:rsid w:val="113D5A78"/>
    <w:rsid w:val="113E78EF"/>
    <w:rsid w:val="115261F5"/>
    <w:rsid w:val="11555F29"/>
    <w:rsid w:val="11686D35"/>
    <w:rsid w:val="11691059"/>
    <w:rsid w:val="117146F4"/>
    <w:rsid w:val="117479FE"/>
    <w:rsid w:val="11801C29"/>
    <w:rsid w:val="11805248"/>
    <w:rsid w:val="118967CD"/>
    <w:rsid w:val="118B777D"/>
    <w:rsid w:val="118E551D"/>
    <w:rsid w:val="118F5A1F"/>
    <w:rsid w:val="11985F48"/>
    <w:rsid w:val="119D2C66"/>
    <w:rsid w:val="119F4B7A"/>
    <w:rsid w:val="11A97E2F"/>
    <w:rsid w:val="11AD3A48"/>
    <w:rsid w:val="11B00732"/>
    <w:rsid w:val="11B234AC"/>
    <w:rsid w:val="11CD4068"/>
    <w:rsid w:val="11D34725"/>
    <w:rsid w:val="11D349A1"/>
    <w:rsid w:val="11E24A0B"/>
    <w:rsid w:val="11E44B84"/>
    <w:rsid w:val="11E9219A"/>
    <w:rsid w:val="11EC08CF"/>
    <w:rsid w:val="11ED1FB0"/>
    <w:rsid w:val="11F06E4A"/>
    <w:rsid w:val="11F31F18"/>
    <w:rsid w:val="12002E64"/>
    <w:rsid w:val="12044A56"/>
    <w:rsid w:val="120945EA"/>
    <w:rsid w:val="120E321B"/>
    <w:rsid w:val="121A1843"/>
    <w:rsid w:val="12203A6B"/>
    <w:rsid w:val="12216839"/>
    <w:rsid w:val="122E17FD"/>
    <w:rsid w:val="124060E5"/>
    <w:rsid w:val="12455763"/>
    <w:rsid w:val="124C38F6"/>
    <w:rsid w:val="124F7981"/>
    <w:rsid w:val="125910CE"/>
    <w:rsid w:val="12627DB4"/>
    <w:rsid w:val="12685D88"/>
    <w:rsid w:val="12701C99"/>
    <w:rsid w:val="12726802"/>
    <w:rsid w:val="127759F8"/>
    <w:rsid w:val="12781E5A"/>
    <w:rsid w:val="127B4131"/>
    <w:rsid w:val="127E19FB"/>
    <w:rsid w:val="128165A8"/>
    <w:rsid w:val="128E0BAC"/>
    <w:rsid w:val="129A3460"/>
    <w:rsid w:val="12A76C3F"/>
    <w:rsid w:val="12B124F6"/>
    <w:rsid w:val="12B72582"/>
    <w:rsid w:val="12C06DF5"/>
    <w:rsid w:val="12C0739F"/>
    <w:rsid w:val="12D1643C"/>
    <w:rsid w:val="12D50807"/>
    <w:rsid w:val="12D617F6"/>
    <w:rsid w:val="12E102FB"/>
    <w:rsid w:val="12E26D06"/>
    <w:rsid w:val="12E52944"/>
    <w:rsid w:val="12ED5CBA"/>
    <w:rsid w:val="1305164B"/>
    <w:rsid w:val="130A686C"/>
    <w:rsid w:val="130B6793"/>
    <w:rsid w:val="1312127D"/>
    <w:rsid w:val="131468D0"/>
    <w:rsid w:val="13170530"/>
    <w:rsid w:val="13271347"/>
    <w:rsid w:val="13305F17"/>
    <w:rsid w:val="13434757"/>
    <w:rsid w:val="134E2C87"/>
    <w:rsid w:val="13505B23"/>
    <w:rsid w:val="13532AA6"/>
    <w:rsid w:val="1356560D"/>
    <w:rsid w:val="1360648C"/>
    <w:rsid w:val="13622204"/>
    <w:rsid w:val="13631AD8"/>
    <w:rsid w:val="13725F51"/>
    <w:rsid w:val="137E4E99"/>
    <w:rsid w:val="13847DDB"/>
    <w:rsid w:val="138E15DA"/>
    <w:rsid w:val="13936861"/>
    <w:rsid w:val="13962C4C"/>
    <w:rsid w:val="139F22A2"/>
    <w:rsid w:val="13A134DB"/>
    <w:rsid w:val="13A740BB"/>
    <w:rsid w:val="13BB7933"/>
    <w:rsid w:val="13C2777C"/>
    <w:rsid w:val="13D769FD"/>
    <w:rsid w:val="13D964F2"/>
    <w:rsid w:val="13EC47F1"/>
    <w:rsid w:val="13F723F0"/>
    <w:rsid w:val="140673BA"/>
    <w:rsid w:val="14106E54"/>
    <w:rsid w:val="14153FA6"/>
    <w:rsid w:val="141A0400"/>
    <w:rsid w:val="141A2ADF"/>
    <w:rsid w:val="14236387"/>
    <w:rsid w:val="14241ECB"/>
    <w:rsid w:val="14293EAC"/>
    <w:rsid w:val="142F7A55"/>
    <w:rsid w:val="143C0CA7"/>
    <w:rsid w:val="143F0CC5"/>
    <w:rsid w:val="14445B5A"/>
    <w:rsid w:val="14466611"/>
    <w:rsid w:val="1448319F"/>
    <w:rsid w:val="14531E14"/>
    <w:rsid w:val="145610EF"/>
    <w:rsid w:val="146A6CCD"/>
    <w:rsid w:val="147541B9"/>
    <w:rsid w:val="14807236"/>
    <w:rsid w:val="14860BF1"/>
    <w:rsid w:val="1492012F"/>
    <w:rsid w:val="1494463F"/>
    <w:rsid w:val="149F5023"/>
    <w:rsid w:val="14B30BA6"/>
    <w:rsid w:val="14B922F8"/>
    <w:rsid w:val="14BC3B96"/>
    <w:rsid w:val="14C60A4A"/>
    <w:rsid w:val="14CD2FEA"/>
    <w:rsid w:val="14D313B6"/>
    <w:rsid w:val="14DC7502"/>
    <w:rsid w:val="14DE5FF8"/>
    <w:rsid w:val="14F9476E"/>
    <w:rsid w:val="14FB710F"/>
    <w:rsid w:val="15022041"/>
    <w:rsid w:val="150A524C"/>
    <w:rsid w:val="151B44ED"/>
    <w:rsid w:val="15253651"/>
    <w:rsid w:val="152615C5"/>
    <w:rsid w:val="15451DDD"/>
    <w:rsid w:val="156E65DC"/>
    <w:rsid w:val="15803F78"/>
    <w:rsid w:val="1585483B"/>
    <w:rsid w:val="15956E96"/>
    <w:rsid w:val="15AA3754"/>
    <w:rsid w:val="15AD48BA"/>
    <w:rsid w:val="15B23D16"/>
    <w:rsid w:val="15BD2B77"/>
    <w:rsid w:val="15BE7309"/>
    <w:rsid w:val="15C076B6"/>
    <w:rsid w:val="15DF4B06"/>
    <w:rsid w:val="15E038B4"/>
    <w:rsid w:val="15E06D28"/>
    <w:rsid w:val="15EF3AF7"/>
    <w:rsid w:val="15F134B4"/>
    <w:rsid w:val="15F302A4"/>
    <w:rsid w:val="15F40D82"/>
    <w:rsid w:val="15FD7FC2"/>
    <w:rsid w:val="160B6BC8"/>
    <w:rsid w:val="16194F9C"/>
    <w:rsid w:val="162467A6"/>
    <w:rsid w:val="16341660"/>
    <w:rsid w:val="1639735A"/>
    <w:rsid w:val="163A3672"/>
    <w:rsid w:val="163E26E1"/>
    <w:rsid w:val="164140CD"/>
    <w:rsid w:val="16423A66"/>
    <w:rsid w:val="164875AB"/>
    <w:rsid w:val="165878EE"/>
    <w:rsid w:val="165A172B"/>
    <w:rsid w:val="16641041"/>
    <w:rsid w:val="166A5159"/>
    <w:rsid w:val="166F4544"/>
    <w:rsid w:val="16772C63"/>
    <w:rsid w:val="167C3303"/>
    <w:rsid w:val="1685332C"/>
    <w:rsid w:val="168924CC"/>
    <w:rsid w:val="168B1A72"/>
    <w:rsid w:val="168F22B6"/>
    <w:rsid w:val="16900D3D"/>
    <w:rsid w:val="169721C5"/>
    <w:rsid w:val="16984F9A"/>
    <w:rsid w:val="169C1F32"/>
    <w:rsid w:val="16A02C52"/>
    <w:rsid w:val="16A049CE"/>
    <w:rsid w:val="16A719A1"/>
    <w:rsid w:val="16A855A8"/>
    <w:rsid w:val="16B017D6"/>
    <w:rsid w:val="16B20605"/>
    <w:rsid w:val="16C25AF3"/>
    <w:rsid w:val="16D922DD"/>
    <w:rsid w:val="16DE6045"/>
    <w:rsid w:val="16DE7DF3"/>
    <w:rsid w:val="16EA1297"/>
    <w:rsid w:val="16F5378B"/>
    <w:rsid w:val="16FA0110"/>
    <w:rsid w:val="17114775"/>
    <w:rsid w:val="171216C2"/>
    <w:rsid w:val="171406F0"/>
    <w:rsid w:val="17145FBE"/>
    <w:rsid w:val="17176B6E"/>
    <w:rsid w:val="17273268"/>
    <w:rsid w:val="173A1659"/>
    <w:rsid w:val="17454D35"/>
    <w:rsid w:val="174C0CF4"/>
    <w:rsid w:val="174D3C98"/>
    <w:rsid w:val="17542935"/>
    <w:rsid w:val="175B1280"/>
    <w:rsid w:val="175D1300"/>
    <w:rsid w:val="17603474"/>
    <w:rsid w:val="17650515"/>
    <w:rsid w:val="17674AF4"/>
    <w:rsid w:val="17680FD5"/>
    <w:rsid w:val="17683267"/>
    <w:rsid w:val="177A4B2D"/>
    <w:rsid w:val="17840CC6"/>
    <w:rsid w:val="178906E7"/>
    <w:rsid w:val="178D23B1"/>
    <w:rsid w:val="179606CE"/>
    <w:rsid w:val="179B5CE4"/>
    <w:rsid w:val="17A06638"/>
    <w:rsid w:val="17AD5A18"/>
    <w:rsid w:val="17B32985"/>
    <w:rsid w:val="17B40B54"/>
    <w:rsid w:val="17C229F5"/>
    <w:rsid w:val="17CE7E68"/>
    <w:rsid w:val="17DD0CAF"/>
    <w:rsid w:val="17DE4B44"/>
    <w:rsid w:val="17DF28E3"/>
    <w:rsid w:val="17E1428E"/>
    <w:rsid w:val="18054537"/>
    <w:rsid w:val="180878DD"/>
    <w:rsid w:val="180A465E"/>
    <w:rsid w:val="1811062D"/>
    <w:rsid w:val="18194E5B"/>
    <w:rsid w:val="18253800"/>
    <w:rsid w:val="182C16F0"/>
    <w:rsid w:val="182E74E0"/>
    <w:rsid w:val="183028D1"/>
    <w:rsid w:val="18320B36"/>
    <w:rsid w:val="183646A6"/>
    <w:rsid w:val="183C2AD7"/>
    <w:rsid w:val="1844012A"/>
    <w:rsid w:val="18463EA2"/>
    <w:rsid w:val="186832E9"/>
    <w:rsid w:val="186E3CEC"/>
    <w:rsid w:val="18807594"/>
    <w:rsid w:val="188624F1"/>
    <w:rsid w:val="189044E3"/>
    <w:rsid w:val="189C1D14"/>
    <w:rsid w:val="189E4F59"/>
    <w:rsid w:val="18AC5CCF"/>
    <w:rsid w:val="18B237C2"/>
    <w:rsid w:val="18B76B4E"/>
    <w:rsid w:val="18BD0695"/>
    <w:rsid w:val="18BD1C8B"/>
    <w:rsid w:val="18CC07ED"/>
    <w:rsid w:val="18CF2C0D"/>
    <w:rsid w:val="18D140CC"/>
    <w:rsid w:val="18D355B6"/>
    <w:rsid w:val="18DA7BBF"/>
    <w:rsid w:val="18DB3DA5"/>
    <w:rsid w:val="18DF60A5"/>
    <w:rsid w:val="18DF706A"/>
    <w:rsid w:val="18E831AB"/>
    <w:rsid w:val="18ED6D16"/>
    <w:rsid w:val="18FF04F5"/>
    <w:rsid w:val="19031D93"/>
    <w:rsid w:val="19066A98"/>
    <w:rsid w:val="190908C1"/>
    <w:rsid w:val="190E04EF"/>
    <w:rsid w:val="19132238"/>
    <w:rsid w:val="19137AFC"/>
    <w:rsid w:val="1917337E"/>
    <w:rsid w:val="1926420A"/>
    <w:rsid w:val="19286533"/>
    <w:rsid w:val="193E726F"/>
    <w:rsid w:val="194523AC"/>
    <w:rsid w:val="194D300E"/>
    <w:rsid w:val="196731FE"/>
    <w:rsid w:val="196A3559"/>
    <w:rsid w:val="196E0D36"/>
    <w:rsid w:val="19722A75"/>
    <w:rsid w:val="197533B0"/>
    <w:rsid w:val="1986762D"/>
    <w:rsid w:val="198A4263"/>
    <w:rsid w:val="19AC0CB4"/>
    <w:rsid w:val="19C415F0"/>
    <w:rsid w:val="19CB719B"/>
    <w:rsid w:val="19EB0B94"/>
    <w:rsid w:val="19F44957"/>
    <w:rsid w:val="19F619C4"/>
    <w:rsid w:val="19FB6BA4"/>
    <w:rsid w:val="19FF1DFC"/>
    <w:rsid w:val="1A04281F"/>
    <w:rsid w:val="1A07140F"/>
    <w:rsid w:val="1A0A07EC"/>
    <w:rsid w:val="1A0A0EFF"/>
    <w:rsid w:val="1A160C7F"/>
    <w:rsid w:val="1A191039"/>
    <w:rsid w:val="1A2D5F8A"/>
    <w:rsid w:val="1A2F05AE"/>
    <w:rsid w:val="1A424B3D"/>
    <w:rsid w:val="1A425946"/>
    <w:rsid w:val="1A4D46CF"/>
    <w:rsid w:val="1A500C68"/>
    <w:rsid w:val="1A7F0B67"/>
    <w:rsid w:val="1A805517"/>
    <w:rsid w:val="1A864A2A"/>
    <w:rsid w:val="1A870F41"/>
    <w:rsid w:val="1A880677"/>
    <w:rsid w:val="1A882CBF"/>
    <w:rsid w:val="1A8B479F"/>
    <w:rsid w:val="1A8B64E4"/>
    <w:rsid w:val="1A8C2EF7"/>
    <w:rsid w:val="1A910448"/>
    <w:rsid w:val="1AA673E8"/>
    <w:rsid w:val="1AA82C77"/>
    <w:rsid w:val="1AAD3062"/>
    <w:rsid w:val="1AC3244C"/>
    <w:rsid w:val="1AC6751C"/>
    <w:rsid w:val="1ACB4397"/>
    <w:rsid w:val="1ACC4407"/>
    <w:rsid w:val="1ACD5697"/>
    <w:rsid w:val="1AD05CA5"/>
    <w:rsid w:val="1AF0654A"/>
    <w:rsid w:val="1AF52A1D"/>
    <w:rsid w:val="1AF83635"/>
    <w:rsid w:val="1B0172A6"/>
    <w:rsid w:val="1B065B6B"/>
    <w:rsid w:val="1B0C513B"/>
    <w:rsid w:val="1B0F1676"/>
    <w:rsid w:val="1B216501"/>
    <w:rsid w:val="1B2B43F8"/>
    <w:rsid w:val="1B2D759B"/>
    <w:rsid w:val="1B312C71"/>
    <w:rsid w:val="1B334B36"/>
    <w:rsid w:val="1B3A5EB0"/>
    <w:rsid w:val="1B3F107D"/>
    <w:rsid w:val="1B475384"/>
    <w:rsid w:val="1B476371"/>
    <w:rsid w:val="1B482CE8"/>
    <w:rsid w:val="1B617CEB"/>
    <w:rsid w:val="1B6603B7"/>
    <w:rsid w:val="1B6E3901"/>
    <w:rsid w:val="1B775278"/>
    <w:rsid w:val="1B794807"/>
    <w:rsid w:val="1B7E2ED7"/>
    <w:rsid w:val="1B824B84"/>
    <w:rsid w:val="1B8A578C"/>
    <w:rsid w:val="1B8C18D1"/>
    <w:rsid w:val="1B8D0E39"/>
    <w:rsid w:val="1B961F17"/>
    <w:rsid w:val="1B966EEF"/>
    <w:rsid w:val="1B9B58F7"/>
    <w:rsid w:val="1B9C027D"/>
    <w:rsid w:val="1BA9237F"/>
    <w:rsid w:val="1BAA0BEC"/>
    <w:rsid w:val="1BAD5629"/>
    <w:rsid w:val="1BB123CC"/>
    <w:rsid w:val="1BB81129"/>
    <w:rsid w:val="1BC04B8A"/>
    <w:rsid w:val="1BC93938"/>
    <w:rsid w:val="1BCC51D5"/>
    <w:rsid w:val="1BCF489B"/>
    <w:rsid w:val="1BE37C5A"/>
    <w:rsid w:val="1BEC4D61"/>
    <w:rsid w:val="1BFE6DCA"/>
    <w:rsid w:val="1C035F1C"/>
    <w:rsid w:val="1C097C83"/>
    <w:rsid w:val="1C114CB5"/>
    <w:rsid w:val="1C2671C0"/>
    <w:rsid w:val="1C2824F0"/>
    <w:rsid w:val="1C2C41AB"/>
    <w:rsid w:val="1C365FDC"/>
    <w:rsid w:val="1C3A1F70"/>
    <w:rsid w:val="1C3B19B0"/>
    <w:rsid w:val="1C405EB7"/>
    <w:rsid w:val="1C4131EE"/>
    <w:rsid w:val="1C5172BA"/>
    <w:rsid w:val="1C5576C0"/>
    <w:rsid w:val="1C5648D0"/>
    <w:rsid w:val="1C5C23DC"/>
    <w:rsid w:val="1C6B3C57"/>
    <w:rsid w:val="1C6C5D03"/>
    <w:rsid w:val="1C731E9C"/>
    <w:rsid w:val="1C78309C"/>
    <w:rsid w:val="1C7D1864"/>
    <w:rsid w:val="1C844BE4"/>
    <w:rsid w:val="1C8B021D"/>
    <w:rsid w:val="1C8D1F24"/>
    <w:rsid w:val="1C915908"/>
    <w:rsid w:val="1C976791"/>
    <w:rsid w:val="1CB6711D"/>
    <w:rsid w:val="1CD1424B"/>
    <w:rsid w:val="1CE43C8A"/>
    <w:rsid w:val="1CEE4B08"/>
    <w:rsid w:val="1D067909"/>
    <w:rsid w:val="1D0D3C24"/>
    <w:rsid w:val="1D12394F"/>
    <w:rsid w:val="1D13456F"/>
    <w:rsid w:val="1D1A26DE"/>
    <w:rsid w:val="1D213429"/>
    <w:rsid w:val="1D22280C"/>
    <w:rsid w:val="1D3F6039"/>
    <w:rsid w:val="1D415753"/>
    <w:rsid w:val="1D4974D3"/>
    <w:rsid w:val="1D4B3B66"/>
    <w:rsid w:val="1D4B5AB7"/>
    <w:rsid w:val="1D4D766D"/>
    <w:rsid w:val="1D61169F"/>
    <w:rsid w:val="1D613BF2"/>
    <w:rsid w:val="1D65542D"/>
    <w:rsid w:val="1D6C193E"/>
    <w:rsid w:val="1D715F48"/>
    <w:rsid w:val="1D7576F8"/>
    <w:rsid w:val="1D77006C"/>
    <w:rsid w:val="1D7C2913"/>
    <w:rsid w:val="1D7D2006"/>
    <w:rsid w:val="1D807E56"/>
    <w:rsid w:val="1D8567E8"/>
    <w:rsid w:val="1D9054ED"/>
    <w:rsid w:val="1DAE643B"/>
    <w:rsid w:val="1DBC6DC0"/>
    <w:rsid w:val="1DC77DB8"/>
    <w:rsid w:val="1DCB6F16"/>
    <w:rsid w:val="1DCF4F7C"/>
    <w:rsid w:val="1DE226F6"/>
    <w:rsid w:val="1DEA700A"/>
    <w:rsid w:val="1E186043"/>
    <w:rsid w:val="1E256484"/>
    <w:rsid w:val="1E2D1660"/>
    <w:rsid w:val="1E3E7C63"/>
    <w:rsid w:val="1E3F4E8F"/>
    <w:rsid w:val="1E561D43"/>
    <w:rsid w:val="1E566DE7"/>
    <w:rsid w:val="1E5720FA"/>
    <w:rsid w:val="1E5D6418"/>
    <w:rsid w:val="1E665153"/>
    <w:rsid w:val="1E6A01BF"/>
    <w:rsid w:val="1E6F6C6F"/>
    <w:rsid w:val="1E723DE7"/>
    <w:rsid w:val="1E7551FA"/>
    <w:rsid w:val="1E7D7EF2"/>
    <w:rsid w:val="1E904427"/>
    <w:rsid w:val="1E95247F"/>
    <w:rsid w:val="1E957B9B"/>
    <w:rsid w:val="1E9A3C9A"/>
    <w:rsid w:val="1E9E326E"/>
    <w:rsid w:val="1EA0669C"/>
    <w:rsid w:val="1EA86BEC"/>
    <w:rsid w:val="1EAB5D97"/>
    <w:rsid w:val="1EB23FBF"/>
    <w:rsid w:val="1EBF2F74"/>
    <w:rsid w:val="1EC65D3D"/>
    <w:rsid w:val="1ED773CC"/>
    <w:rsid w:val="1EDA38E2"/>
    <w:rsid w:val="1EE241F9"/>
    <w:rsid w:val="1EF86D5A"/>
    <w:rsid w:val="1EFB2ABF"/>
    <w:rsid w:val="1EFB3574"/>
    <w:rsid w:val="1F007BE8"/>
    <w:rsid w:val="1F007CD7"/>
    <w:rsid w:val="1F0A7BCF"/>
    <w:rsid w:val="1F100C6C"/>
    <w:rsid w:val="1F153A66"/>
    <w:rsid w:val="1F266CAE"/>
    <w:rsid w:val="1F2A0CBA"/>
    <w:rsid w:val="1F316BE2"/>
    <w:rsid w:val="1F394904"/>
    <w:rsid w:val="1F456B69"/>
    <w:rsid w:val="1F482C0B"/>
    <w:rsid w:val="1F4849A4"/>
    <w:rsid w:val="1F4E7D00"/>
    <w:rsid w:val="1F52751E"/>
    <w:rsid w:val="1F535ADE"/>
    <w:rsid w:val="1F562179"/>
    <w:rsid w:val="1F562DED"/>
    <w:rsid w:val="1F6E7454"/>
    <w:rsid w:val="1F792DAF"/>
    <w:rsid w:val="1F7D11F8"/>
    <w:rsid w:val="1F8238FE"/>
    <w:rsid w:val="1F8A423A"/>
    <w:rsid w:val="1F8B3A8E"/>
    <w:rsid w:val="1F8D78A9"/>
    <w:rsid w:val="1F945CC7"/>
    <w:rsid w:val="1F9951FF"/>
    <w:rsid w:val="1FA944FF"/>
    <w:rsid w:val="1FA95EE3"/>
    <w:rsid w:val="1FB0486E"/>
    <w:rsid w:val="1FB71975"/>
    <w:rsid w:val="1FC63153"/>
    <w:rsid w:val="1FC658C9"/>
    <w:rsid w:val="1FC87893"/>
    <w:rsid w:val="1FD06747"/>
    <w:rsid w:val="1FD25E3B"/>
    <w:rsid w:val="1FE03764"/>
    <w:rsid w:val="1FE43FA1"/>
    <w:rsid w:val="1FE52A13"/>
    <w:rsid w:val="1FE54F21"/>
    <w:rsid w:val="20177F72"/>
    <w:rsid w:val="201A79C2"/>
    <w:rsid w:val="201D1CF8"/>
    <w:rsid w:val="20333541"/>
    <w:rsid w:val="204F1C56"/>
    <w:rsid w:val="205729C5"/>
    <w:rsid w:val="205F691E"/>
    <w:rsid w:val="207E61A3"/>
    <w:rsid w:val="20814087"/>
    <w:rsid w:val="209B4FA7"/>
    <w:rsid w:val="20A14893"/>
    <w:rsid w:val="20A47A9B"/>
    <w:rsid w:val="20BB2D02"/>
    <w:rsid w:val="20BF576E"/>
    <w:rsid w:val="20C242E2"/>
    <w:rsid w:val="20D07379"/>
    <w:rsid w:val="20D55305"/>
    <w:rsid w:val="20F052F3"/>
    <w:rsid w:val="20F326ED"/>
    <w:rsid w:val="20FD2D5C"/>
    <w:rsid w:val="20FD67AE"/>
    <w:rsid w:val="210418CD"/>
    <w:rsid w:val="210C7C53"/>
    <w:rsid w:val="21150620"/>
    <w:rsid w:val="212D2643"/>
    <w:rsid w:val="213415A6"/>
    <w:rsid w:val="2135743B"/>
    <w:rsid w:val="21366A7E"/>
    <w:rsid w:val="21403B32"/>
    <w:rsid w:val="21493F9F"/>
    <w:rsid w:val="214B4798"/>
    <w:rsid w:val="215015BB"/>
    <w:rsid w:val="215A7818"/>
    <w:rsid w:val="215C4736"/>
    <w:rsid w:val="215D04AF"/>
    <w:rsid w:val="21751354"/>
    <w:rsid w:val="217557F8"/>
    <w:rsid w:val="21771570"/>
    <w:rsid w:val="217A5359"/>
    <w:rsid w:val="217F00AA"/>
    <w:rsid w:val="2180399D"/>
    <w:rsid w:val="21843C8D"/>
    <w:rsid w:val="218A53D8"/>
    <w:rsid w:val="2193708F"/>
    <w:rsid w:val="21963C10"/>
    <w:rsid w:val="219C2D85"/>
    <w:rsid w:val="21AE669D"/>
    <w:rsid w:val="21B17B52"/>
    <w:rsid w:val="21B405C0"/>
    <w:rsid w:val="21BC51D5"/>
    <w:rsid w:val="21C3099A"/>
    <w:rsid w:val="21CB5E66"/>
    <w:rsid w:val="21D2351E"/>
    <w:rsid w:val="21D25147"/>
    <w:rsid w:val="21D70C81"/>
    <w:rsid w:val="21D82128"/>
    <w:rsid w:val="21DA565B"/>
    <w:rsid w:val="21EE553E"/>
    <w:rsid w:val="21FE134A"/>
    <w:rsid w:val="220152DE"/>
    <w:rsid w:val="220262B2"/>
    <w:rsid w:val="22033462"/>
    <w:rsid w:val="220745CE"/>
    <w:rsid w:val="22222E58"/>
    <w:rsid w:val="22301A74"/>
    <w:rsid w:val="223053CE"/>
    <w:rsid w:val="2237485C"/>
    <w:rsid w:val="223954A3"/>
    <w:rsid w:val="224A6D33"/>
    <w:rsid w:val="226966E0"/>
    <w:rsid w:val="226B58C3"/>
    <w:rsid w:val="226E050F"/>
    <w:rsid w:val="2271332C"/>
    <w:rsid w:val="2273547A"/>
    <w:rsid w:val="22806203"/>
    <w:rsid w:val="22893EED"/>
    <w:rsid w:val="228D7546"/>
    <w:rsid w:val="229536BA"/>
    <w:rsid w:val="229C4C96"/>
    <w:rsid w:val="22A27BFA"/>
    <w:rsid w:val="22A87B1E"/>
    <w:rsid w:val="22B95BC6"/>
    <w:rsid w:val="22BB36DF"/>
    <w:rsid w:val="22BC6C25"/>
    <w:rsid w:val="22BF31CF"/>
    <w:rsid w:val="22C1222E"/>
    <w:rsid w:val="22C5630B"/>
    <w:rsid w:val="22CA6C03"/>
    <w:rsid w:val="22CE1550"/>
    <w:rsid w:val="22D3703C"/>
    <w:rsid w:val="22E348AC"/>
    <w:rsid w:val="22EE4940"/>
    <w:rsid w:val="22F62311"/>
    <w:rsid w:val="22F71A98"/>
    <w:rsid w:val="22F759C7"/>
    <w:rsid w:val="22F95FB5"/>
    <w:rsid w:val="23032221"/>
    <w:rsid w:val="23054F76"/>
    <w:rsid w:val="231D6147"/>
    <w:rsid w:val="231F2DDC"/>
    <w:rsid w:val="23213690"/>
    <w:rsid w:val="2324381F"/>
    <w:rsid w:val="2329689A"/>
    <w:rsid w:val="232E155F"/>
    <w:rsid w:val="23335DBA"/>
    <w:rsid w:val="23366449"/>
    <w:rsid w:val="233953DA"/>
    <w:rsid w:val="233F5CD4"/>
    <w:rsid w:val="234372D9"/>
    <w:rsid w:val="23543F51"/>
    <w:rsid w:val="235651B5"/>
    <w:rsid w:val="235D6544"/>
    <w:rsid w:val="23652860"/>
    <w:rsid w:val="236D54AB"/>
    <w:rsid w:val="23743E6C"/>
    <w:rsid w:val="2387457D"/>
    <w:rsid w:val="23902475"/>
    <w:rsid w:val="239650EA"/>
    <w:rsid w:val="239A4DC9"/>
    <w:rsid w:val="23A203FB"/>
    <w:rsid w:val="23AF12E5"/>
    <w:rsid w:val="23B06CEC"/>
    <w:rsid w:val="23B32608"/>
    <w:rsid w:val="23BC238C"/>
    <w:rsid w:val="23C06BC8"/>
    <w:rsid w:val="23D305B4"/>
    <w:rsid w:val="23D73155"/>
    <w:rsid w:val="23D73E2E"/>
    <w:rsid w:val="23D87AEE"/>
    <w:rsid w:val="2410403A"/>
    <w:rsid w:val="242E1C65"/>
    <w:rsid w:val="243C25FD"/>
    <w:rsid w:val="243D155F"/>
    <w:rsid w:val="24417C14"/>
    <w:rsid w:val="244D4AB4"/>
    <w:rsid w:val="244F0FA5"/>
    <w:rsid w:val="244F38E6"/>
    <w:rsid w:val="245F4123"/>
    <w:rsid w:val="24623F72"/>
    <w:rsid w:val="24643CC1"/>
    <w:rsid w:val="246D5CE8"/>
    <w:rsid w:val="247D1081"/>
    <w:rsid w:val="247E6677"/>
    <w:rsid w:val="24960765"/>
    <w:rsid w:val="24974622"/>
    <w:rsid w:val="24997A50"/>
    <w:rsid w:val="249A490D"/>
    <w:rsid w:val="249B0912"/>
    <w:rsid w:val="24A44DC7"/>
    <w:rsid w:val="24B71045"/>
    <w:rsid w:val="24B95AA1"/>
    <w:rsid w:val="24CE34DB"/>
    <w:rsid w:val="24D57369"/>
    <w:rsid w:val="24D86479"/>
    <w:rsid w:val="24E15732"/>
    <w:rsid w:val="24E21555"/>
    <w:rsid w:val="24F61D27"/>
    <w:rsid w:val="250508C1"/>
    <w:rsid w:val="250A44A9"/>
    <w:rsid w:val="251610A0"/>
    <w:rsid w:val="25162E4E"/>
    <w:rsid w:val="251C3FE7"/>
    <w:rsid w:val="252512E3"/>
    <w:rsid w:val="252611F9"/>
    <w:rsid w:val="253D12AE"/>
    <w:rsid w:val="254C6870"/>
    <w:rsid w:val="254D3633"/>
    <w:rsid w:val="25537BFE"/>
    <w:rsid w:val="255676EF"/>
    <w:rsid w:val="25667BB5"/>
    <w:rsid w:val="256F5F47"/>
    <w:rsid w:val="25715DF1"/>
    <w:rsid w:val="257A6D5A"/>
    <w:rsid w:val="2592016E"/>
    <w:rsid w:val="259501CB"/>
    <w:rsid w:val="259C15A5"/>
    <w:rsid w:val="25A15EA7"/>
    <w:rsid w:val="25A67C2D"/>
    <w:rsid w:val="25A85C9B"/>
    <w:rsid w:val="25AC1DCB"/>
    <w:rsid w:val="25B14B22"/>
    <w:rsid w:val="25B368EF"/>
    <w:rsid w:val="25B71E5D"/>
    <w:rsid w:val="25C353FE"/>
    <w:rsid w:val="25D972DF"/>
    <w:rsid w:val="25DD1CEE"/>
    <w:rsid w:val="25E05341"/>
    <w:rsid w:val="25E371D4"/>
    <w:rsid w:val="25EA6392"/>
    <w:rsid w:val="25ED72EF"/>
    <w:rsid w:val="25EF10FF"/>
    <w:rsid w:val="25F130DB"/>
    <w:rsid w:val="25F1557F"/>
    <w:rsid w:val="25F34F3E"/>
    <w:rsid w:val="2601765A"/>
    <w:rsid w:val="260333D3"/>
    <w:rsid w:val="260A402D"/>
    <w:rsid w:val="260D0FF5"/>
    <w:rsid w:val="261B552D"/>
    <w:rsid w:val="261C52CE"/>
    <w:rsid w:val="261F3F85"/>
    <w:rsid w:val="26272FA3"/>
    <w:rsid w:val="263076F8"/>
    <w:rsid w:val="263E0B11"/>
    <w:rsid w:val="26414073"/>
    <w:rsid w:val="265A0585"/>
    <w:rsid w:val="265B4950"/>
    <w:rsid w:val="265F25D3"/>
    <w:rsid w:val="26630315"/>
    <w:rsid w:val="266448A2"/>
    <w:rsid w:val="2675732D"/>
    <w:rsid w:val="26776B24"/>
    <w:rsid w:val="26784290"/>
    <w:rsid w:val="267B6300"/>
    <w:rsid w:val="26844DDC"/>
    <w:rsid w:val="26883462"/>
    <w:rsid w:val="268A68C8"/>
    <w:rsid w:val="26904637"/>
    <w:rsid w:val="269645A2"/>
    <w:rsid w:val="26993D37"/>
    <w:rsid w:val="26A56376"/>
    <w:rsid w:val="26A737FD"/>
    <w:rsid w:val="26C02240"/>
    <w:rsid w:val="26C3275A"/>
    <w:rsid w:val="26D63EF3"/>
    <w:rsid w:val="26D7485F"/>
    <w:rsid w:val="26DC3C24"/>
    <w:rsid w:val="26E90319"/>
    <w:rsid w:val="26EF4209"/>
    <w:rsid w:val="26F34D08"/>
    <w:rsid w:val="26F954F8"/>
    <w:rsid w:val="26FA4D5F"/>
    <w:rsid w:val="26FA620A"/>
    <w:rsid w:val="27035654"/>
    <w:rsid w:val="27223D2C"/>
    <w:rsid w:val="2728508B"/>
    <w:rsid w:val="27296055"/>
    <w:rsid w:val="272C4F22"/>
    <w:rsid w:val="272F01F7"/>
    <w:rsid w:val="27306E35"/>
    <w:rsid w:val="273C7537"/>
    <w:rsid w:val="273F4299"/>
    <w:rsid w:val="2754511E"/>
    <w:rsid w:val="275D0614"/>
    <w:rsid w:val="276A7481"/>
    <w:rsid w:val="276C0047"/>
    <w:rsid w:val="277420AE"/>
    <w:rsid w:val="27764078"/>
    <w:rsid w:val="27800093"/>
    <w:rsid w:val="278233F2"/>
    <w:rsid w:val="27842F65"/>
    <w:rsid w:val="27885D71"/>
    <w:rsid w:val="278D7C5E"/>
    <w:rsid w:val="27960276"/>
    <w:rsid w:val="279A7071"/>
    <w:rsid w:val="27A91A7E"/>
    <w:rsid w:val="27AF5312"/>
    <w:rsid w:val="27B23302"/>
    <w:rsid w:val="27B6216C"/>
    <w:rsid w:val="27BF425E"/>
    <w:rsid w:val="27C16CD4"/>
    <w:rsid w:val="27C42E66"/>
    <w:rsid w:val="27C5374D"/>
    <w:rsid w:val="27D809CE"/>
    <w:rsid w:val="27E2170E"/>
    <w:rsid w:val="27EA37A1"/>
    <w:rsid w:val="27F413FC"/>
    <w:rsid w:val="27F54F9D"/>
    <w:rsid w:val="27FC4C91"/>
    <w:rsid w:val="28165D5E"/>
    <w:rsid w:val="281D1523"/>
    <w:rsid w:val="28201815"/>
    <w:rsid w:val="28220A94"/>
    <w:rsid w:val="28271707"/>
    <w:rsid w:val="282D2989"/>
    <w:rsid w:val="283D0308"/>
    <w:rsid w:val="284C4266"/>
    <w:rsid w:val="28527FFC"/>
    <w:rsid w:val="28577A06"/>
    <w:rsid w:val="2864476D"/>
    <w:rsid w:val="286F5B1F"/>
    <w:rsid w:val="286F760B"/>
    <w:rsid w:val="287560DE"/>
    <w:rsid w:val="2883409E"/>
    <w:rsid w:val="28846321"/>
    <w:rsid w:val="2886653D"/>
    <w:rsid w:val="288A1B89"/>
    <w:rsid w:val="288B20FF"/>
    <w:rsid w:val="288B5901"/>
    <w:rsid w:val="288D78CB"/>
    <w:rsid w:val="28A6098D"/>
    <w:rsid w:val="28B07116"/>
    <w:rsid w:val="28BF4C04"/>
    <w:rsid w:val="28C424EB"/>
    <w:rsid w:val="28CB3E3E"/>
    <w:rsid w:val="28CE7100"/>
    <w:rsid w:val="28D061C1"/>
    <w:rsid w:val="28D451E6"/>
    <w:rsid w:val="28E65763"/>
    <w:rsid w:val="28F03FAC"/>
    <w:rsid w:val="28F05A69"/>
    <w:rsid w:val="28F417F5"/>
    <w:rsid w:val="28F570B4"/>
    <w:rsid w:val="28FB471E"/>
    <w:rsid w:val="28FC67C1"/>
    <w:rsid w:val="29001E4B"/>
    <w:rsid w:val="29040998"/>
    <w:rsid w:val="290C4C94"/>
    <w:rsid w:val="29145734"/>
    <w:rsid w:val="2916426C"/>
    <w:rsid w:val="291D27AD"/>
    <w:rsid w:val="291E3406"/>
    <w:rsid w:val="29212E19"/>
    <w:rsid w:val="293A64E7"/>
    <w:rsid w:val="293B7BDB"/>
    <w:rsid w:val="293E6F39"/>
    <w:rsid w:val="294207DB"/>
    <w:rsid w:val="294D6084"/>
    <w:rsid w:val="29576E8D"/>
    <w:rsid w:val="295B7428"/>
    <w:rsid w:val="296966AA"/>
    <w:rsid w:val="296E5EF3"/>
    <w:rsid w:val="29783BAE"/>
    <w:rsid w:val="297B085A"/>
    <w:rsid w:val="297E476F"/>
    <w:rsid w:val="298A47E4"/>
    <w:rsid w:val="299B65B6"/>
    <w:rsid w:val="29A1688F"/>
    <w:rsid w:val="29A21CFE"/>
    <w:rsid w:val="29A758E8"/>
    <w:rsid w:val="29AC1FD3"/>
    <w:rsid w:val="29B277F5"/>
    <w:rsid w:val="29B35110"/>
    <w:rsid w:val="29B73240"/>
    <w:rsid w:val="29BB215E"/>
    <w:rsid w:val="29BB2216"/>
    <w:rsid w:val="29BB3FC4"/>
    <w:rsid w:val="29D37560"/>
    <w:rsid w:val="29D84B76"/>
    <w:rsid w:val="29DB4666"/>
    <w:rsid w:val="29EB58A7"/>
    <w:rsid w:val="29F051B5"/>
    <w:rsid w:val="29F549DA"/>
    <w:rsid w:val="29FA0633"/>
    <w:rsid w:val="29FA4E49"/>
    <w:rsid w:val="29FB2613"/>
    <w:rsid w:val="29FF2103"/>
    <w:rsid w:val="2A070FB7"/>
    <w:rsid w:val="2A17569E"/>
    <w:rsid w:val="2A1F09F7"/>
    <w:rsid w:val="2A2658E2"/>
    <w:rsid w:val="2A32109D"/>
    <w:rsid w:val="2A486E5F"/>
    <w:rsid w:val="2A4A5D98"/>
    <w:rsid w:val="2A4E308A"/>
    <w:rsid w:val="2A527A1B"/>
    <w:rsid w:val="2A56498C"/>
    <w:rsid w:val="2A582F89"/>
    <w:rsid w:val="2A6031D5"/>
    <w:rsid w:val="2A6308E4"/>
    <w:rsid w:val="2A6576FA"/>
    <w:rsid w:val="2A662182"/>
    <w:rsid w:val="2A667E4A"/>
    <w:rsid w:val="2A6A4652"/>
    <w:rsid w:val="2A6B4C11"/>
    <w:rsid w:val="2A6F23E9"/>
    <w:rsid w:val="2A73489F"/>
    <w:rsid w:val="2A783A41"/>
    <w:rsid w:val="2A7B699E"/>
    <w:rsid w:val="2A8C37E9"/>
    <w:rsid w:val="2A985C2B"/>
    <w:rsid w:val="2A9F0556"/>
    <w:rsid w:val="2A9F5D16"/>
    <w:rsid w:val="2AA07E80"/>
    <w:rsid w:val="2AA50E56"/>
    <w:rsid w:val="2AAA112B"/>
    <w:rsid w:val="2AB4366A"/>
    <w:rsid w:val="2AB729DE"/>
    <w:rsid w:val="2AC61634"/>
    <w:rsid w:val="2ACF5F79"/>
    <w:rsid w:val="2AD3677A"/>
    <w:rsid w:val="2AE07D4A"/>
    <w:rsid w:val="2AEC2629"/>
    <w:rsid w:val="2AF77367"/>
    <w:rsid w:val="2AFC56C7"/>
    <w:rsid w:val="2B027F0D"/>
    <w:rsid w:val="2B0C0BD6"/>
    <w:rsid w:val="2B1478F6"/>
    <w:rsid w:val="2B1A07CC"/>
    <w:rsid w:val="2B2B5948"/>
    <w:rsid w:val="2B3E2195"/>
    <w:rsid w:val="2B3E2C6B"/>
    <w:rsid w:val="2B3E4EAD"/>
    <w:rsid w:val="2B4C38A9"/>
    <w:rsid w:val="2B504281"/>
    <w:rsid w:val="2B514BE0"/>
    <w:rsid w:val="2B541CD3"/>
    <w:rsid w:val="2B5D7C6C"/>
    <w:rsid w:val="2B5F25EA"/>
    <w:rsid w:val="2B637142"/>
    <w:rsid w:val="2B6747D1"/>
    <w:rsid w:val="2B762899"/>
    <w:rsid w:val="2B7733E2"/>
    <w:rsid w:val="2B996587"/>
    <w:rsid w:val="2BA11104"/>
    <w:rsid w:val="2BA2368E"/>
    <w:rsid w:val="2BA3408F"/>
    <w:rsid w:val="2BB563D7"/>
    <w:rsid w:val="2BC1720F"/>
    <w:rsid w:val="2BC4043C"/>
    <w:rsid w:val="2BC42FBB"/>
    <w:rsid w:val="2BCA0105"/>
    <w:rsid w:val="2BD403B5"/>
    <w:rsid w:val="2BE67721"/>
    <w:rsid w:val="2BEA424C"/>
    <w:rsid w:val="2BFA18F5"/>
    <w:rsid w:val="2BFF441F"/>
    <w:rsid w:val="2BFF63EA"/>
    <w:rsid w:val="2C0729D3"/>
    <w:rsid w:val="2C091017"/>
    <w:rsid w:val="2C1266A8"/>
    <w:rsid w:val="2C1E67C9"/>
    <w:rsid w:val="2C210D01"/>
    <w:rsid w:val="2C271DE5"/>
    <w:rsid w:val="2C2F7252"/>
    <w:rsid w:val="2C351E0C"/>
    <w:rsid w:val="2C3D30B6"/>
    <w:rsid w:val="2C446476"/>
    <w:rsid w:val="2C4B162F"/>
    <w:rsid w:val="2C4C45C2"/>
    <w:rsid w:val="2C6D5A4A"/>
    <w:rsid w:val="2C8A7489"/>
    <w:rsid w:val="2CA15B9F"/>
    <w:rsid w:val="2CB27900"/>
    <w:rsid w:val="2CB53AD2"/>
    <w:rsid w:val="2CB71B75"/>
    <w:rsid w:val="2CC17B44"/>
    <w:rsid w:val="2CC91630"/>
    <w:rsid w:val="2CD57A3A"/>
    <w:rsid w:val="2CD86C3B"/>
    <w:rsid w:val="2CE77573"/>
    <w:rsid w:val="2CF96D37"/>
    <w:rsid w:val="2CFF7180"/>
    <w:rsid w:val="2D012636"/>
    <w:rsid w:val="2D081D69"/>
    <w:rsid w:val="2D0B6308"/>
    <w:rsid w:val="2D0F38CC"/>
    <w:rsid w:val="2D103344"/>
    <w:rsid w:val="2D267460"/>
    <w:rsid w:val="2D284A81"/>
    <w:rsid w:val="2D2D5C5B"/>
    <w:rsid w:val="2D32585A"/>
    <w:rsid w:val="2D347839"/>
    <w:rsid w:val="2D3979D9"/>
    <w:rsid w:val="2D486583"/>
    <w:rsid w:val="2D4E5A02"/>
    <w:rsid w:val="2D5737A4"/>
    <w:rsid w:val="2D5E30E6"/>
    <w:rsid w:val="2D621702"/>
    <w:rsid w:val="2D644AD0"/>
    <w:rsid w:val="2D6C3F53"/>
    <w:rsid w:val="2D712A0C"/>
    <w:rsid w:val="2D734B8D"/>
    <w:rsid w:val="2D7D7E24"/>
    <w:rsid w:val="2D8D6D83"/>
    <w:rsid w:val="2D92328E"/>
    <w:rsid w:val="2DA02B9C"/>
    <w:rsid w:val="2DA67CE5"/>
    <w:rsid w:val="2DA87816"/>
    <w:rsid w:val="2DB9081B"/>
    <w:rsid w:val="2DBE5D40"/>
    <w:rsid w:val="2DC67EF6"/>
    <w:rsid w:val="2DC83C90"/>
    <w:rsid w:val="2DD2732D"/>
    <w:rsid w:val="2DE22394"/>
    <w:rsid w:val="2DEC299E"/>
    <w:rsid w:val="2DF0387A"/>
    <w:rsid w:val="2DF06932"/>
    <w:rsid w:val="2DF51997"/>
    <w:rsid w:val="2DFF4549"/>
    <w:rsid w:val="2E000E72"/>
    <w:rsid w:val="2E02529D"/>
    <w:rsid w:val="2E260293"/>
    <w:rsid w:val="2E29314A"/>
    <w:rsid w:val="2E2A626E"/>
    <w:rsid w:val="2E3C4036"/>
    <w:rsid w:val="2E414FE3"/>
    <w:rsid w:val="2E450300"/>
    <w:rsid w:val="2E462BE6"/>
    <w:rsid w:val="2E4E18AB"/>
    <w:rsid w:val="2E514EF7"/>
    <w:rsid w:val="2E5A5453"/>
    <w:rsid w:val="2E615CDF"/>
    <w:rsid w:val="2E652751"/>
    <w:rsid w:val="2E671691"/>
    <w:rsid w:val="2E6C4764"/>
    <w:rsid w:val="2E6C5B0D"/>
    <w:rsid w:val="2E6E3CFB"/>
    <w:rsid w:val="2E870FE2"/>
    <w:rsid w:val="2E8B35D2"/>
    <w:rsid w:val="2E8D48CB"/>
    <w:rsid w:val="2E98791D"/>
    <w:rsid w:val="2E9D269E"/>
    <w:rsid w:val="2EA067B9"/>
    <w:rsid w:val="2EA81C50"/>
    <w:rsid w:val="2EAC4840"/>
    <w:rsid w:val="2EAE60AC"/>
    <w:rsid w:val="2ECB5E37"/>
    <w:rsid w:val="2EE0091C"/>
    <w:rsid w:val="2EE02102"/>
    <w:rsid w:val="2EE17B99"/>
    <w:rsid w:val="2EE40E9C"/>
    <w:rsid w:val="2EE57277"/>
    <w:rsid w:val="2EF207CC"/>
    <w:rsid w:val="2EF61F0B"/>
    <w:rsid w:val="2EF75A9F"/>
    <w:rsid w:val="2EFB7CB7"/>
    <w:rsid w:val="2F0909A8"/>
    <w:rsid w:val="2F0A2AA4"/>
    <w:rsid w:val="2F0E677E"/>
    <w:rsid w:val="2F19257F"/>
    <w:rsid w:val="2F1C3757"/>
    <w:rsid w:val="2F1C72B3"/>
    <w:rsid w:val="2F205E15"/>
    <w:rsid w:val="2F326488"/>
    <w:rsid w:val="2F375F1D"/>
    <w:rsid w:val="2F391C13"/>
    <w:rsid w:val="2F395F3E"/>
    <w:rsid w:val="2F3A3BDD"/>
    <w:rsid w:val="2F3A6DCB"/>
    <w:rsid w:val="2F412167"/>
    <w:rsid w:val="2F544F90"/>
    <w:rsid w:val="2F57653D"/>
    <w:rsid w:val="2F580B5D"/>
    <w:rsid w:val="2F5A1223"/>
    <w:rsid w:val="2F604450"/>
    <w:rsid w:val="2F61652F"/>
    <w:rsid w:val="2F6E157D"/>
    <w:rsid w:val="2F776BDF"/>
    <w:rsid w:val="2F7A01D4"/>
    <w:rsid w:val="2F7D5F48"/>
    <w:rsid w:val="2F8B61E7"/>
    <w:rsid w:val="2F901039"/>
    <w:rsid w:val="2FA63747"/>
    <w:rsid w:val="2FB73A97"/>
    <w:rsid w:val="2FB80658"/>
    <w:rsid w:val="2FBC1655"/>
    <w:rsid w:val="2FBE2A47"/>
    <w:rsid w:val="2FD40903"/>
    <w:rsid w:val="2FD41AF9"/>
    <w:rsid w:val="2FD84E20"/>
    <w:rsid w:val="2FDA78BD"/>
    <w:rsid w:val="2FDD3BF8"/>
    <w:rsid w:val="2FE5290B"/>
    <w:rsid w:val="2FE53B49"/>
    <w:rsid w:val="2FFB6C33"/>
    <w:rsid w:val="300E0F00"/>
    <w:rsid w:val="301148A3"/>
    <w:rsid w:val="30142940"/>
    <w:rsid w:val="30230966"/>
    <w:rsid w:val="3026429F"/>
    <w:rsid w:val="30274161"/>
    <w:rsid w:val="30343C50"/>
    <w:rsid w:val="303D3648"/>
    <w:rsid w:val="30435E08"/>
    <w:rsid w:val="30545F4A"/>
    <w:rsid w:val="30547117"/>
    <w:rsid w:val="30667E13"/>
    <w:rsid w:val="306D1D3C"/>
    <w:rsid w:val="30766E97"/>
    <w:rsid w:val="3078676B"/>
    <w:rsid w:val="30872E52"/>
    <w:rsid w:val="308C66BA"/>
    <w:rsid w:val="30933502"/>
    <w:rsid w:val="3095454C"/>
    <w:rsid w:val="309B08D9"/>
    <w:rsid w:val="309C68FD"/>
    <w:rsid w:val="30B07949"/>
    <w:rsid w:val="30B2590E"/>
    <w:rsid w:val="30B92940"/>
    <w:rsid w:val="30D73D74"/>
    <w:rsid w:val="30DA31D9"/>
    <w:rsid w:val="30E107B4"/>
    <w:rsid w:val="30E1276D"/>
    <w:rsid w:val="30E43EBF"/>
    <w:rsid w:val="30EC4205"/>
    <w:rsid w:val="30FB44AC"/>
    <w:rsid w:val="30FC4CA2"/>
    <w:rsid w:val="30FE5DD3"/>
    <w:rsid w:val="31003EEB"/>
    <w:rsid w:val="3108352B"/>
    <w:rsid w:val="310A5379"/>
    <w:rsid w:val="3113397D"/>
    <w:rsid w:val="31172428"/>
    <w:rsid w:val="311D7312"/>
    <w:rsid w:val="312143D9"/>
    <w:rsid w:val="3130226F"/>
    <w:rsid w:val="31337F7A"/>
    <w:rsid w:val="313C2836"/>
    <w:rsid w:val="314C0307"/>
    <w:rsid w:val="314E38D2"/>
    <w:rsid w:val="31565313"/>
    <w:rsid w:val="31606C99"/>
    <w:rsid w:val="31647D9D"/>
    <w:rsid w:val="31677002"/>
    <w:rsid w:val="316D1C64"/>
    <w:rsid w:val="31761F52"/>
    <w:rsid w:val="317C5A0A"/>
    <w:rsid w:val="31893755"/>
    <w:rsid w:val="318961D5"/>
    <w:rsid w:val="3191011E"/>
    <w:rsid w:val="31A230CB"/>
    <w:rsid w:val="31A25F76"/>
    <w:rsid w:val="31A35A6A"/>
    <w:rsid w:val="31A73669"/>
    <w:rsid w:val="31AC0DC2"/>
    <w:rsid w:val="31B80BA6"/>
    <w:rsid w:val="31C561C1"/>
    <w:rsid w:val="31D10DC3"/>
    <w:rsid w:val="31E20A34"/>
    <w:rsid w:val="31F162A1"/>
    <w:rsid w:val="31F174F6"/>
    <w:rsid w:val="31F90508"/>
    <w:rsid w:val="31FC546F"/>
    <w:rsid w:val="3201186B"/>
    <w:rsid w:val="32086704"/>
    <w:rsid w:val="320C7583"/>
    <w:rsid w:val="32116E77"/>
    <w:rsid w:val="321D7B33"/>
    <w:rsid w:val="322546D1"/>
    <w:rsid w:val="322748ED"/>
    <w:rsid w:val="322E5897"/>
    <w:rsid w:val="32352F71"/>
    <w:rsid w:val="32387107"/>
    <w:rsid w:val="323B65B5"/>
    <w:rsid w:val="32480E13"/>
    <w:rsid w:val="324F174E"/>
    <w:rsid w:val="325D030E"/>
    <w:rsid w:val="325D41F6"/>
    <w:rsid w:val="327D0BB3"/>
    <w:rsid w:val="3284589B"/>
    <w:rsid w:val="32B76B39"/>
    <w:rsid w:val="32BF33CC"/>
    <w:rsid w:val="32C7692B"/>
    <w:rsid w:val="32D61E6F"/>
    <w:rsid w:val="32E3352E"/>
    <w:rsid w:val="32E5704B"/>
    <w:rsid w:val="32EA2488"/>
    <w:rsid w:val="32F50547"/>
    <w:rsid w:val="330864CC"/>
    <w:rsid w:val="331839CA"/>
    <w:rsid w:val="33354DE7"/>
    <w:rsid w:val="333A6962"/>
    <w:rsid w:val="33415952"/>
    <w:rsid w:val="33447406"/>
    <w:rsid w:val="335510F1"/>
    <w:rsid w:val="33583565"/>
    <w:rsid w:val="335F6A20"/>
    <w:rsid w:val="336762D8"/>
    <w:rsid w:val="33732E85"/>
    <w:rsid w:val="33775400"/>
    <w:rsid w:val="337F6063"/>
    <w:rsid w:val="33813EE9"/>
    <w:rsid w:val="33837581"/>
    <w:rsid w:val="33A40CD4"/>
    <w:rsid w:val="33A61841"/>
    <w:rsid w:val="33AA0A57"/>
    <w:rsid w:val="33B2468A"/>
    <w:rsid w:val="33B2493D"/>
    <w:rsid w:val="33B77EF8"/>
    <w:rsid w:val="33BF2720"/>
    <w:rsid w:val="33C36734"/>
    <w:rsid w:val="33C57377"/>
    <w:rsid w:val="33CA3782"/>
    <w:rsid w:val="33D15003"/>
    <w:rsid w:val="33DE0FDB"/>
    <w:rsid w:val="33E26B0A"/>
    <w:rsid w:val="33E54BC0"/>
    <w:rsid w:val="33E54DB7"/>
    <w:rsid w:val="33EA6411"/>
    <w:rsid w:val="33EB1856"/>
    <w:rsid w:val="33EF1025"/>
    <w:rsid w:val="33F16F60"/>
    <w:rsid w:val="33F325DD"/>
    <w:rsid w:val="33F64577"/>
    <w:rsid w:val="33FD3B57"/>
    <w:rsid w:val="34042FD2"/>
    <w:rsid w:val="341D5FA7"/>
    <w:rsid w:val="341E587B"/>
    <w:rsid w:val="34303467"/>
    <w:rsid w:val="34333A63"/>
    <w:rsid w:val="34357743"/>
    <w:rsid w:val="345416A4"/>
    <w:rsid w:val="34546879"/>
    <w:rsid w:val="34766219"/>
    <w:rsid w:val="34814C4A"/>
    <w:rsid w:val="348B393B"/>
    <w:rsid w:val="349110D6"/>
    <w:rsid w:val="34925F3B"/>
    <w:rsid w:val="34927DD5"/>
    <w:rsid w:val="34931DC5"/>
    <w:rsid w:val="34993154"/>
    <w:rsid w:val="34A044EE"/>
    <w:rsid w:val="34AC450C"/>
    <w:rsid w:val="34AE75B0"/>
    <w:rsid w:val="34AF5AF4"/>
    <w:rsid w:val="34B34216"/>
    <w:rsid w:val="34BC29CE"/>
    <w:rsid w:val="34BC38DF"/>
    <w:rsid w:val="34C541B1"/>
    <w:rsid w:val="34C54E7C"/>
    <w:rsid w:val="34C75C70"/>
    <w:rsid w:val="34C957E7"/>
    <w:rsid w:val="34D64B3D"/>
    <w:rsid w:val="34DD1293"/>
    <w:rsid w:val="34E36C71"/>
    <w:rsid w:val="34E65D8F"/>
    <w:rsid w:val="34EA63EC"/>
    <w:rsid w:val="35026F4B"/>
    <w:rsid w:val="35056CD1"/>
    <w:rsid w:val="35093186"/>
    <w:rsid w:val="3512219C"/>
    <w:rsid w:val="35284AC8"/>
    <w:rsid w:val="352D3F09"/>
    <w:rsid w:val="35304A94"/>
    <w:rsid w:val="353A66E5"/>
    <w:rsid w:val="353F683C"/>
    <w:rsid w:val="35507CB7"/>
    <w:rsid w:val="35534C90"/>
    <w:rsid w:val="355A0042"/>
    <w:rsid w:val="35620545"/>
    <w:rsid w:val="356419B4"/>
    <w:rsid w:val="35676B07"/>
    <w:rsid w:val="35682127"/>
    <w:rsid w:val="356B13C7"/>
    <w:rsid w:val="356E2833"/>
    <w:rsid w:val="3570214D"/>
    <w:rsid w:val="357102AF"/>
    <w:rsid w:val="35791EEA"/>
    <w:rsid w:val="357961FE"/>
    <w:rsid w:val="3582029F"/>
    <w:rsid w:val="3583008C"/>
    <w:rsid w:val="358908DA"/>
    <w:rsid w:val="358D2CB9"/>
    <w:rsid w:val="358D6334"/>
    <w:rsid w:val="35A20560"/>
    <w:rsid w:val="35AC380A"/>
    <w:rsid w:val="35B120E6"/>
    <w:rsid w:val="35BC70FA"/>
    <w:rsid w:val="35BF3050"/>
    <w:rsid w:val="35C557C9"/>
    <w:rsid w:val="35D35979"/>
    <w:rsid w:val="35D915D7"/>
    <w:rsid w:val="35DB0A0A"/>
    <w:rsid w:val="35DC779C"/>
    <w:rsid w:val="35DD09E6"/>
    <w:rsid w:val="35E70548"/>
    <w:rsid w:val="35E832B3"/>
    <w:rsid w:val="35F27157"/>
    <w:rsid w:val="35F32A7C"/>
    <w:rsid w:val="35FC7E3E"/>
    <w:rsid w:val="3606638E"/>
    <w:rsid w:val="36156A40"/>
    <w:rsid w:val="36177D06"/>
    <w:rsid w:val="361E1B63"/>
    <w:rsid w:val="36321AB2"/>
    <w:rsid w:val="363737AA"/>
    <w:rsid w:val="36374E98"/>
    <w:rsid w:val="363C2A23"/>
    <w:rsid w:val="363F5F93"/>
    <w:rsid w:val="3641098E"/>
    <w:rsid w:val="36413AA3"/>
    <w:rsid w:val="36453593"/>
    <w:rsid w:val="364A63D9"/>
    <w:rsid w:val="36553850"/>
    <w:rsid w:val="36563E09"/>
    <w:rsid w:val="365752FB"/>
    <w:rsid w:val="36762AAF"/>
    <w:rsid w:val="3681566E"/>
    <w:rsid w:val="36820344"/>
    <w:rsid w:val="368223E2"/>
    <w:rsid w:val="3684687C"/>
    <w:rsid w:val="36902909"/>
    <w:rsid w:val="369037A8"/>
    <w:rsid w:val="36943B24"/>
    <w:rsid w:val="369C6DC2"/>
    <w:rsid w:val="369E0EF6"/>
    <w:rsid w:val="36A051F6"/>
    <w:rsid w:val="36A55DE0"/>
    <w:rsid w:val="36AD0D42"/>
    <w:rsid w:val="36B85B13"/>
    <w:rsid w:val="36BA62F4"/>
    <w:rsid w:val="36C84250"/>
    <w:rsid w:val="36D543F9"/>
    <w:rsid w:val="36DA0A94"/>
    <w:rsid w:val="36E36908"/>
    <w:rsid w:val="37012157"/>
    <w:rsid w:val="37022F00"/>
    <w:rsid w:val="37063AC5"/>
    <w:rsid w:val="37082B81"/>
    <w:rsid w:val="37180BD5"/>
    <w:rsid w:val="371E7CB8"/>
    <w:rsid w:val="372A2624"/>
    <w:rsid w:val="372E2279"/>
    <w:rsid w:val="372F2106"/>
    <w:rsid w:val="373225B1"/>
    <w:rsid w:val="37383BB8"/>
    <w:rsid w:val="373C1EA2"/>
    <w:rsid w:val="374A25FC"/>
    <w:rsid w:val="374F4B11"/>
    <w:rsid w:val="375B0588"/>
    <w:rsid w:val="375C1490"/>
    <w:rsid w:val="375E0E29"/>
    <w:rsid w:val="37651314"/>
    <w:rsid w:val="37690BE5"/>
    <w:rsid w:val="376E2676"/>
    <w:rsid w:val="37765CD1"/>
    <w:rsid w:val="377B7F1F"/>
    <w:rsid w:val="377E2B92"/>
    <w:rsid w:val="378670EA"/>
    <w:rsid w:val="37887B9C"/>
    <w:rsid w:val="378C5C90"/>
    <w:rsid w:val="37921833"/>
    <w:rsid w:val="37932BC2"/>
    <w:rsid w:val="379E11AD"/>
    <w:rsid w:val="37A8202C"/>
    <w:rsid w:val="37AD55DE"/>
    <w:rsid w:val="37BC5AD7"/>
    <w:rsid w:val="37C178DE"/>
    <w:rsid w:val="37C6333F"/>
    <w:rsid w:val="37C91FA2"/>
    <w:rsid w:val="37CA2561"/>
    <w:rsid w:val="37CB5B7F"/>
    <w:rsid w:val="37E61BA3"/>
    <w:rsid w:val="37EE764B"/>
    <w:rsid w:val="37F007A1"/>
    <w:rsid w:val="37F039D3"/>
    <w:rsid w:val="37F41720"/>
    <w:rsid w:val="37F6001F"/>
    <w:rsid w:val="37F627D6"/>
    <w:rsid w:val="38064FA4"/>
    <w:rsid w:val="38083683"/>
    <w:rsid w:val="380E0B97"/>
    <w:rsid w:val="38136BAD"/>
    <w:rsid w:val="38140ADC"/>
    <w:rsid w:val="38172DD5"/>
    <w:rsid w:val="38174ABC"/>
    <w:rsid w:val="381E781B"/>
    <w:rsid w:val="38230A85"/>
    <w:rsid w:val="3824525E"/>
    <w:rsid w:val="38404012"/>
    <w:rsid w:val="38416D7D"/>
    <w:rsid w:val="384547B5"/>
    <w:rsid w:val="384C64EB"/>
    <w:rsid w:val="38692D98"/>
    <w:rsid w:val="38695C76"/>
    <w:rsid w:val="386C5553"/>
    <w:rsid w:val="38726196"/>
    <w:rsid w:val="387C7109"/>
    <w:rsid w:val="387E56F1"/>
    <w:rsid w:val="388360E2"/>
    <w:rsid w:val="388844BF"/>
    <w:rsid w:val="388D7D96"/>
    <w:rsid w:val="38985F88"/>
    <w:rsid w:val="389C3213"/>
    <w:rsid w:val="38A74B23"/>
    <w:rsid w:val="38A87E0A"/>
    <w:rsid w:val="38AA6E7F"/>
    <w:rsid w:val="38AD5281"/>
    <w:rsid w:val="38C52D4E"/>
    <w:rsid w:val="38D0018D"/>
    <w:rsid w:val="38D71082"/>
    <w:rsid w:val="38E22481"/>
    <w:rsid w:val="38E56968"/>
    <w:rsid w:val="38E768B3"/>
    <w:rsid w:val="38E928FC"/>
    <w:rsid w:val="38EF1994"/>
    <w:rsid w:val="38F53E2C"/>
    <w:rsid w:val="3905411F"/>
    <w:rsid w:val="390F4F45"/>
    <w:rsid w:val="39116875"/>
    <w:rsid w:val="3917218F"/>
    <w:rsid w:val="391A3C78"/>
    <w:rsid w:val="391E02A2"/>
    <w:rsid w:val="391F5588"/>
    <w:rsid w:val="39203CDF"/>
    <w:rsid w:val="3925445C"/>
    <w:rsid w:val="392F3939"/>
    <w:rsid w:val="39353A12"/>
    <w:rsid w:val="394915ED"/>
    <w:rsid w:val="394A10E7"/>
    <w:rsid w:val="396957EB"/>
    <w:rsid w:val="39795175"/>
    <w:rsid w:val="397C6844"/>
    <w:rsid w:val="39965008"/>
    <w:rsid w:val="399F551B"/>
    <w:rsid w:val="39A24859"/>
    <w:rsid w:val="39A44A75"/>
    <w:rsid w:val="39A9208B"/>
    <w:rsid w:val="39B51738"/>
    <w:rsid w:val="39B612BA"/>
    <w:rsid w:val="39C45614"/>
    <w:rsid w:val="39CD5D7A"/>
    <w:rsid w:val="39DD6CBE"/>
    <w:rsid w:val="39EA1D9E"/>
    <w:rsid w:val="39EC3D26"/>
    <w:rsid w:val="39F7538F"/>
    <w:rsid w:val="39FA22AE"/>
    <w:rsid w:val="39FA37B2"/>
    <w:rsid w:val="39FD5F33"/>
    <w:rsid w:val="39FE7B11"/>
    <w:rsid w:val="3A122697"/>
    <w:rsid w:val="3A13103F"/>
    <w:rsid w:val="3A231E3E"/>
    <w:rsid w:val="3A311E8C"/>
    <w:rsid w:val="3A372F4A"/>
    <w:rsid w:val="3A3A77D2"/>
    <w:rsid w:val="3A3E0A25"/>
    <w:rsid w:val="3A42356C"/>
    <w:rsid w:val="3A476B07"/>
    <w:rsid w:val="3A487425"/>
    <w:rsid w:val="3A4A701C"/>
    <w:rsid w:val="3A524F9B"/>
    <w:rsid w:val="3A5E3E04"/>
    <w:rsid w:val="3A6D07A9"/>
    <w:rsid w:val="3A7110B6"/>
    <w:rsid w:val="3A7E5897"/>
    <w:rsid w:val="3A8618C8"/>
    <w:rsid w:val="3A88475F"/>
    <w:rsid w:val="3A953C65"/>
    <w:rsid w:val="3A970824"/>
    <w:rsid w:val="3A983DC6"/>
    <w:rsid w:val="3A9A07F1"/>
    <w:rsid w:val="3A9C574C"/>
    <w:rsid w:val="3AA840F1"/>
    <w:rsid w:val="3AAD0894"/>
    <w:rsid w:val="3AB407D9"/>
    <w:rsid w:val="3AB433AE"/>
    <w:rsid w:val="3AB6680E"/>
    <w:rsid w:val="3AC56A51"/>
    <w:rsid w:val="3ACD2AF1"/>
    <w:rsid w:val="3ADA2588"/>
    <w:rsid w:val="3ADC5D79"/>
    <w:rsid w:val="3ADE5E1E"/>
    <w:rsid w:val="3ADF3853"/>
    <w:rsid w:val="3AF61D59"/>
    <w:rsid w:val="3B017BB6"/>
    <w:rsid w:val="3B041E40"/>
    <w:rsid w:val="3B042005"/>
    <w:rsid w:val="3B07777D"/>
    <w:rsid w:val="3B0B3DFC"/>
    <w:rsid w:val="3B124611"/>
    <w:rsid w:val="3B135AA1"/>
    <w:rsid w:val="3B141786"/>
    <w:rsid w:val="3B143534"/>
    <w:rsid w:val="3B1B43BE"/>
    <w:rsid w:val="3B20012B"/>
    <w:rsid w:val="3B244F4A"/>
    <w:rsid w:val="3B28562A"/>
    <w:rsid w:val="3B2C2F74"/>
    <w:rsid w:val="3B2E0A9A"/>
    <w:rsid w:val="3B346E7D"/>
    <w:rsid w:val="3B3556EA"/>
    <w:rsid w:val="3B375D76"/>
    <w:rsid w:val="3B380B23"/>
    <w:rsid w:val="3B3D36E5"/>
    <w:rsid w:val="3B501B7A"/>
    <w:rsid w:val="3B544EC3"/>
    <w:rsid w:val="3B5542D0"/>
    <w:rsid w:val="3B563B4D"/>
    <w:rsid w:val="3B697D24"/>
    <w:rsid w:val="3B724C94"/>
    <w:rsid w:val="3B7C320D"/>
    <w:rsid w:val="3B7D47DF"/>
    <w:rsid w:val="3B7E68C6"/>
    <w:rsid w:val="3B81506E"/>
    <w:rsid w:val="3B8C3A12"/>
    <w:rsid w:val="3B8F0229"/>
    <w:rsid w:val="3B9303C7"/>
    <w:rsid w:val="3B9B7648"/>
    <w:rsid w:val="3B9E5FBB"/>
    <w:rsid w:val="3BA66882"/>
    <w:rsid w:val="3BAF4740"/>
    <w:rsid w:val="3BB42BEC"/>
    <w:rsid w:val="3BBD01CF"/>
    <w:rsid w:val="3BC66F24"/>
    <w:rsid w:val="3BC72FF5"/>
    <w:rsid w:val="3BC74924"/>
    <w:rsid w:val="3BCE5A48"/>
    <w:rsid w:val="3BD7720A"/>
    <w:rsid w:val="3BDF42F7"/>
    <w:rsid w:val="3BE07CFF"/>
    <w:rsid w:val="3BED3A3A"/>
    <w:rsid w:val="3BF86A30"/>
    <w:rsid w:val="3C10312B"/>
    <w:rsid w:val="3C1754A4"/>
    <w:rsid w:val="3C1A7FEE"/>
    <w:rsid w:val="3C1E0B0E"/>
    <w:rsid w:val="3C2709C8"/>
    <w:rsid w:val="3C320077"/>
    <w:rsid w:val="3C3D6E90"/>
    <w:rsid w:val="3C4B3FA3"/>
    <w:rsid w:val="3C4C2E7D"/>
    <w:rsid w:val="3C502C92"/>
    <w:rsid w:val="3C567FF4"/>
    <w:rsid w:val="3C5738CA"/>
    <w:rsid w:val="3C5A766D"/>
    <w:rsid w:val="3C5B6DEA"/>
    <w:rsid w:val="3C601B43"/>
    <w:rsid w:val="3C6652AD"/>
    <w:rsid w:val="3C695488"/>
    <w:rsid w:val="3C772920"/>
    <w:rsid w:val="3C7A290F"/>
    <w:rsid w:val="3C8975B8"/>
    <w:rsid w:val="3C954C19"/>
    <w:rsid w:val="3C97441D"/>
    <w:rsid w:val="3C990195"/>
    <w:rsid w:val="3C9B1F28"/>
    <w:rsid w:val="3C9F1C73"/>
    <w:rsid w:val="3CA7505D"/>
    <w:rsid w:val="3CA96446"/>
    <w:rsid w:val="3CB72D11"/>
    <w:rsid w:val="3CCF4271"/>
    <w:rsid w:val="3CDC0785"/>
    <w:rsid w:val="3CDC2AA5"/>
    <w:rsid w:val="3CE21E78"/>
    <w:rsid w:val="3CEC228F"/>
    <w:rsid w:val="3CF11D7F"/>
    <w:rsid w:val="3CF61996"/>
    <w:rsid w:val="3CFA17CA"/>
    <w:rsid w:val="3CFB44C3"/>
    <w:rsid w:val="3D170FAE"/>
    <w:rsid w:val="3D1C257A"/>
    <w:rsid w:val="3D2E1F3D"/>
    <w:rsid w:val="3D2F7E4F"/>
    <w:rsid w:val="3D361B91"/>
    <w:rsid w:val="3D3A62D8"/>
    <w:rsid w:val="3D406863"/>
    <w:rsid w:val="3D4520CB"/>
    <w:rsid w:val="3D485375"/>
    <w:rsid w:val="3D4E2A5F"/>
    <w:rsid w:val="3D526647"/>
    <w:rsid w:val="3D585F4D"/>
    <w:rsid w:val="3D597924"/>
    <w:rsid w:val="3D6222EE"/>
    <w:rsid w:val="3D687B67"/>
    <w:rsid w:val="3D6C33A0"/>
    <w:rsid w:val="3D6E0A76"/>
    <w:rsid w:val="3D6E0AB8"/>
    <w:rsid w:val="3D771BF4"/>
    <w:rsid w:val="3D784EFE"/>
    <w:rsid w:val="3D874854"/>
    <w:rsid w:val="3D8F1598"/>
    <w:rsid w:val="3D9077EA"/>
    <w:rsid w:val="3D970F0C"/>
    <w:rsid w:val="3D986B1D"/>
    <w:rsid w:val="3DA70690"/>
    <w:rsid w:val="3DA93D8D"/>
    <w:rsid w:val="3DAC7347"/>
    <w:rsid w:val="3DB86D41"/>
    <w:rsid w:val="3DCA1A19"/>
    <w:rsid w:val="3DDA2813"/>
    <w:rsid w:val="3DDB0FBF"/>
    <w:rsid w:val="3DDB58C0"/>
    <w:rsid w:val="3DE84659"/>
    <w:rsid w:val="3DEA54E7"/>
    <w:rsid w:val="3DF77869"/>
    <w:rsid w:val="3DFA657C"/>
    <w:rsid w:val="3E025D44"/>
    <w:rsid w:val="3E0667F5"/>
    <w:rsid w:val="3E07281A"/>
    <w:rsid w:val="3E0855A1"/>
    <w:rsid w:val="3E194BC1"/>
    <w:rsid w:val="3E1F320A"/>
    <w:rsid w:val="3E297373"/>
    <w:rsid w:val="3E2A76D7"/>
    <w:rsid w:val="3E49549A"/>
    <w:rsid w:val="3E4E4FAF"/>
    <w:rsid w:val="3E5527E2"/>
    <w:rsid w:val="3E5A13DF"/>
    <w:rsid w:val="3E8D7D23"/>
    <w:rsid w:val="3E956359"/>
    <w:rsid w:val="3E9B6EBD"/>
    <w:rsid w:val="3EAA7FD5"/>
    <w:rsid w:val="3EBF49B1"/>
    <w:rsid w:val="3EC00E1F"/>
    <w:rsid w:val="3EC1100F"/>
    <w:rsid w:val="3EC3768A"/>
    <w:rsid w:val="3EC94C8C"/>
    <w:rsid w:val="3ECC6D7D"/>
    <w:rsid w:val="3ED03C16"/>
    <w:rsid w:val="3ED96F6F"/>
    <w:rsid w:val="3EE841A8"/>
    <w:rsid w:val="3EF06066"/>
    <w:rsid w:val="3EF134D4"/>
    <w:rsid w:val="3EF67DAE"/>
    <w:rsid w:val="3EFB5137"/>
    <w:rsid w:val="3EFC2C5D"/>
    <w:rsid w:val="3F1446A0"/>
    <w:rsid w:val="3F19736B"/>
    <w:rsid w:val="3F2A77CA"/>
    <w:rsid w:val="3F32042D"/>
    <w:rsid w:val="3F3A798C"/>
    <w:rsid w:val="3F402B4A"/>
    <w:rsid w:val="3F446ADE"/>
    <w:rsid w:val="3F4C14EF"/>
    <w:rsid w:val="3F533B3E"/>
    <w:rsid w:val="3F604F9A"/>
    <w:rsid w:val="3F7469F0"/>
    <w:rsid w:val="3F7E0CE9"/>
    <w:rsid w:val="3F874CBB"/>
    <w:rsid w:val="3F94000D"/>
    <w:rsid w:val="3F947984"/>
    <w:rsid w:val="3F9B4011"/>
    <w:rsid w:val="3F9E115C"/>
    <w:rsid w:val="3F9E5AC2"/>
    <w:rsid w:val="3FAE097C"/>
    <w:rsid w:val="3FC649F3"/>
    <w:rsid w:val="3FCC26F4"/>
    <w:rsid w:val="3FD22816"/>
    <w:rsid w:val="3FD61700"/>
    <w:rsid w:val="3FD61C25"/>
    <w:rsid w:val="3FE37CCF"/>
    <w:rsid w:val="3FEA3875"/>
    <w:rsid w:val="3FEA63D8"/>
    <w:rsid w:val="3FF40D54"/>
    <w:rsid w:val="3FF81CF7"/>
    <w:rsid w:val="3FFD4EDF"/>
    <w:rsid w:val="3FFF631A"/>
    <w:rsid w:val="4005791F"/>
    <w:rsid w:val="400A45F1"/>
    <w:rsid w:val="401B313B"/>
    <w:rsid w:val="401C18F7"/>
    <w:rsid w:val="40224945"/>
    <w:rsid w:val="40275AB8"/>
    <w:rsid w:val="402B37FA"/>
    <w:rsid w:val="403513C2"/>
    <w:rsid w:val="40371681"/>
    <w:rsid w:val="40395022"/>
    <w:rsid w:val="403F4828"/>
    <w:rsid w:val="4040350E"/>
    <w:rsid w:val="404546A9"/>
    <w:rsid w:val="40501F54"/>
    <w:rsid w:val="405320CB"/>
    <w:rsid w:val="405363BC"/>
    <w:rsid w:val="40552625"/>
    <w:rsid w:val="405F34A4"/>
    <w:rsid w:val="4061721C"/>
    <w:rsid w:val="40713149"/>
    <w:rsid w:val="40754A75"/>
    <w:rsid w:val="40766D5C"/>
    <w:rsid w:val="408053EC"/>
    <w:rsid w:val="4087658D"/>
    <w:rsid w:val="408A3A76"/>
    <w:rsid w:val="409B6EA7"/>
    <w:rsid w:val="409D5D7A"/>
    <w:rsid w:val="40A65A2A"/>
    <w:rsid w:val="40B7141C"/>
    <w:rsid w:val="40BD1F6C"/>
    <w:rsid w:val="40C42C6E"/>
    <w:rsid w:val="40C81049"/>
    <w:rsid w:val="40CD48B1"/>
    <w:rsid w:val="40EF026D"/>
    <w:rsid w:val="410F1E60"/>
    <w:rsid w:val="411C117D"/>
    <w:rsid w:val="41250249"/>
    <w:rsid w:val="412944A5"/>
    <w:rsid w:val="413E2370"/>
    <w:rsid w:val="413F7969"/>
    <w:rsid w:val="414C26FD"/>
    <w:rsid w:val="414C66FB"/>
    <w:rsid w:val="414E2759"/>
    <w:rsid w:val="4154600A"/>
    <w:rsid w:val="415F4A5A"/>
    <w:rsid w:val="41636A0D"/>
    <w:rsid w:val="41786B3B"/>
    <w:rsid w:val="418769EE"/>
    <w:rsid w:val="41894C7C"/>
    <w:rsid w:val="4189672F"/>
    <w:rsid w:val="41955348"/>
    <w:rsid w:val="419B2AA5"/>
    <w:rsid w:val="41A5033F"/>
    <w:rsid w:val="41B12931"/>
    <w:rsid w:val="41B8730F"/>
    <w:rsid w:val="41C2393E"/>
    <w:rsid w:val="41C45CB4"/>
    <w:rsid w:val="41C957B5"/>
    <w:rsid w:val="41CA6C4F"/>
    <w:rsid w:val="41D41319"/>
    <w:rsid w:val="41D9469C"/>
    <w:rsid w:val="41EC498C"/>
    <w:rsid w:val="41F235E8"/>
    <w:rsid w:val="420C5E25"/>
    <w:rsid w:val="421F738E"/>
    <w:rsid w:val="422235F4"/>
    <w:rsid w:val="42241D3D"/>
    <w:rsid w:val="422743CF"/>
    <w:rsid w:val="42291FBB"/>
    <w:rsid w:val="42300BAC"/>
    <w:rsid w:val="423D15C3"/>
    <w:rsid w:val="42402E61"/>
    <w:rsid w:val="42442951"/>
    <w:rsid w:val="424B0183"/>
    <w:rsid w:val="425A3C21"/>
    <w:rsid w:val="42603E92"/>
    <w:rsid w:val="4262727B"/>
    <w:rsid w:val="426853E4"/>
    <w:rsid w:val="42755200"/>
    <w:rsid w:val="42935686"/>
    <w:rsid w:val="429B2A93"/>
    <w:rsid w:val="42A6752D"/>
    <w:rsid w:val="42B77854"/>
    <w:rsid w:val="42BC111A"/>
    <w:rsid w:val="42C26E30"/>
    <w:rsid w:val="42C3740F"/>
    <w:rsid w:val="42C44DF1"/>
    <w:rsid w:val="42D8774D"/>
    <w:rsid w:val="42D97BEE"/>
    <w:rsid w:val="42EB101F"/>
    <w:rsid w:val="42F85672"/>
    <w:rsid w:val="42FA1C29"/>
    <w:rsid w:val="42FA5706"/>
    <w:rsid w:val="42FB373B"/>
    <w:rsid w:val="42FB401D"/>
    <w:rsid w:val="42FE7635"/>
    <w:rsid w:val="430E2866"/>
    <w:rsid w:val="431D0041"/>
    <w:rsid w:val="43356244"/>
    <w:rsid w:val="433761E9"/>
    <w:rsid w:val="434123A6"/>
    <w:rsid w:val="43432C09"/>
    <w:rsid w:val="435930BE"/>
    <w:rsid w:val="435C4DE7"/>
    <w:rsid w:val="435D74CD"/>
    <w:rsid w:val="4363233F"/>
    <w:rsid w:val="4367430C"/>
    <w:rsid w:val="4374600D"/>
    <w:rsid w:val="43804545"/>
    <w:rsid w:val="438D0328"/>
    <w:rsid w:val="4397621F"/>
    <w:rsid w:val="43A1406D"/>
    <w:rsid w:val="43A318F9"/>
    <w:rsid w:val="43AC0AF3"/>
    <w:rsid w:val="43B03CB9"/>
    <w:rsid w:val="43B21A31"/>
    <w:rsid w:val="43B265E3"/>
    <w:rsid w:val="43C443A8"/>
    <w:rsid w:val="43C600F6"/>
    <w:rsid w:val="43D766D2"/>
    <w:rsid w:val="43DC2421"/>
    <w:rsid w:val="43DF56C0"/>
    <w:rsid w:val="43E05E01"/>
    <w:rsid w:val="43E6637F"/>
    <w:rsid w:val="43E81149"/>
    <w:rsid w:val="43E8437E"/>
    <w:rsid w:val="43FF1799"/>
    <w:rsid w:val="44004114"/>
    <w:rsid w:val="4401137D"/>
    <w:rsid w:val="440F50C9"/>
    <w:rsid w:val="4410087D"/>
    <w:rsid w:val="44116AF0"/>
    <w:rsid w:val="441829FE"/>
    <w:rsid w:val="44213356"/>
    <w:rsid w:val="4427077C"/>
    <w:rsid w:val="442C5D93"/>
    <w:rsid w:val="44357421"/>
    <w:rsid w:val="443A6683"/>
    <w:rsid w:val="443C5721"/>
    <w:rsid w:val="443D0FD8"/>
    <w:rsid w:val="44476729"/>
    <w:rsid w:val="444B41D8"/>
    <w:rsid w:val="444F02BA"/>
    <w:rsid w:val="44524E2B"/>
    <w:rsid w:val="44592FA7"/>
    <w:rsid w:val="44593EC8"/>
    <w:rsid w:val="445C0339"/>
    <w:rsid w:val="445C65B7"/>
    <w:rsid w:val="4461118C"/>
    <w:rsid w:val="44666861"/>
    <w:rsid w:val="447D225C"/>
    <w:rsid w:val="44805ADA"/>
    <w:rsid w:val="4483068B"/>
    <w:rsid w:val="44927617"/>
    <w:rsid w:val="449703B4"/>
    <w:rsid w:val="44A95D6F"/>
    <w:rsid w:val="44B5370E"/>
    <w:rsid w:val="44B6499C"/>
    <w:rsid w:val="44C36614"/>
    <w:rsid w:val="44CD27AA"/>
    <w:rsid w:val="44D05153"/>
    <w:rsid w:val="44D555A8"/>
    <w:rsid w:val="44D841B6"/>
    <w:rsid w:val="44D85C43"/>
    <w:rsid w:val="44E54AC8"/>
    <w:rsid w:val="44E61D80"/>
    <w:rsid w:val="44E8084C"/>
    <w:rsid w:val="44F06DC0"/>
    <w:rsid w:val="44F10A3F"/>
    <w:rsid w:val="44FC0A9D"/>
    <w:rsid w:val="45132BAB"/>
    <w:rsid w:val="451D62DC"/>
    <w:rsid w:val="45293F90"/>
    <w:rsid w:val="45494BDC"/>
    <w:rsid w:val="454B5AF0"/>
    <w:rsid w:val="45580206"/>
    <w:rsid w:val="45631166"/>
    <w:rsid w:val="456D2CB0"/>
    <w:rsid w:val="456F4713"/>
    <w:rsid w:val="45705CC9"/>
    <w:rsid w:val="457462BD"/>
    <w:rsid w:val="45761FC6"/>
    <w:rsid w:val="458B0897"/>
    <w:rsid w:val="45A301B5"/>
    <w:rsid w:val="45B02DDD"/>
    <w:rsid w:val="45B51440"/>
    <w:rsid w:val="45B627C2"/>
    <w:rsid w:val="45B92FA6"/>
    <w:rsid w:val="45B93656"/>
    <w:rsid w:val="45D466E2"/>
    <w:rsid w:val="45D55AA5"/>
    <w:rsid w:val="45D63146"/>
    <w:rsid w:val="45D70D0E"/>
    <w:rsid w:val="45E561F9"/>
    <w:rsid w:val="45E701C3"/>
    <w:rsid w:val="45EC5EA2"/>
    <w:rsid w:val="45ED55FE"/>
    <w:rsid w:val="45F31BA2"/>
    <w:rsid w:val="45F4643C"/>
    <w:rsid w:val="460068EB"/>
    <w:rsid w:val="46054AED"/>
    <w:rsid w:val="4609638B"/>
    <w:rsid w:val="46162856"/>
    <w:rsid w:val="46277B0B"/>
    <w:rsid w:val="46377A04"/>
    <w:rsid w:val="463D5C0C"/>
    <w:rsid w:val="464873AB"/>
    <w:rsid w:val="46625A9C"/>
    <w:rsid w:val="4665733A"/>
    <w:rsid w:val="466A5704"/>
    <w:rsid w:val="46751CCB"/>
    <w:rsid w:val="4679065A"/>
    <w:rsid w:val="467D2F68"/>
    <w:rsid w:val="46887EE4"/>
    <w:rsid w:val="468A6779"/>
    <w:rsid w:val="468B0771"/>
    <w:rsid w:val="468B57F0"/>
    <w:rsid w:val="46943E66"/>
    <w:rsid w:val="469602D2"/>
    <w:rsid w:val="469643B7"/>
    <w:rsid w:val="46965745"/>
    <w:rsid w:val="469841DE"/>
    <w:rsid w:val="46C16C66"/>
    <w:rsid w:val="46C17202"/>
    <w:rsid w:val="46C73B51"/>
    <w:rsid w:val="46CA25BE"/>
    <w:rsid w:val="46CE5BA6"/>
    <w:rsid w:val="46D06E03"/>
    <w:rsid w:val="46D55BD8"/>
    <w:rsid w:val="46DD4403"/>
    <w:rsid w:val="46E12E64"/>
    <w:rsid w:val="46E24FA7"/>
    <w:rsid w:val="46EA5B55"/>
    <w:rsid w:val="46F5105F"/>
    <w:rsid w:val="46F87ED9"/>
    <w:rsid w:val="46FA6613"/>
    <w:rsid w:val="47017063"/>
    <w:rsid w:val="470703F1"/>
    <w:rsid w:val="471D7D5F"/>
    <w:rsid w:val="47266948"/>
    <w:rsid w:val="4726763D"/>
    <w:rsid w:val="47316AFD"/>
    <w:rsid w:val="4740037C"/>
    <w:rsid w:val="474008BA"/>
    <w:rsid w:val="47460F19"/>
    <w:rsid w:val="474D2D1A"/>
    <w:rsid w:val="47525B10"/>
    <w:rsid w:val="475C3C7D"/>
    <w:rsid w:val="475C7819"/>
    <w:rsid w:val="475E7FAC"/>
    <w:rsid w:val="476010A1"/>
    <w:rsid w:val="4762095A"/>
    <w:rsid w:val="47631ACB"/>
    <w:rsid w:val="4765541B"/>
    <w:rsid w:val="476D6D72"/>
    <w:rsid w:val="47751CE6"/>
    <w:rsid w:val="47775577"/>
    <w:rsid w:val="477C2B8D"/>
    <w:rsid w:val="477F7142"/>
    <w:rsid w:val="478A416F"/>
    <w:rsid w:val="47913F84"/>
    <w:rsid w:val="4794766B"/>
    <w:rsid w:val="47995D76"/>
    <w:rsid w:val="47A41835"/>
    <w:rsid w:val="47B539F8"/>
    <w:rsid w:val="47B561FC"/>
    <w:rsid w:val="47BC742D"/>
    <w:rsid w:val="47D03104"/>
    <w:rsid w:val="47D17402"/>
    <w:rsid w:val="47D31E1A"/>
    <w:rsid w:val="47E50C13"/>
    <w:rsid w:val="47F03C65"/>
    <w:rsid w:val="47FE1246"/>
    <w:rsid w:val="47FF47A6"/>
    <w:rsid w:val="47FF7ACF"/>
    <w:rsid w:val="48025B54"/>
    <w:rsid w:val="48126BFB"/>
    <w:rsid w:val="481A0D6E"/>
    <w:rsid w:val="481C4831"/>
    <w:rsid w:val="482D3E87"/>
    <w:rsid w:val="482E0627"/>
    <w:rsid w:val="483376F0"/>
    <w:rsid w:val="4839690B"/>
    <w:rsid w:val="48457423"/>
    <w:rsid w:val="484E1559"/>
    <w:rsid w:val="48547666"/>
    <w:rsid w:val="486A01C4"/>
    <w:rsid w:val="486D73A7"/>
    <w:rsid w:val="4870372C"/>
    <w:rsid w:val="48706FE9"/>
    <w:rsid w:val="48733613"/>
    <w:rsid w:val="487915CD"/>
    <w:rsid w:val="487A5FBF"/>
    <w:rsid w:val="48877A3B"/>
    <w:rsid w:val="4891729E"/>
    <w:rsid w:val="48A203D1"/>
    <w:rsid w:val="48A3160F"/>
    <w:rsid w:val="48A81D7B"/>
    <w:rsid w:val="48AB646F"/>
    <w:rsid w:val="48AC7EE4"/>
    <w:rsid w:val="48AD2F65"/>
    <w:rsid w:val="48B10EA3"/>
    <w:rsid w:val="48B14AB8"/>
    <w:rsid w:val="48D32C81"/>
    <w:rsid w:val="48D401F2"/>
    <w:rsid w:val="48D45671"/>
    <w:rsid w:val="48DA7B6B"/>
    <w:rsid w:val="48DC2E9C"/>
    <w:rsid w:val="48E11319"/>
    <w:rsid w:val="48E1714C"/>
    <w:rsid w:val="48EC2196"/>
    <w:rsid w:val="48EE1869"/>
    <w:rsid w:val="490B5AC9"/>
    <w:rsid w:val="490D24E3"/>
    <w:rsid w:val="49150D4D"/>
    <w:rsid w:val="4917527A"/>
    <w:rsid w:val="49177011"/>
    <w:rsid w:val="491C4A3A"/>
    <w:rsid w:val="49267264"/>
    <w:rsid w:val="4929464F"/>
    <w:rsid w:val="49330467"/>
    <w:rsid w:val="49392ED4"/>
    <w:rsid w:val="49465201"/>
    <w:rsid w:val="494B015F"/>
    <w:rsid w:val="495311D0"/>
    <w:rsid w:val="495C7E9F"/>
    <w:rsid w:val="495F2265"/>
    <w:rsid w:val="496248E4"/>
    <w:rsid w:val="49640F81"/>
    <w:rsid w:val="49641B2B"/>
    <w:rsid w:val="497429FD"/>
    <w:rsid w:val="4975611F"/>
    <w:rsid w:val="497D0E91"/>
    <w:rsid w:val="497D3841"/>
    <w:rsid w:val="49804BB7"/>
    <w:rsid w:val="49830402"/>
    <w:rsid w:val="49853811"/>
    <w:rsid w:val="49944745"/>
    <w:rsid w:val="499D5244"/>
    <w:rsid w:val="49A14B2D"/>
    <w:rsid w:val="49A71D6A"/>
    <w:rsid w:val="49A9277F"/>
    <w:rsid w:val="49AD34D2"/>
    <w:rsid w:val="49B70AE7"/>
    <w:rsid w:val="49C0559C"/>
    <w:rsid w:val="49CC6D07"/>
    <w:rsid w:val="49DD16B4"/>
    <w:rsid w:val="49E86BFF"/>
    <w:rsid w:val="49EF0103"/>
    <w:rsid w:val="49F556AA"/>
    <w:rsid w:val="49F7299F"/>
    <w:rsid w:val="49F82526"/>
    <w:rsid w:val="49FC7D82"/>
    <w:rsid w:val="4A0672F0"/>
    <w:rsid w:val="4A177E00"/>
    <w:rsid w:val="4A183041"/>
    <w:rsid w:val="4A2757D9"/>
    <w:rsid w:val="4A2F7FA1"/>
    <w:rsid w:val="4A3C45A2"/>
    <w:rsid w:val="4A4C2DF6"/>
    <w:rsid w:val="4A4D66AD"/>
    <w:rsid w:val="4A4E1A42"/>
    <w:rsid w:val="4A54394D"/>
    <w:rsid w:val="4A5751EC"/>
    <w:rsid w:val="4A686E5C"/>
    <w:rsid w:val="4A73281B"/>
    <w:rsid w:val="4A7B0214"/>
    <w:rsid w:val="4A8232F8"/>
    <w:rsid w:val="4A8978D5"/>
    <w:rsid w:val="4A8A7297"/>
    <w:rsid w:val="4A9D70A2"/>
    <w:rsid w:val="4A9E2E1A"/>
    <w:rsid w:val="4A9F72BE"/>
    <w:rsid w:val="4AA0473E"/>
    <w:rsid w:val="4AAB1709"/>
    <w:rsid w:val="4AB42F2E"/>
    <w:rsid w:val="4AB81D66"/>
    <w:rsid w:val="4AC960E9"/>
    <w:rsid w:val="4ACE0F58"/>
    <w:rsid w:val="4AD0473A"/>
    <w:rsid w:val="4AD827D0"/>
    <w:rsid w:val="4ADB489F"/>
    <w:rsid w:val="4AE4089B"/>
    <w:rsid w:val="4AEB0761"/>
    <w:rsid w:val="4AEB67B5"/>
    <w:rsid w:val="4AF83561"/>
    <w:rsid w:val="4B014602"/>
    <w:rsid w:val="4B091BE9"/>
    <w:rsid w:val="4B0C08A9"/>
    <w:rsid w:val="4B170718"/>
    <w:rsid w:val="4B271062"/>
    <w:rsid w:val="4B2F525E"/>
    <w:rsid w:val="4B4331EE"/>
    <w:rsid w:val="4B453A87"/>
    <w:rsid w:val="4B4B40A0"/>
    <w:rsid w:val="4B5E7348"/>
    <w:rsid w:val="4B62409E"/>
    <w:rsid w:val="4B647BC0"/>
    <w:rsid w:val="4B6B5536"/>
    <w:rsid w:val="4B6E7D0E"/>
    <w:rsid w:val="4B726370"/>
    <w:rsid w:val="4B7C7FD7"/>
    <w:rsid w:val="4B8E17E3"/>
    <w:rsid w:val="4B92201F"/>
    <w:rsid w:val="4B944949"/>
    <w:rsid w:val="4B965AFB"/>
    <w:rsid w:val="4B983D0E"/>
    <w:rsid w:val="4BA21256"/>
    <w:rsid w:val="4BA44460"/>
    <w:rsid w:val="4BA73B2D"/>
    <w:rsid w:val="4BAF3793"/>
    <w:rsid w:val="4BC708DB"/>
    <w:rsid w:val="4BCB2B40"/>
    <w:rsid w:val="4BD420BA"/>
    <w:rsid w:val="4BD50ABE"/>
    <w:rsid w:val="4BD55986"/>
    <w:rsid w:val="4BE444B1"/>
    <w:rsid w:val="4BEB0B10"/>
    <w:rsid w:val="4BEC220B"/>
    <w:rsid w:val="4BED6871"/>
    <w:rsid w:val="4BF26252"/>
    <w:rsid w:val="4BFF085B"/>
    <w:rsid w:val="4C0257C9"/>
    <w:rsid w:val="4C030A03"/>
    <w:rsid w:val="4C1A0327"/>
    <w:rsid w:val="4C1C7F7F"/>
    <w:rsid w:val="4C1D67BF"/>
    <w:rsid w:val="4C30384B"/>
    <w:rsid w:val="4C3110A0"/>
    <w:rsid w:val="4C3D0708"/>
    <w:rsid w:val="4C3E2B07"/>
    <w:rsid w:val="4C416852"/>
    <w:rsid w:val="4C41780A"/>
    <w:rsid w:val="4C4311BD"/>
    <w:rsid w:val="4C431ECB"/>
    <w:rsid w:val="4C4853ED"/>
    <w:rsid w:val="4C4E73AE"/>
    <w:rsid w:val="4C5136C3"/>
    <w:rsid w:val="4C5639AD"/>
    <w:rsid w:val="4C5A177E"/>
    <w:rsid w:val="4C6B2BC3"/>
    <w:rsid w:val="4C6C25AF"/>
    <w:rsid w:val="4C7A0825"/>
    <w:rsid w:val="4C7B3413"/>
    <w:rsid w:val="4C7D6D29"/>
    <w:rsid w:val="4C830758"/>
    <w:rsid w:val="4CA80FE3"/>
    <w:rsid w:val="4CAA2533"/>
    <w:rsid w:val="4CAB10A5"/>
    <w:rsid w:val="4CAD36A4"/>
    <w:rsid w:val="4CB15087"/>
    <w:rsid w:val="4CB45ADD"/>
    <w:rsid w:val="4CB85315"/>
    <w:rsid w:val="4CB92DA0"/>
    <w:rsid w:val="4CBD44DF"/>
    <w:rsid w:val="4CBE340E"/>
    <w:rsid w:val="4CC4300C"/>
    <w:rsid w:val="4CC529A6"/>
    <w:rsid w:val="4CC530DC"/>
    <w:rsid w:val="4CC56D84"/>
    <w:rsid w:val="4CC90623"/>
    <w:rsid w:val="4CD06B29"/>
    <w:rsid w:val="4CD13823"/>
    <w:rsid w:val="4CD15729"/>
    <w:rsid w:val="4CD158EF"/>
    <w:rsid w:val="4CD40C43"/>
    <w:rsid w:val="4CD40D75"/>
    <w:rsid w:val="4CD82AC5"/>
    <w:rsid w:val="4CE454A7"/>
    <w:rsid w:val="4CE52F83"/>
    <w:rsid w:val="4CF03E01"/>
    <w:rsid w:val="4CF66F3E"/>
    <w:rsid w:val="4D0B7698"/>
    <w:rsid w:val="4D0F0ADB"/>
    <w:rsid w:val="4D167536"/>
    <w:rsid w:val="4D1675E0"/>
    <w:rsid w:val="4D334DE6"/>
    <w:rsid w:val="4D4203D5"/>
    <w:rsid w:val="4D4506BB"/>
    <w:rsid w:val="4D5123C6"/>
    <w:rsid w:val="4D53613E"/>
    <w:rsid w:val="4D56574B"/>
    <w:rsid w:val="4D5D6FBD"/>
    <w:rsid w:val="4D685BC0"/>
    <w:rsid w:val="4D733541"/>
    <w:rsid w:val="4D765142"/>
    <w:rsid w:val="4D79432B"/>
    <w:rsid w:val="4D7A1D09"/>
    <w:rsid w:val="4D884127"/>
    <w:rsid w:val="4D8D1626"/>
    <w:rsid w:val="4D9A047B"/>
    <w:rsid w:val="4DA27ED9"/>
    <w:rsid w:val="4DA51919"/>
    <w:rsid w:val="4DB40AD6"/>
    <w:rsid w:val="4DB473A2"/>
    <w:rsid w:val="4DBF5B14"/>
    <w:rsid w:val="4DD03C33"/>
    <w:rsid w:val="4DDA4FCD"/>
    <w:rsid w:val="4DDB412D"/>
    <w:rsid w:val="4DE4553F"/>
    <w:rsid w:val="4DE51DE7"/>
    <w:rsid w:val="4DEE5E67"/>
    <w:rsid w:val="4DFD42E5"/>
    <w:rsid w:val="4DFE04BC"/>
    <w:rsid w:val="4DFF2B55"/>
    <w:rsid w:val="4E257ADB"/>
    <w:rsid w:val="4E261534"/>
    <w:rsid w:val="4E305F47"/>
    <w:rsid w:val="4E347D1E"/>
    <w:rsid w:val="4E42380A"/>
    <w:rsid w:val="4E451F2B"/>
    <w:rsid w:val="4E461952"/>
    <w:rsid w:val="4E51609D"/>
    <w:rsid w:val="4E6D5A2A"/>
    <w:rsid w:val="4E704779"/>
    <w:rsid w:val="4E7C6663"/>
    <w:rsid w:val="4E7C68BA"/>
    <w:rsid w:val="4E80054A"/>
    <w:rsid w:val="4E822D51"/>
    <w:rsid w:val="4E857BB1"/>
    <w:rsid w:val="4E8736CF"/>
    <w:rsid w:val="4E8973B8"/>
    <w:rsid w:val="4E8B7C40"/>
    <w:rsid w:val="4E9863BE"/>
    <w:rsid w:val="4E9E2CBC"/>
    <w:rsid w:val="4EA9744B"/>
    <w:rsid w:val="4EB66F0E"/>
    <w:rsid w:val="4EBF0F49"/>
    <w:rsid w:val="4EBF265D"/>
    <w:rsid w:val="4EC322E0"/>
    <w:rsid w:val="4ECC4BE9"/>
    <w:rsid w:val="4ECE4251"/>
    <w:rsid w:val="4ED84B4D"/>
    <w:rsid w:val="4EDA4744"/>
    <w:rsid w:val="4EDC28A5"/>
    <w:rsid w:val="4EE37819"/>
    <w:rsid w:val="4EF36342"/>
    <w:rsid w:val="4EF502B0"/>
    <w:rsid w:val="4EF87398"/>
    <w:rsid w:val="4F0A7978"/>
    <w:rsid w:val="4F1D1EB9"/>
    <w:rsid w:val="4F253B0A"/>
    <w:rsid w:val="4F264A9E"/>
    <w:rsid w:val="4F283735"/>
    <w:rsid w:val="4F2A2ECF"/>
    <w:rsid w:val="4F350314"/>
    <w:rsid w:val="4F360885"/>
    <w:rsid w:val="4F3B332E"/>
    <w:rsid w:val="4F473A81"/>
    <w:rsid w:val="4F4C254A"/>
    <w:rsid w:val="4F585C8E"/>
    <w:rsid w:val="4F604F02"/>
    <w:rsid w:val="4F6173D5"/>
    <w:rsid w:val="4F617DF4"/>
    <w:rsid w:val="4F643FC9"/>
    <w:rsid w:val="4F754113"/>
    <w:rsid w:val="4F8627FB"/>
    <w:rsid w:val="4F876969"/>
    <w:rsid w:val="4F897533"/>
    <w:rsid w:val="4F941B63"/>
    <w:rsid w:val="4F950C90"/>
    <w:rsid w:val="4F9D7B44"/>
    <w:rsid w:val="4FAA1873"/>
    <w:rsid w:val="4FAB400F"/>
    <w:rsid w:val="4FB31116"/>
    <w:rsid w:val="4FB50494"/>
    <w:rsid w:val="4FB723C7"/>
    <w:rsid w:val="4FB9067A"/>
    <w:rsid w:val="4FC44CF0"/>
    <w:rsid w:val="4FC450D1"/>
    <w:rsid w:val="4FC92959"/>
    <w:rsid w:val="4FCA19AC"/>
    <w:rsid w:val="4FCE7CFE"/>
    <w:rsid w:val="4FD277EE"/>
    <w:rsid w:val="4FD97F78"/>
    <w:rsid w:val="4FE13ED5"/>
    <w:rsid w:val="4FE74C1D"/>
    <w:rsid w:val="4FF3763E"/>
    <w:rsid w:val="4FFF6109"/>
    <w:rsid w:val="50111CA7"/>
    <w:rsid w:val="50120532"/>
    <w:rsid w:val="501A3058"/>
    <w:rsid w:val="501D3328"/>
    <w:rsid w:val="503009B9"/>
    <w:rsid w:val="503C55AF"/>
    <w:rsid w:val="5041708E"/>
    <w:rsid w:val="50460266"/>
    <w:rsid w:val="504B134F"/>
    <w:rsid w:val="5052092F"/>
    <w:rsid w:val="50566663"/>
    <w:rsid w:val="5057564F"/>
    <w:rsid w:val="50575F45"/>
    <w:rsid w:val="507238BC"/>
    <w:rsid w:val="50724B2D"/>
    <w:rsid w:val="50781238"/>
    <w:rsid w:val="507E34D2"/>
    <w:rsid w:val="507F05B9"/>
    <w:rsid w:val="50A26ECD"/>
    <w:rsid w:val="50AD025B"/>
    <w:rsid w:val="50C272B7"/>
    <w:rsid w:val="50C870E4"/>
    <w:rsid w:val="50CD3420"/>
    <w:rsid w:val="50CE0AE8"/>
    <w:rsid w:val="50D13EE2"/>
    <w:rsid w:val="50E0209D"/>
    <w:rsid w:val="50E121DF"/>
    <w:rsid w:val="50E12B38"/>
    <w:rsid w:val="50E61077"/>
    <w:rsid w:val="50E64CD7"/>
    <w:rsid w:val="50FC4267"/>
    <w:rsid w:val="50FE0BF7"/>
    <w:rsid w:val="51087240"/>
    <w:rsid w:val="510944BE"/>
    <w:rsid w:val="511A4586"/>
    <w:rsid w:val="511C0C39"/>
    <w:rsid w:val="511E4CB5"/>
    <w:rsid w:val="51224383"/>
    <w:rsid w:val="512C7886"/>
    <w:rsid w:val="51353B0C"/>
    <w:rsid w:val="51377E8F"/>
    <w:rsid w:val="51403F9D"/>
    <w:rsid w:val="51435D17"/>
    <w:rsid w:val="515C1BCD"/>
    <w:rsid w:val="5167665C"/>
    <w:rsid w:val="51727E5A"/>
    <w:rsid w:val="517726CF"/>
    <w:rsid w:val="51791EEB"/>
    <w:rsid w:val="518065D0"/>
    <w:rsid w:val="5183729A"/>
    <w:rsid w:val="518E3BE9"/>
    <w:rsid w:val="518F32B1"/>
    <w:rsid w:val="51947860"/>
    <w:rsid w:val="51A4096F"/>
    <w:rsid w:val="51AD403D"/>
    <w:rsid w:val="51B33440"/>
    <w:rsid w:val="51B568D7"/>
    <w:rsid w:val="51C04FDC"/>
    <w:rsid w:val="51C07B1A"/>
    <w:rsid w:val="51C508D6"/>
    <w:rsid w:val="51C70EA9"/>
    <w:rsid w:val="51CE2237"/>
    <w:rsid w:val="51CF0D6F"/>
    <w:rsid w:val="51D444EF"/>
    <w:rsid w:val="51D82B9E"/>
    <w:rsid w:val="51E51DC0"/>
    <w:rsid w:val="51EB5A3A"/>
    <w:rsid w:val="51F95F71"/>
    <w:rsid w:val="51FC4FF6"/>
    <w:rsid w:val="52010FF8"/>
    <w:rsid w:val="520F62E8"/>
    <w:rsid w:val="522709D9"/>
    <w:rsid w:val="523302EC"/>
    <w:rsid w:val="5238024C"/>
    <w:rsid w:val="52397FF8"/>
    <w:rsid w:val="523F4EE3"/>
    <w:rsid w:val="524A7C10"/>
    <w:rsid w:val="525460FA"/>
    <w:rsid w:val="525941F7"/>
    <w:rsid w:val="525D48FE"/>
    <w:rsid w:val="525E180D"/>
    <w:rsid w:val="52636946"/>
    <w:rsid w:val="52636C5E"/>
    <w:rsid w:val="526B7884"/>
    <w:rsid w:val="52721801"/>
    <w:rsid w:val="5279028E"/>
    <w:rsid w:val="527C3AC8"/>
    <w:rsid w:val="527C4E51"/>
    <w:rsid w:val="5288676B"/>
    <w:rsid w:val="528C556A"/>
    <w:rsid w:val="52934D6E"/>
    <w:rsid w:val="52992845"/>
    <w:rsid w:val="529C097A"/>
    <w:rsid w:val="529E39BE"/>
    <w:rsid w:val="52A0739C"/>
    <w:rsid w:val="52A33847"/>
    <w:rsid w:val="52A770BC"/>
    <w:rsid w:val="52A81072"/>
    <w:rsid w:val="52AE27D8"/>
    <w:rsid w:val="52BB227F"/>
    <w:rsid w:val="52D12F56"/>
    <w:rsid w:val="52E00474"/>
    <w:rsid w:val="52E0177D"/>
    <w:rsid w:val="52E066C6"/>
    <w:rsid w:val="52E10C3F"/>
    <w:rsid w:val="52E15F9A"/>
    <w:rsid w:val="52EC13EF"/>
    <w:rsid w:val="52EF4B5B"/>
    <w:rsid w:val="52F0469B"/>
    <w:rsid w:val="52FC23C3"/>
    <w:rsid w:val="530E53AA"/>
    <w:rsid w:val="53101755"/>
    <w:rsid w:val="531D3476"/>
    <w:rsid w:val="531F5F92"/>
    <w:rsid w:val="5322283B"/>
    <w:rsid w:val="532B759A"/>
    <w:rsid w:val="532C34ED"/>
    <w:rsid w:val="53343461"/>
    <w:rsid w:val="53396F57"/>
    <w:rsid w:val="533E2E91"/>
    <w:rsid w:val="534E5E02"/>
    <w:rsid w:val="535111B8"/>
    <w:rsid w:val="5356216A"/>
    <w:rsid w:val="535C46FF"/>
    <w:rsid w:val="535E7E85"/>
    <w:rsid w:val="535F3A8F"/>
    <w:rsid w:val="53630DE7"/>
    <w:rsid w:val="53636ADC"/>
    <w:rsid w:val="53715789"/>
    <w:rsid w:val="53744E58"/>
    <w:rsid w:val="537C565A"/>
    <w:rsid w:val="537E1A3B"/>
    <w:rsid w:val="538169BF"/>
    <w:rsid w:val="53874D93"/>
    <w:rsid w:val="538F3B04"/>
    <w:rsid w:val="539540E2"/>
    <w:rsid w:val="53B34CEC"/>
    <w:rsid w:val="53B60741"/>
    <w:rsid w:val="53B8436A"/>
    <w:rsid w:val="53C70F50"/>
    <w:rsid w:val="53CB3584"/>
    <w:rsid w:val="53CC3743"/>
    <w:rsid w:val="53D02297"/>
    <w:rsid w:val="53D3383D"/>
    <w:rsid w:val="53D679F6"/>
    <w:rsid w:val="53D80778"/>
    <w:rsid w:val="53D83941"/>
    <w:rsid w:val="53DF7782"/>
    <w:rsid w:val="53E15A55"/>
    <w:rsid w:val="53E36977"/>
    <w:rsid w:val="53E45F00"/>
    <w:rsid w:val="53E73ECC"/>
    <w:rsid w:val="53EA0337"/>
    <w:rsid w:val="53EC2E48"/>
    <w:rsid w:val="53ED4B99"/>
    <w:rsid w:val="53F1045F"/>
    <w:rsid w:val="53F12DDC"/>
    <w:rsid w:val="53F26499"/>
    <w:rsid w:val="5401194C"/>
    <w:rsid w:val="54077C82"/>
    <w:rsid w:val="540F13E5"/>
    <w:rsid w:val="5415239F"/>
    <w:rsid w:val="541A54FC"/>
    <w:rsid w:val="541D4FF5"/>
    <w:rsid w:val="5422686A"/>
    <w:rsid w:val="542B399F"/>
    <w:rsid w:val="542D43D2"/>
    <w:rsid w:val="543A5532"/>
    <w:rsid w:val="543B00DA"/>
    <w:rsid w:val="5445529D"/>
    <w:rsid w:val="544669FD"/>
    <w:rsid w:val="544D6654"/>
    <w:rsid w:val="544E7B7F"/>
    <w:rsid w:val="54582195"/>
    <w:rsid w:val="545C4D54"/>
    <w:rsid w:val="545E3D46"/>
    <w:rsid w:val="5463310B"/>
    <w:rsid w:val="5471428B"/>
    <w:rsid w:val="54757241"/>
    <w:rsid w:val="548728E1"/>
    <w:rsid w:val="54877D10"/>
    <w:rsid w:val="5488491F"/>
    <w:rsid w:val="549239F0"/>
    <w:rsid w:val="54977258"/>
    <w:rsid w:val="549C42C0"/>
    <w:rsid w:val="54AC059B"/>
    <w:rsid w:val="54AE2BCD"/>
    <w:rsid w:val="54B93170"/>
    <w:rsid w:val="54C105F2"/>
    <w:rsid w:val="54C25A89"/>
    <w:rsid w:val="54C54B0F"/>
    <w:rsid w:val="54C60350"/>
    <w:rsid w:val="54C92146"/>
    <w:rsid w:val="54CE5891"/>
    <w:rsid w:val="54D03C05"/>
    <w:rsid w:val="54D30F35"/>
    <w:rsid w:val="54D81FC4"/>
    <w:rsid w:val="54DE6994"/>
    <w:rsid w:val="54FA14BB"/>
    <w:rsid w:val="54FB7893"/>
    <w:rsid w:val="550A0FB6"/>
    <w:rsid w:val="550D0927"/>
    <w:rsid w:val="55102B67"/>
    <w:rsid w:val="55194266"/>
    <w:rsid w:val="5519443A"/>
    <w:rsid w:val="551D59AF"/>
    <w:rsid w:val="55215DAD"/>
    <w:rsid w:val="552E5B9D"/>
    <w:rsid w:val="55397BB2"/>
    <w:rsid w:val="5540169E"/>
    <w:rsid w:val="5545537D"/>
    <w:rsid w:val="554631CA"/>
    <w:rsid w:val="55481AEF"/>
    <w:rsid w:val="554F5AC3"/>
    <w:rsid w:val="55515248"/>
    <w:rsid w:val="55530662"/>
    <w:rsid w:val="55580343"/>
    <w:rsid w:val="55611F96"/>
    <w:rsid w:val="556D2B8E"/>
    <w:rsid w:val="557821EF"/>
    <w:rsid w:val="557E7A31"/>
    <w:rsid w:val="558C5600"/>
    <w:rsid w:val="55911EE5"/>
    <w:rsid w:val="55992B5C"/>
    <w:rsid w:val="55A859D5"/>
    <w:rsid w:val="55AB172B"/>
    <w:rsid w:val="55B65F1B"/>
    <w:rsid w:val="55B711B8"/>
    <w:rsid w:val="55CB540B"/>
    <w:rsid w:val="55E53FF3"/>
    <w:rsid w:val="55EA7390"/>
    <w:rsid w:val="55EE6833"/>
    <w:rsid w:val="55F23A4E"/>
    <w:rsid w:val="55F27236"/>
    <w:rsid w:val="55FE2B30"/>
    <w:rsid w:val="56017D45"/>
    <w:rsid w:val="56104171"/>
    <w:rsid w:val="56113413"/>
    <w:rsid w:val="56170651"/>
    <w:rsid w:val="561B65ED"/>
    <w:rsid w:val="562254D1"/>
    <w:rsid w:val="56242E47"/>
    <w:rsid w:val="56374E3C"/>
    <w:rsid w:val="56382375"/>
    <w:rsid w:val="563D5082"/>
    <w:rsid w:val="563D7A25"/>
    <w:rsid w:val="564B618A"/>
    <w:rsid w:val="565076BF"/>
    <w:rsid w:val="565F3AEE"/>
    <w:rsid w:val="566A1B48"/>
    <w:rsid w:val="56703D98"/>
    <w:rsid w:val="56721DFF"/>
    <w:rsid w:val="56723AD9"/>
    <w:rsid w:val="567678B1"/>
    <w:rsid w:val="567A1C4B"/>
    <w:rsid w:val="567C1E86"/>
    <w:rsid w:val="568023E8"/>
    <w:rsid w:val="568061B2"/>
    <w:rsid w:val="56847368"/>
    <w:rsid w:val="56A25A40"/>
    <w:rsid w:val="56AC641E"/>
    <w:rsid w:val="56BB621B"/>
    <w:rsid w:val="56C02A96"/>
    <w:rsid w:val="56C935F2"/>
    <w:rsid w:val="56CF2CD9"/>
    <w:rsid w:val="56D23B8E"/>
    <w:rsid w:val="56D46542"/>
    <w:rsid w:val="56D94161"/>
    <w:rsid w:val="56E40947"/>
    <w:rsid w:val="56E444EA"/>
    <w:rsid w:val="56E90F5B"/>
    <w:rsid w:val="56EA5B24"/>
    <w:rsid w:val="56EB5639"/>
    <w:rsid w:val="56FB3E40"/>
    <w:rsid w:val="56FF2E93"/>
    <w:rsid w:val="570370FB"/>
    <w:rsid w:val="5728107F"/>
    <w:rsid w:val="57283DE2"/>
    <w:rsid w:val="57325BD1"/>
    <w:rsid w:val="57381315"/>
    <w:rsid w:val="573850AB"/>
    <w:rsid w:val="57427A7D"/>
    <w:rsid w:val="574B719F"/>
    <w:rsid w:val="574E430C"/>
    <w:rsid w:val="57501418"/>
    <w:rsid w:val="575E0B3E"/>
    <w:rsid w:val="575F7626"/>
    <w:rsid w:val="5760609E"/>
    <w:rsid w:val="57676760"/>
    <w:rsid w:val="576D6B9F"/>
    <w:rsid w:val="57753916"/>
    <w:rsid w:val="577D3C16"/>
    <w:rsid w:val="57893FD3"/>
    <w:rsid w:val="57A72CEB"/>
    <w:rsid w:val="57A9500D"/>
    <w:rsid w:val="57BA5F6E"/>
    <w:rsid w:val="57C41BF1"/>
    <w:rsid w:val="57D92987"/>
    <w:rsid w:val="57E702E3"/>
    <w:rsid w:val="57EA61E7"/>
    <w:rsid w:val="57EB14D8"/>
    <w:rsid w:val="57F3194B"/>
    <w:rsid w:val="57FA1ED8"/>
    <w:rsid w:val="57FF7B58"/>
    <w:rsid w:val="58007CE8"/>
    <w:rsid w:val="58021B1E"/>
    <w:rsid w:val="58065C52"/>
    <w:rsid w:val="580807E9"/>
    <w:rsid w:val="580D4F2C"/>
    <w:rsid w:val="58121D1E"/>
    <w:rsid w:val="58156E12"/>
    <w:rsid w:val="5822260D"/>
    <w:rsid w:val="58240E03"/>
    <w:rsid w:val="582826FF"/>
    <w:rsid w:val="583239BD"/>
    <w:rsid w:val="58496ABB"/>
    <w:rsid w:val="584C5337"/>
    <w:rsid w:val="58512ABF"/>
    <w:rsid w:val="5855720E"/>
    <w:rsid w:val="58581F87"/>
    <w:rsid w:val="585B3040"/>
    <w:rsid w:val="585C2AA4"/>
    <w:rsid w:val="58605D89"/>
    <w:rsid w:val="586D1AA5"/>
    <w:rsid w:val="58767A29"/>
    <w:rsid w:val="588372E2"/>
    <w:rsid w:val="588B0E82"/>
    <w:rsid w:val="588E6F35"/>
    <w:rsid w:val="58900F85"/>
    <w:rsid w:val="58A2671C"/>
    <w:rsid w:val="58C54B3A"/>
    <w:rsid w:val="58C6296A"/>
    <w:rsid w:val="58C80AA5"/>
    <w:rsid w:val="58C85AAA"/>
    <w:rsid w:val="58CA6D68"/>
    <w:rsid w:val="58D345D7"/>
    <w:rsid w:val="58DC7930"/>
    <w:rsid w:val="58E46FE2"/>
    <w:rsid w:val="58FB73D6"/>
    <w:rsid w:val="59037276"/>
    <w:rsid w:val="59060509"/>
    <w:rsid w:val="5908028B"/>
    <w:rsid w:val="59162E41"/>
    <w:rsid w:val="5919648E"/>
    <w:rsid w:val="591A3FB4"/>
    <w:rsid w:val="591E3AA4"/>
    <w:rsid w:val="592410DE"/>
    <w:rsid w:val="592757E6"/>
    <w:rsid w:val="59277889"/>
    <w:rsid w:val="59323A1D"/>
    <w:rsid w:val="593B4656"/>
    <w:rsid w:val="59420F2C"/>
    <w:rsid w:val="5945546E"/>
    <w:rsid w:val="595E6596"/>
    <w:rsid w:val="597D6C7A"/>
    <w:rsid w:val="59802E2A"/>
    <w:rsid w:val="5987789B"/>
    <w:rsid w:val="598C18D4"/>
    <w:rsid w:val="599214F1"/>
    <w:rsid w:val="59934492"/>
    <w:rsid w:val="59966AB3"/>
    <w:rsid w:val="599975CF"/>
    <w:rsid w:val="599D35D1"/>
    <w:rsid w:val="59A71012"/>
    <w:rsid w:val="59B554E0"/>
    <w:rsid w:val="59BA090B"/>
    <w:rsid w:val="59C31E69"/>
    <w:rsid w:val="59CF5F93"/>
    <w:rsid w:val="59E33E5E"/>
    <w:rsid w:val="59F1740B"/>
    <w:rsid w:val="59FE5684"/>
    <w:rsid w:val="5A071691"/>
    <w:rsid w:val="5A0A4028"/>
    <w:rsid w:val="5A0C1B4F"/>
    <w:rsid w:val="5A0C3278"/>
    <w:rsid w:val="5A0F630E"/>
    <w:rsid w:val="5A112575"/>
    <w:rsid w:val="5A146C55"/>
    <w:rsid w:val="5A167183"/>
    <w:rsid w:val="5A180727"/>
    <w:rsid w:val="5A183D80"/>
    <w:rsid w:val="5A3559FC"/>
    <w:rsid w:val="5A4822F3"/>
    <w:rsid w:val="5A513A05"/>
    <w:rsid w:val="5A550003"/>
    <w:rsid w:val="5A593F8E"/>
    <w:rsid w:val="5A5F4D8F"/>
    <w:rsid w:val="5A600BB1"/>
    <w:rsid w:val="5A7900F8"/>
    <w:rsid w:val="5A7D67D0"/>
    <w:rsid w:val="5A8368CC"/>
    <w:rsid w:val="5A8D0537"/>
    <w:rsid w:val="5AA1673B"/>
    <w:rsid w:val="5AA77AC9"/>
    <w:rsid w:val="5AAC50E0"/>
    <w:rsid w:val="5AB050D0"/>
    <w:rsid w:val="5AB3261F"/>
    <w:rsid w:val="5AC07302"/>
    <w:rsid w:val="5ACD39D4"/>
    <w:rsid w:val="5ACF3815"/>
    <w:rsid w:val="5ADF4E33"/>
    <w:rsid w:val="5AE17D98"/>
    <w:rsid w:val="5AE9631C"/>
    <w:rsid w:val="5AEB36A2"/>
    <w:rsid w:val="5AF55530"/>
    <w:rsid w:val="5AF6414E"/>
    <w:rsid w:val="5AFD79C5"/>
    <w:rsid w:val="5B0A0E97"/>
    <w:rsid w:val="5B0E7493"/>
    <w:rsid w:val="5B0E7B48"/>
    <w:rsid w:val="5B0F38FE"/>
    <w:rsid w:val="5B135E10"/>
    <w:rsid w:val="5B3568C8"/>
    <w:rsid w:val="5B394BC5"/>
    <w:rsid w:val="5B3F4ABF"/>
    <w:rsid w:val="5B47514A"/>
    <w:rsid w:val="5B4F08ED"/>
    <w:rsid w:val="5B5279BC"/>
    <w:rsid w:val="5B57329D"/>
    <w:rsid w:val="5B5E13E4"/>
    <w:rsid w:val="5B635D44"/>
    <w:rsid w:val="5B687259"/>
    <w:rsid w:val="5B6E3935"/>
    <w:rsid w:val="5B7377AF"/>
    <w:rsid w:val="5B80190E"/>
    <w:rsid w:val="5B813700"/>
    <w:rsid w:val="5B815DAE"/>
    <w:rsid w:val="5B8656A4"/>
    <w:rsid w:val="5B897F19"/>
    <w:rsid w:val="5B9242D5"/>
    <w:rsid w:val="5B934465"/>
    <w:rsid w:val="5B967115"/>
    <w:rsid w:val="5BA30291"/>
    <w:rsid w:val="5BA32E9A"/>
    <w:rsid w:val="5BB0328C"/>
    <w:rsid w:val="5BB95D06"/>
    <w:rsid w:val="5BBF489B"/>
    <w:rsid w:val="5BC36B85"/>
    <w:rsid w:val="5BC537B8"/>
    <w:rsid w:val="5BC65F82"/>
    <w:rsid w:val="5BD302EE"/>
    <w:rsid w:val="5BD52CFF"/>
    <w:rsid w:val="5BEA75B7"/>
    <w:rsid w:val="5BEB3DDA"/>
    <w:rsid w:val="5BF8123C"/>
    <w:rsid w:val="5BFB631F"/>
    <w:rsid w:val="5BFC7E82"/>
    <w:rsid w:val="5C0169D3"/>
    <w:rsid w:val="5C041EC8"/>
    <w:rsid w:val="5C050F4B"/>
    <w:rsid w:val="5C0A591D"/>
    <w:rsid w:val="5C133100"/>
    <w:rsid w:val="5C180F45"/>
    <w:rsid w:val="5C191AE4"/>
    <w:rsid w:val="5C1D44E7"/>
    <w:rsid w:val="5C1D6295"/>
    <w:rsid w:val="5C1E4C44"/>
    <w:rsid w:val="5C1F17B5"/>
    <w:rsid w:val="5C201DAC"/>
    <w:rsid w:val="5C25514A"/>
    <w:rsid w:val="5C313AEE"/>
    <w:rsid w:val="5C3D06E5"/>
    <w:rsid w:val="5C4171B1"/>
    <w:rsid w:val="5C535E38"/>
    <w:rsid w:val="5C5A1297"/>
    <w:rsid w:val="5C686F56"/>
    <w:rsid w:val="5C6954C9"/>
    <w:rsid w:val="5C735EB5"/>
    <w:rsid w:val="5C773441"/>
    <w:rsid w:val="5C78747D"/>
    <w:rsid w:val="5C7C597A"/>
    <w:rsid w:val="5C827A53"/>
    <w:rsid w:val="5C86208C"/>
    <w:rsid w:val="5C8C6F77"/>
    <w:rsid w:val="5C902F0B"/>
    <w:rsid w:val="5C910A31"/>
    <w:rsid w:val="5C982A9F"/>
    <w:rsid w:val="5CA22C3E"/>
    <w:rsid w:val="5CA95D7B"/>
    <w:rsid w:val="5CAF3CEB"/>
    <w:rsid w:val="5CB021FB"/>
    <w:rsid w:val="5CBB26D7"/>
    <w:rsid w:val="5CBE30B7"/>
    <w:rsid w:val="5CC201F9"/>
    <w:rsid w:val="5CC21644"/>
    <w:rsid w:val="5CCE77AB"/>
    <w:rsid w:val="5CCF4B1F"/>
    <w:rsid w:val="5CD0463C"/>
    <w:rsid w:val="5CD065EF"/>
    <w:rsid w:val="5CD06C88"/>
    <w:rsid w:val="5CD135D7"/>
    <w:rsid w:val="5CD1707F"/>
    <w:rsid w:val="5CD35C41"/>
    <w:rsid w:val="5CDB6FB7"/>
    <w:rsid w:val="5CE62B2B"/>
    <w:rsid w:val="5CED138C"/>
    <w:rsid w:val="5CF27722"/>
    <w:rsid w:val="5CF60894"/>
    <w:rsid w:val="5CFD2BCD"/>
    <w:rsid w:val="5D066D29"/>
    <w:rsid w:val="5D101FB3"/>
    <w:rsid w:val="5D144D82"/>
    <w:rsid w:val="5D1A27D4"/>
    <w:rsid w:val="5D1E097A"/>
    <w:rsid w:val="5D3B7AC8"/>
    <w:rsid w:val="5D40529D"/>
    <w:rsid w:val="5D5743EF"/>
    <w:rsid w:val="5D724F4B"/>
    <w:rsid w:val="5D771487"/>
    <w:rsid w:val="5D78615F"/>
    <w:rsid w:val="5D8440F2"/>
    <w:rsid w:val="5D8B0A43"/>
    <w:rsid w:val="5D8F6D1E"/>
    <w:rsid w:val="5D930B4F"/>
    <w:rsid w:val="5D941783"/>
    <w:rsid w:val="5DA16A52"/>
    <w:rsid w:val="5DA72450"/>
    <w:rsid w:val="5DA909EB"/>
    <w:rsid w:val="5DAF4105"/>
    <w:rsid w:val="5DB754EC"/>
    <w:rsid w:val="5DB76C12"/>
    <w:rsid w:val="5DBD6FCC"/>
    <w:rsid w:val="5DBF198F"/>
    <w:rsid w:val="5DC256AE"/>
    <w:rsid w:val="5DCD5A99"/>
    <w:rsid w:val="5DD02C46"/>
    <w:rsid w:val="5DD7698A"/>
    <w:rsid w:val="5DDD1290"/>
    <w:rsid w:val="5DF116C4"/>
    <w:rsid w:val="5DF27072"/>
    <w:rsid w:val="5DF52041"/>
    <w:rsid w:val="5DFB3CCC"/>
    <w:rsid w:val="5E0427DE"/>
    <w:rsid w:val="5E0541FA"/>
    <w:rsid w:val="5E0D0CAB"/>
    <w:rsid w:val="5E0E2296"/>
    <w:rsid w:val="5E11359C"/>
    <w:rsid w:val="5E254707"/>
    <w:rsid w:val="5E280F21"/>
    <w:rsid w:val="5E3478C6"/>
    <w:rsid w:val="5E3C457C"/>
    <w:rsid w:val="5E5865E2"/>
    <w:rsid w:val="5E5C65B5"/>
    <w:rsid w:val="5E6079DB"/>
    <w:rsid w:val="5E622841"/>
    <w:rsid w:val="5E85149C"/>
    <w:rsid w:val="5E930A90"/>
    <w:rsid w:val="5E98510F"/>
    <w:rsid w:val="5E9B617F"/>
    <w:rsid w:val="5EB81B0B"/>
    <w:rsid w:val="5EBF695C"/>
    <w:rsid w:val="5EC56D7D"/>
    <w:rsid w:val="5EC7698C"/>
    <w:rsid w:val="5EDC2437"/>
    <w:rsid w:val="5EE54B74"/>
    <w:rsid w:val="5EEA61D6"/>
    <w:rsid w:val="5EF37781"/>
    <w:rsid w:val="5EF808F3"/>
    <w:rsid w:val="5EFD23AE"/>
    <w:rsid w:val="5F003CEC"/>
    <w:rsid w:val="5F082353"/>
    <w:rsid w:val="5F11742D"/>
    <w:rsid w:val="5F206C67"/>
    <w:rsid w:val="5F2331B8"/>
    <w:rsid w:val="5F236821"/>
    <w:rsid w:val="5F2D46F6"/>
    <w:rsid w:val="5F347912"/>
    <w:rsid w:val="5F3C7E90"/>
    <w:rsid w:val="5F3F29C6"/>
    <w:rsid w:val="5F434B23"/>
    <w:rsid w:val="5F5C59B5"/>
    <w:rsid w:val="5F5D793F"/>
    <w:rsid w:val="5F5F2ECF"/>
    <w:rsid w:val="5F6030FF"/>
    <w:rsid w:val="5F645E8C"/>
    <w:rsid w:val="5F717665"/>
    <w:rsid w:val="5F887F10"/>
    <w:rsid w:val="5F8D2332"/>
    <w:rsid w:val="5F8D66F8"/>
    <w:rsid w:val="5F8F6B6E"/>
    <w:rsid w:val="5F950838"/>
    <w:rsid w:val="5F951917"/>
    <w:rsid w:val="5F9525E6"/>
    <w:rsid w:val="5F9A3AD4"/>
    <w:rsid w:val="5FB276C6"/>
    <w:rsid w:val="5FB85A0D"/>
    <w:rsid w:val="5FB944F1"/>
    <w:rsid w:val="5FBA0613"/>
    <w:rsid w:val="5FBF25BC"/>
    <w:rsid w:val="5FC662F3"/>
    <w:rsid w:val="5FC94B84"/>
    <w:rsid w:val="5FD21144"/>
    <w:rsid w:val="5FD70E51"/>
    <w:rsid w:val="5FDE21DF"/>
    <w:rsid w:val="5FE372E9"/>
    <w:rsid w:val="5FE96211"/>
    <w:rsid w:val="5FEC3923"/>
    <w:rsid w:val="5FEE34BC"/>
    <w:rsid w:val="5FF13CC0"/>
    <w:rsid w:val="5FFA35A5"/>
    <w:rsid w:val="5FFD10FD"/>
    <w:rsid w:val="60042476"/>
    <w:rsid w:val="600B2AFE"/>
    <w:rsid w:val="6011515E"/>
    <w:rsid w:val="601E70C9"/>
    <w:rsid w:val="6025269A"/>
    <w:rsid w:val="60257BC7"/>
    <w:rsid w:val="60285208"/>
    <w:rsid w:val="602A7755"/>
    <w:rsid w:val="603040BD"/>
    <w:rsid w:val="603755E0"/>
    <w:rsid w:val="603D16F8"/>
    <w:rsid w:val="604F338F"/>
    <w:rsid w:val="60555962"/>
    <w:rsid w:val="605F3800"/>
    <w:rsid w:val="60607008"/>
    <w:rsid w:val="606D1AFE"/>
    <w:rsid w:val="606D70BF"/>
    <w:rsid w:val="60745226"/>
    <w:rsid w:val="60753F1D"/>
    <w:rsid w:val="608C5797"/>
    <w:rsid w:val="60904D15"/>
    <w:rsid w:val="60A34FEB"/>
    <w:rsid w:val="60AA3E6F"/>
    <w:rsid w:val="60B13450"/>
    <w:rsid w:val="60B44CEE"/>
    <w:rsid w:val="60B67A64"/>
    <w:rsid w:val="60BC3F5C"/>
    <w:rsid w:val="60BC7F17"/>
    <w:rsid w:val="60BD1993"/>
    <w:rsid w:val="60C03693"/>
    <w:rsid w:val="60CA03AA"/>
    <w:rsid w:val="60E94BB9"/>
    <w:rsid w:val="60FC469A"/>
    <w:rsid w:val="61031A81"/>
    <w:rsid w:val="61035B9E"/>
    <w:rsid w:val="61134EB3"/>
    <w:rsid w:val="61165BEF"/>
    <w:rsid w:val="61173D6D"/>
    <w:rsid w:val="6118527D"/>
    <w:rsid w:val="6121337C"/>
    <w:rsid w:val="61247BC4"/>
    <w:rsid w:val="61261F45"/>
    <w:rsid w:val="61263815"/>
    <w:rsid w:val="612B51A7"/>
    <w:rsid w:val="613C51A2"/>
    <w:rsid w:val="613E6B8C"/>
    <w:rsid w:val="614023CF"/>
    <w:rsid w:val="61482832"/>
    <w:rsid w:val="61572249"/>
    <w:rsid w:val="6165778E"/>
    <w:rsid w:val="616D2728"/>
    <w:rsid w:val="616E6BAE"/>
    <w:rsid w:val="617123CD"/>
    <w:rsid w:val="61775553"/>
    <w:rsid w:val="61790CD0"/>
    <w:rsid w:val="61872CA6"/>
    <w:rsid w:val="61970898"/>
    <w:rsid w:val="619D1B13"/>
    <w:rsid w:val="619E4E97"/>
    <w:rsid w:val="61A343E8"/>
    <w:rsid w:val="61A36DD3"/>
    <w:rsid w:val="61A66D2D"/>
    <w:rsid w:val="61B07526"/>
    <w:rsid w:val="61BA71C0"/>
    <w:rsid w:val="61D402D3"/>
    <w:rsid w:val="61D508E3"/>
    <w:rsid w:val="61D5207F"/>
    <w:rsid w:val="61D5316E"/>
    <w:rsid w:val="61DE5194"/>
    <w:rsid w:val="61DF3FED"/>
    <w:rsid w:val="61E11B13"/>
    <w:rsid w:val="62037DBF"/>
    <w:rsid w:val="620A7834"/>
    <w:rsid w:val="621056AC"/>
    <w:rsid w:val="621E5D0D"/>
    <w:rsid w:val="622D562E"/>
    <w:rsid w:val="623A4E21"/>
    <w:rsid w:val="623C143F"/>
    <w:rsid w:val="623D5A0E"/>
    <w:rsid w:val="624B5E58"/>
    <w:rsid w:val="625304A7"/>
    <w:rsid w:val="62534EC1"/>
    <w:rsid w:val="62602AAB"/>
    <w:rsid w:val="626418B5"/>
    <w:rsid w:val="62683B13"/>
    <w:rsid w:val="62706FA6"/>
    <w:rsid w:val="62720693"/>
    <w:rsid w:val="627604AD"/>
    <w:rsid w:val="62762B01"/>
    <w:rsid w:val="62766CD1"/>
    <w:rsid w:val="628255CF"/>
    <w:rsid w:val="62854B94"/>
    <w:rsid w:val="6287622A"/>
    <w:rsid w:val="628E1C9B"/>
    <w:rsid w:val="6294085A"/>
    <w:rsid w:val="629D0130"/>
    <w:rsid w:val="62A014DD"/>
    <w:rsid w:val="62AA1CF4"/>
    <w:rsid w:val="62BC797B"/>
    <w:rsid w:val="62CD38A9"/>
    <w:rsid w:val="62E573E1"/>
    <w:rsid w:val="630A7C5D"/>
    <w:rsid w:val="63123525"/>
    <w:rsid w:val="631A1780"/>
    <w:rsid w:val="63255FA5"/>
    <w:rsid w:val="633A772C"/>
    <w:rsid w:val="633E133E"/>
    <w:rsid w:val="63446047"/>
    <w:rsid w:val="634630EF"/>
    <w:rsid w:val="634B60F8"/>
    <w:rsid w:val="634C3904"/>
    <w:rsid w:val="63534DCA"/>
    <w:rsid w:val="635C2035"/>
    <w:rsid w:val="636825F6"/>
    <w:rsid w:val="636A7222"/>
    <w:rsid w:val="63730E90"/>
    <w:rsid w:val="63736598"/>
    <w:rsid w:val="63887EA5"/>
    <w:rsid w:val="638C4E16"/>
    <w:rsid w:val="639070D9"/>
    <w:rsid w:val="63917DA9"/>
    <w:rsid w:val="63BF40D6"/>
    <w:rsid w:val="63D5446C"/>
    <w:rsid w:val="63E15DFA"/>
    <w:rsid w:val="63E23618"/>
    <w:rsid w:val="63FD075A"/>
    <w:rsid w:val="64032214"/>
    <w:rsid w:val="64041AE8"/>
    <w:rsid w:val="640B1A39"/>
    <w:rsid w:val="640B6899"/>
    <w:rsid w:val="640E1FB3"/>
    <w:rsid w:val="640E5F43"/>
    <w:rsid w:val="64166272"/>
    <w:rsid w:val="64167A63"/>
    <w:rsid w:val="641A55BD"/>
    <w:rsid w:val="641C7E74"/>
    <w:rsid w:val="642F7E0A"/>
    <w:rsid w:val="643847A7"/>
    <w:rsid w:val="64395AAF"/>
    <w:rsid w:val="643B1AE6"/>
    <w:rsid w:val="64446389"/>
    <w:rsid w:val="644E3D19"/>
    <w:rsid w:val="644F161D"/>
    <w:rsid w:val="645F7591"/>
    <w:rsid w:val="646507D9"/>
    <w:rsid w:val="646B4B22"/>
    <w:rsid w:val="646B7DB9"/>
    <w:rsid w:val="646D768E"/>
    <w:rsid w:val="647F0DC5"/>
    <w:rsid w:val="64805649"/>
    <w:rsid w:val="64826190"/>
    <w:rsid w:val="648C2CCA"/>
    <w:rsid w:val="64A16BE4"/>
    <w:rsid w:val="64B40365"/>
    <w:rsid w:val="64B67287"/>
    <w:rsid w:val="64C56321"/>
    <w:rsid w:val="64C71494"/>
    <w:rsid w:val="64DC09A4"/>
    <w:rsid w:val="64DD2A65"/>
    <w:rsid w:val="64DF3565"/>
    <w:rsid w:val="64EA1595"/>
    <w:rsid w:val="64ED423B"/>
    <w:rsid w:val="64F175FE"/>
    <w:rsid w:val="64FB0C49"/>
    <w:rsid w:val="650759BB"/>
    <w:rsid w:val="650F4BE9"/>
    <w:rsid w:val="6511318B"/>
    <w:rsid w:val="651B1945"/>
    <w:rsid w:val="651B4B76"/>
    <w:rsid w:val="652F2522"/>
    <w:rsid w:val="6533256E"/>
    <w:rsid w:val="65361464"/>
    <w:rsid w:val="65366C3B"/>
    <w:rsid w:val="653F54CE"/>
    <w:rsid w:val="65404DA2"/>
    <w:rsid w:val="65427799"/>
    <w:rsid w:val="654D6290"/>
    <w:rsid w:val="654E5711"/>
    <w:rsid w:val="654E74BF"/>
    <w:rsid w:val="65590833"/>
    <w:rsid w:val="6561499A"/>
    <w:rsid w:val="656F7528"/>
    <w:rsid w:val="65722DBC"/>
    <w:rsid w:val="65785A6C"/>
    <w:rsid w:val="65927E4C"/>
    <w:rsid w:val="659409F3"/>
    <w:rsid w:val="659A5A16"/>
    <w:rsid w:val="65A610A9"/>
    <w:rsid w:val="65B16BB5"/>
    <w:rsid w:val="65BD07BB"/>
    <w:rsid w:val="65C636AC"/>
    <w:rsid w:val="65C717C5"/>
    <w:rsid w:val="65D33B9F"/>
    <w:rsid w:val="65D37A7C"/>
    <w:rsid w:val="65DA6FA5"/>
    <w:rsid w:val="65DB26B4"/>
    <w:rsid w:val="65E12C19"/>
    <w:rsid w:val="65E67396"/>
    <w:rsid w:val="65EF130C"/>
    <w:rsid w:val="65F406D1"/>
    <w:rsid w:val="65FB3157"/>
    <w:rsid w:val="65FC33BF"/>
    <w:rsid w:val="66027ADA"/>
    <w:rsid w:val="660F0C8E"/>
    <w:rsid w:val="66173D55"/>
    <w:rsid w:val="6618187B"/>
    <w:rsid w:val="66423D54"/>
    <w:rsid w:val="66510283"/>
    <w:rsid w:val="66521231"/>
    <w:rsid w:val="66584C27"/>
    <w:rsid w:val="665A6B8C"/>
    <w:rsid w:val="666357DA"/>
    <w:rsid w:val="66723B3B"/>
    <w:rsid w:val="668645FE"/>
    <w:rsid w:val="668A4C3B"/>
    <w:rsid w:val="668C3BF0"/>
    <w:rsid w:val="668D677B"/>
    <w:rsid w:val="669808B9"/>
    <w:rsid w:val="669910AA"/>
    <w:rsid w:val="66A50350"/>
    <w:rsid w:val="66AF4FB5"/>
    <w:rsid w:val="66B44873"/>
    <w:rsid w:val="66B9408E"/>
    <w:rsid w:val="66B9412E"/>
    <w:rsid w:val="66C04A08"/>
    <w:rsid w:val="66D251BF"/>
    <w:rsid w:val="66D43718"/>
    <w:rsid w:val="66D81D68"/>
    <w:rsid w:val="66DC26CF"/>
    <w:rsid w:val="66E71979"/>
    <w:rsid w:val="66EB320B"/>
    <w:rsid w:val="66F03B9D"/>
    <w:rsid w:val="66F145A6"/>
    <w:rsid w:val="66F537EA"/>
    <w:rsid w:val="670704CB"/>
    <w:rsid w:val="6707201B"/>
    <w:rsid w:val="67077C15"/>
    <w:rsid w:val="67095CF1"/>
    <w:rsid w:val="670B4260"/>
    <w:rsid w:val="67124D8D"/>
    <w:rsid w:val="67185FD7"/>
    <w:rsid w:val="671B1623"/>
    <w:rsid w:val="67213E08"/>
    <w:rsid w:val="672742AE"/>
    <w:rsid w:val="672E57FA"/>
    <w:rsid w:val="67355C60"/>
    <w:rsid w:val="673812B4"/>
    <w:rsid w:val="673E0E5F"/>
    <w:rsid w:val="67472418"/>
    <w:rsid w:val="674A015A"/>
    <w:rsid w:val="67582877"/>
    <w:rsid w:val="675C766F"/>
    <w:rsid w:val="675F65EF"/>
    <w:rsid w:val="67622943"/>
    <w:rsid w:val="676414CC"/>
    <w:rsid w:val="676C1898"/>
    <w:rsid w:val="676F11D5"/>
    <w:rsid w:val="67752713"/>
    <w:rsid w:val="67866D01"/>
    <w:rsid w:val="67914BD8"/>
    <w:rsid w:val="67937DE8"/>
    <w:rsid w:val="67952AD2"/>
    <w:rsid w:val="67955879"/>
    <w:rsid w:val="67977AC1"/>
    <w:rsid w:val="67A45ABC"/>
    <w:rsid w:val="67AB0BF9"/>
    <w:rsid w:val="67AE06E9"/>
    <w:rsid w:val="67B13D35"/>
    <w:rsid w:val="67B65BCF"/>
    <w:rsid w:val="67BB6849"/>
    <w:rsid w:val="67C94E6B"/>
    <w:rsid w:val="67CA4DF7"/>
    <w:rsid w:val="67CE63F2"/>
    <w:rsid w:val="67CF710F"/>
    <w:rsid w:val="67D30240"/>
    <w:rsid w:val="67D9790D"/>
    <w:rsid w:val="67DA273F"/>
    <w:rsid w:val="67DB4B64"/>
    <w:rsid w:val="67E34B2C"/>
    <w:rsid w:val="67EE421B"/>
    <w:rsid w:val="680341F8"/>
    <w:rsid w:val="68093B71"/>
    <w:rsid w:val="68237C88"/>
    <w:rsid w:val="68242C8E"/>
    <w:rsid w:val="68256BA9"/>
    <w:rsid w:val="68411AA8"/>
    <w:rsid w:val="684D0DCF"/>
    <w:rsid w:val="684D5E0F"/>
    <w:rsid w:val="685221B2"/>
    <w:rsid w:val="685A617B"/>
    <w:rsid w:val="6861368C"/>
    <w:rsid w:val="686874C7"/>
    <w:rsid w:val="687C5E30"/>
    <w:rsid w:val="68801AC1"/>
    <w:rsid w:val="6886782E"/>
    <w:rsid w:val="688E51D4"/>
    <w:rsid w:val="68900CBC"/>
    <w:rsid w:val="6893478B"/>
    <w:rsid w:val="689615CB"/>
    <w:rsid w:val="68982876"/>
    <w:rsid w:val="68A453EF"/>
    <w:rsid w:val="68A91187"/>
    <w:rsid w:val="68AB17FA"/>
    <w:rsid w:val="68AB70C8"/>
    <w:rsid w:val="68B04D04"/>
    <w:rsid w:val="68B910F3"/>
    <w:rsid w:val="68BE495C"/>
    <w:rsid w:val="68C10BD6"/>
    <w:rsid w:val="68DE4FFE"/>
    <w:rsid w:val="68E71123"/>
    <w:rsid w:val="68EA33E1"/>
    <w:rsid w:val="68EA343F"/>
    <w:rsid w:val="68F0088D"/>
    <w:rsid w:val="69037DA7"/>
    <w:rsid w:val="690802CD"/>
    <w:rsid w:val="6908050F"/>
    <w:rsid w:val="690E3E50"/>
    <w:rsid w:val="690E49D1"/>
    <w:rsid w:val="691123C8"/>
    <w:rsid w:val="69196036"/>
    <w:rsid w:val="691B588A"/>
    <w:rsid w:val="691C1CAA"/>
    <w:rsid w:val="692B682F"/>
    <w:rsid w:val="693A3CBB"/>
    <w:rsid w:val="693E68FF"/>
    <w:rsid w:val="69435ADF"/>
    <w:rsid w:val="69610AEC"/>
    <w:rsid w:val="696A2AE4"/>
    <w:rsid w:val="696E2E35"/>
    <w:rsid w:val="69792F70"/>
    <w:rsid w:val="697D0373"/>
    <w:rsid w:val="69816C11"/>
    <w:rsid w:val="6984294B"/>
    <w:rsid w:val="69895C13"/>
    <w:rsid w:val="698A0CE2"/>
    <w:rsid w:val="699A3366"/>
    <w:rsid w:val="699D72FA"/>
    <w:rsid w:val="69A302A4"/>
    <w:rsid w:val="69AF27B9"/>
    <w:rsid w:val="69B043F7"/>
    <w:rsid w:val="69BB2DA0"/>
    <w:rsid w:val="69BD02DE"/>
    <w:rsid w:val="69C029FB"/>
    <w:rsid w:val="69FC3C4E"/>
    <w:rsid w:val="6A057545"/>
    <w:rsid w:val="6A0C0EAD"/>
    <w:rsid w:val="6A0F2777"/>
    <w:rsid w:val="6A10568B"/>
    <w:rsid w:val="6A152CA1"/>
    <w:rsid w:val="6A1C4896"/>
    <w:rsid w:val="6A1F3F21"/>
    <w:rsid w:val="6A2B41BB"/>
    <w:rsid w:val="6A2D0FD4"/>
    <w:rsid w:val="6A2F6DF1"/>
    <w:rsid w:val="6A3637D3"/>
    <w:rsid w:val="6A3A7CAA"/>
    <w:rsid w:val="6A3C1FDC"/>
    <w:rsid w:val="6A3C5A93"/>
    <w:rsid w:val="6A3E2960"/>
    <w:rsid w:val="6A4F0E91"/>
    <w:rsid w:val="6A667059"/>
    <w:rsid w:val="6A6D17EC"/>
    <w:rsid w:val="6A6D4D3F"/>
    <w:rsid w:val="6A7A48B2"/>
    <w:rsid w:val="6A901703"/>
    <w:rsid w:val="6A9811CE"/>
    <w:rsid w:val="6AA87672"/>
    <w:rsid w:val="6AB5454A"/>
    <w:rsid w:val="6AC013DF"/>
    <w:rsid w:val="6AC67AF8"/>
    <w:rsid w:val="6AC913C0"/>
    <w:rsid w:val="6ADE23AA"/>
    <w:rsid w:val="6AED52F7"/>
    <w:rsid w:val="6AEF5EAE"/>
    <w:rsid w:val="6AF542B0"/>
    <w:rsid w:val="6AFF1408"/>
    <w:rsid w:val="6B0B2AC5"/>
    <w:rsid w:val="6B1457BD"/>
    <w:rsid w:val="6B19213F"/>
    <w:rsid w:val="6B19231D"/>
    <w:rsid w:val="6B26618C"/>
    <w:rsid w:val="6B2B0AAB"/>
    <w:rsid w:val="6B45401D"/>
    <w:rsid w:val="6B476531"/>
    <w:rsid w:val="6B5363CE"/>
    <w:rsid w:val="6B5559B8"/>
    <w:rsid w:val="6B56016B"/>
    <w:rsid w:val="6B5D03E7"/>
    <w:rsid w:val="6B6F4633"/>
    <w:rsid w:val="6B712159"/>
    <w:rsid w:val="6B754D39"/>
    <w:rsid w:val="6B76345E"/>
    <w:rsid w:val="6B785296"/>
    <w:rsid w:val="6B794BB1"/>
    <w:rsid w:val="6B7C7B59"/>
    <w:rsid w:val="6B8A4FC9"/>
    <w:rsid w:val="6B8E2D0B"/>
    <w:rsid w:val="6B9B78B8"/>
    <w:rsid w:val="6BA51E03"/>
    <w:rsid w:val="6BAC2BAE"/>
    <w:rsid w:val="6BB31201"/>
    <w:rsid w:val="6BB7357B"/>
    <w:rsid w:val="6BBF6663"/>
    <w:rsid w:val="6BD838A3"/>
    <w:rsid w:val="6BE96194"/>
    <w:rsid w:val="6BE97F42"/>
    <w:rsid w:val="6BFB6192"/>
    <w:rsid w:val="6BFD39ED"/>
    <w:rsid w:val="6BFF530D"/>
    <w:rsid w:val="6C061F17"/>
    <w:rsid w:val="6C087412"/>
    <w:rsid w:val="6C2641E5"/>
    <w:rsid w:val="6C296ACA"/>
    <w:rsid w:val="6C327362"/>
    <w:rsid w:val="6C3F7B62"/>
    <w:rsid w:val="6C4570AA"/>
    <w:rsid w:val="6C4C3C2E"/>
    <w:rsid w:val="6C596A62"/>
    <w:rsid w:val="6C643A6C"/>
    <w:rsid w:val="6C677655"/>
    <w:rsid w:val="6C6B54E9"/>
    <w:rsid w:val="6C74427B"/>
    <w:rsid w:val="6C7E16D8"/>
    <w:rsid w:val="6C884B82"/>
    <w:rsid w:val="6C9F2CBB"/>
    <w:rsid w:val="6CA04213"/>
    <w:rsid w:val="6CA13ECE"/>
    <w:rsid w:val="6CA35F05"/>
    <w:rsid w:val="6CAE688A"/>
    <w:rsid w:val="6CB63A5C"/>
    <w:rsid w:val="6CBC74F1"/>
    <w:rsid w:val="6CD3474E"/>
    <w:rsid w:val="6CD547B4"/>
    <w:rsid w:val="6CE7276A"/>
    <w:rsid w:val="6CF267BA"/>
    <w:rsid w:val="6CF763B2"/>
    <w:rsid w:val="6CF93A41"/>
    <w:rsid w:val="6D1A6D94"/>
    <w:rsid w:val="6D1C091C"/>
    <w:rsid w:val="6D1F12CC"/>
    <w:rsid w:val="6D245894"/>
    <w:rsid w:val="6D2837D3"/>
    <w:rsid w:val="6D3225A4"/>
    <w:rsid w:val="6D553203"/>
    <w:rsid w:val="6D5A003F"/>
    <w:rsid w:val="6D5E29D9"/>
    <w:rsid w:val="6D655CEE"/>
    <w:rsid w:val="6D68133A"/>
    <w:rsid w:val="6D7254F9"/>
    <w:rsid w:val="6D7F45AC"/>
    <w:rsid w:val="6D801094"/>
    <w:rsid w:val="6D8510E2"/>
    <w:rsid w:val="6D8714A1"/>
    <w:rsid w:val="6D8C6CEA"/>
    <w:rsid w:val="6D8E0B99"/>
    <w:rsid w:val="6D952DD1"/>
    <w:rsid w:val="6DA305C4"/>
    <w:rsid w:val="6DB24ECA"/>
    <w:rsid w:val="6DB262B6"/>
    <w:rsid w:val="6DB413BA"/>
    <w:rsid w:val="6DC33625"/>
    <w:rsid w:val="6DC4466A"/>
    <w:rsid w:val="6DC4797C"/>
    <w:rsid w:val="6DD22D4E"/>
    <w:rsid w:val="6DDA25E9"/>
    <w:rsid w:val="6DDA6EEA"/>
    <w:rsid w:val="6DE602B1"/>
    <w:rsid w:val="6DF350A8"/>
    <w:rsid w:val="6E0030D7"/>
    <w:rsid w:val="6E0E0133"/>
    <w:rsid w:val="6E1734C4"/>
    <w:rsid w:val="6E192D14"/>
    <w:rsid w:val="6E1A20B1"/>
    <w:rsid w:val="6E1C51C8"/>
    <w:rsid w:val="6E2022D3"/>
    <w:rsid w:val="6E386F5E"/>
    <w:rsid w:val="6E3A2CD6"/>
    <w:rsid w:val="6E41661F"/>
    <w:rsid w:val="6E4A2C9D"/>
    <w:rsid w:val="6E5213CF"/>
    <w:rsid w:val="6E550F28"/>
    <w:rsid w:val="6E5D131B"/>
    <w:rsid w:val="6E5F2F87"/>
    <w:rsid w:val="6E6745D3"/>
    <w:rsid w:val="6E682806"/>
    <w:rsid w:val="6E71421E"/>
    <w:rsid w:val="6E746346"/>
    <w:rsid w:val="6E875E14"/>
    <w:rsid w:val="6E8B0FBD"/>
    <w:rsid w:val="6E8D2ACE"/>
    <w:rsid w:val="6E8E4DD0"/>
    <w:rsid w:val="6E900B48"/>
    <w:rsid w:val="6E9331DE"/>
    <w:rsid w:val="6E9665C3"/>
    <w:rsid w:val="6E986470"/>
    <w:rsid w:val="6E9A0D47"/>
    <w:rsid w:val="6EA06221"/>
    <w:rsid w:val="6EA9571C"/>
    <w:rsid w:val="6EB32782"/>
    <w:rsid w:val="6EBC069A"/>
    <w:rsid w:val="6ECC31E1"/>
    <w:rsid w:val="6ED7041E"/>
    <w:rsid w:val="6EE175F6"/>
    <w:rsid w:val="6EF407BB"/>
    <w:rsid w:val="6EFB4EFB"/>
    <w:rsid w:val="6F031782"/>
    <w:rsid w:val="6F055907"/>
    <w:rsid w:val="6F064053"/>
    <w:rsid w:val="6F077BC3"/>
    <w:rsid w:val="6F0947F1"/>
    <w:rsid w:val="6F0A5B4F"/>
    <w:rsid w:val="6F1300FF"/>
    <w:rsid w:val="6F166E4A"/>
    <w:rsid w:val="6F180782"/>
    <w:rsid w:val="6F216B99"/>
    <w:rsid w:val="6F356F58"/>
    <w:rsid w:val="6F3A0AB4"/>
    <w:rsid w:val="6F3C0167"/>
    <w:rsid w:val="6F3D2237"/>
    <w:rsid w:val="6F3D46B1"/>
    <w:rsid w:val="6F422353"/>
    <w:rsid w:val="6F4B0F13"/>
    <w:rsid w:val="6F631DB9"/>
    <w:rsid w:val="6F7D4663"/>
    <w:rsid w:val="6F8903DE"/>
    <w:rsid w:val="6F8A1D9E"/>
    <w:rsid w:val="6F8B3A10"/>
    <w:rsid w:val="6F8C2463"/>
    <w:rsid w:val="6F9112EA"/>
    <w:rsid w:val="6F9A7E2B"/>
    <w:rsid w:val="6F9B1624"/>
    <w:rsid w:val="6FA36659"/>
    <w:rsid w:val="6FAA7A06"/>
    <w:rsid w:val="6FB13185"/>
    <w:rsid w:val="6FB93D78"/>
    <w:rsid w:val="6FC25170"/>
    <w:rsid w:val="6FC85B5B"/>
    <w:rsid w:val="6FCF3AAC"/>
    <w:rsid w:val="6FD752BC"/>
    <w:rsid w:val="6FDB43BA"/>
    <w:rsid w:val="6FE658C3"/>
    <w:rsid w:val="6FE77B99"/>
    <w:rsid w:val="6FF04F00"/>
    <w:rsid w:val="6FF13869"/>
    <w:rsid w:val="6FF16A62"/>
    <w:rsid w:val="6FF46EB5"/>
    <w:rsid w:val="6FFB3754"/>
    <w:rsid w:val="70115BE2"/>
    <w:rsid w:val="70161521"/>
    <w:rsid w:val="701C7DC8"/>
    <w:rsid w:val="702B759A"/>
    <w:rsid w:val="702C2AF3"/>
    <w:rsid w:val="7036127C"/>
    <w:rsid w:val="703F46DD"/>
    <w:rsid w:val="70455F93"/>
    <w:rsid w:val="70510E8D"/>
    <w:rsid w:val="70585696"/>
    <w:rsid w:val="706E4EB9"/>
    <w:rsid w:val="70700561"/>
    <w:rsid w:val="707158DE"/>
    <w:rsid w:val="708178FC"/>
    <w:rsid w:val="7089451D"/>
    <w:rsid w:val="70900764"/>
    <w:rsid w:val="70903082"/>
    <w:rsid w:val="70921CE4"/>
    <w:rsid w:val="709C3A9D"/>
    <w:rsid w:val="70A35037"/>
    <w:rsid w:val="70A44E0A"/>
    <w:rsid w:val="70AE52B6"/>
    <w:rsid w:val="70C64E99"/>
    <w:rsid w:val="70CB4529"/>
    <w:rsid w:val="70D421A3"/>
    <w:rsid w:val="70D90953"/>
    <w:rsid w:val="70DF27A9"/>
    <w:rsid w:val="70E64A50"/>
    <w:rsid w:val="70E76CFF"/>
    <w:rsid w:val="70E92586"/>
    <w:rsid w:val="70EE5FFA"/>
    <w:rsid w:val="70FA1131"/>
    <w:rsid w:val="71053862"/>
    <w:rsid w:val="71112725"/>
    <w:rsid w:val="711A67B6"/>
    <w:rsid w:val="71234978"/>
    <w:rsid w:val="71253255"/>
    <w:rsid w:val="71273C09"/>
    <w:rsid w:val="712D08D1"/>
    <w:rsid w:val="713E0C1F"/>
    <w:rsid w:val="713F2198"/>
    <w:rsid w:val="71405103"/>
    <w:rsid w:val="7148728B"/>
    <w:rsid w:val="714F20E7"/>
    <w:rsid w:val="714F30BB"/>
    <w:rsid w:val="715050E1"/>
    <w:rsid w:val="715831DB"/>
    <w:rsid w:val="71620EB3"/>
    <w:rsid w:val="716649A1"/>
    <w:rsid w:val="716A5681"/>
    <w:rsid w:val="716D6F0C"/>
    <w:rsid w:val="717804FA"/>
    <w:rsid w:val="718907D9"/>
    <w:rsid w:val="71935995"/>
    <w:rsid w:val="719F4DE8"/>
    <w:rsid w:val="71A11088"/>
    <w:rsid w:val="71A110A4"/>
    <w:rsid w:val="71A37AA5"/>
    <w:rsid w:val="71AB504A"/>
    <w:rsid w:val="71AF2E55"/>
    <w:rsid w:val="71B41AFD"/>
    <w:rsid w:val="71B83DED"/>
    <w:rsid w:val="71BE0BAC"/>
    <w:rsid w:val="71BE59CD"/>
    <w:rsid w:val="71C805F9"/>
    <w:rsid w:val="71C80C16"/>
    <w:rsid w:val="71CA53C9"/>
    <w:rsid w:val="71DD5AA0"/>
    <w:rsid w:val="71E2790D"/>
    <w:rsid w:val="71E377D8"/>
    <w:rsid w:val="71E55BC5"/>
    <w:rsid w:val="71ED616B"/>
    <w:rsid w:val="71F91390"/>
    <w:rsid w:val="720C498A"/>
    <w:rsid w:val="720E79A8"/>
    <w:rsid w:val="72102403"/>
    <w:rsid w:val="72181B00"/>
    <w:rsid w:val="72192C03"/>
    <w:rsid w:val="721B2E1F"/>
    <w:rsid w:val="7227658D"/>
    <w:rsid w:val="722C2936"/>
    <w:rsid w:val="722F0678"/>
    <w:rsid w:val="722F148A"/>
    <w:rsid w:val="7238752D"/>
    <w:rsid w:val="723F3DE0"/>
    <w:rsid w:val="724063E2"/>
    <w:rsid w:val="724E641F"/>
    <w:rsid w:val="72646574"/>
    <w:rsid w:val="7277412E"/>
    <w:rsid w:val="727B3523"/>
    <w:rsid w:val="727C1FF1"/>
    <w:rsid w:val="727F28C8"/>
    <w:rsid w:val="72883CFD"/>
    <w:rsid w:val="728946EE"/>
    <w:rsid w:val="72947ABA"/>
    <w:rsid w:val="729669CC"/>
    <w:rsid w:val="729E009B"/>
    <w:rsid w:val="729E6429"/>
    <w:rsid w:val="72A15F2B"/>
    <w:rsid w:val="72AC1CC9"/>
    <w:rsid w:val="72AF43B7"/>
    <w:rsid w:val="72B34E05"/>
    <w:rsid w:val="72C5146F"/>
    <w:rsid w:val="72C717F7"/>
    <w:rsid w:val="72CC6A85"/>
    <w:rsid w:val="72CF29B8"/>
    <w:rsid w:val="72DF5BFA"/>
    <w:rsid w:val="72E74361"/>
    <w:rsid w:val="72ED68F0"/>
    <w:rsid w:val="72F01BB6"/>
    <w:rsid w:val="72F654FA"/>
    <w:rsid w:val="72F92223"/>
    <w:rsid w:val="73020D63"/>
    <w:rsid w:val="730355F4"/>
    <w:rsid w:val="73047485"/>
    <w:rsid w:val="731B07F2"/>
    <w:rsid w:val="7325572C"/>
    <w:rsid w:val="73257D80"/>
    <w:rsid w:val="73270B6D"/>
    <w:rsid w:val="73305034"/>
    <w:rsid w:val="73355BDF"/>
    <w:rsid w:val="733A5527"/>
    <w:rsid w:val="734F6D8B"/>
    <w:rsid w:val="735A0643"/>
    <w:rsid w:val="7363682B"/>
    <w:rsid w:val="73644352"/>
    <w:rsid w:val="736645BA"/>
    <w:rsid w:val="736A6F53"/>
    <w:rsid w:val="736C3B18"/>
    <w:rsid w:val="736C5944"/>
    <w:rsid w:val="736D1888"/>
    <w:rsid w:val="736F311B"/>
    <w:rsid w:val="737B36AD"/>
    <w:rsid w:val="737C5B79"/>
    <w:rsid w:val="737F5DFC"/>
    <w:rsid w:val="73883CAD"/>
    <w:rsid w:val="739063DC"/>
    <w:rsid w:val="739446AB"/>
    <w:rsid w:val="73944C37"/>
    <w:rsid w:val="73974F70"/>
    <w:rsid w:val="739B53E3"/>
    <w:rsid w:val="73A17823"/>
    <w:rsid w:val="73A71B99"/>
    <w:rsid w:val="73AD7AA7"/>
    <w:rsid w:val="73AF381F"/>
    <w:rsid w:val="73B94CB6"/>
    <w:rsid w:val="73CB43D1"/>
    <w:rsid w:val="73D43285"/>
    <w:rsid w:val="73D8229D"/>
    <w:rsid w:val="73D96AEE"/>
    <w:rsid w:val="73F54BCC"/>
    <w:rsid w:val="73F8607C"/>
    <w:rsid w:val="73FB2F08"/>
    <w:rsid w:val="73FC458A"/>
    <w:rsid w:val="740200CE"/>
    <w:rsid w:val="740310A7"/>
    <w:rsid w:val="74046909"/>
    <w:rsid w:val="740E0D40"/>
    <w:rsid w:val="74132E82"/>
    <w:rsid w:val="742C63C5"/>
    <w:rsid w:val="74383C4A"/>
    <w:rsid w:val="743C21C1"/>
    <w:rsid w:val="744D6256"/>
    <w:rsid w:val="744D6282"/>
    <w:rsid w:val="7457675C"/>
    <w:rsid w:val="74587D32"/>
    <w:rsid w:val="745D6B88"/>
    <w:rsid w:val="74603333"/>
    <w:rsid w:val="746E7748"/>
    <w:rsid w:val="74721557"/>
    <w:rsid w:val="74795D94"/>
    <w:rsid w:val="74940C67"/>
    <w:rsid w:val="749649DF"/>
    <w:rsid w:val="7499002B"/>
    <w:rsid w:val="749C3ABE"/>
    <w:rsid w:val="74A56CC2"/>
    <w:rsid w:val="74A71C74"/>
    <w:rsid w:val="74A80D86"/>
    <w:rsid w:val="74B75BBA"/>
    <w:rsid w:val="74C652C4"/>
    <w:rsid w:val="74C668FA"/>
    <w:rsid w:val="74D3353D"/>
    <w:rsid w:val="74D60D4A"/>
    <w:rsid w:val="74DD7251"/>
    <w:rsid w:val="74E120FE"/>
    <w:rsid w:val="74E50B73"/>
    <w:rsid w:val="74F2294A"/>
    <w:rsid w:val="74F256E1"/>
    <w:rsid w:val="74F87447"/>
    <w:rsid w:val="74F918C8"/>
    <w:rsid w:val="74FF6B5D"/>
    <w:rsid w:val="75072E91"/>
    <w:rsid w:val="75105270"/>
    <w:rsid w:val="752F1FD8"/>
    <w:rsid w:val="75380886"/>
    <w:rsid w:val="75380DB7"/>
    <w:rsid w:val="75394176"/>
    <w:rsid w:val="75420914"/>
    <w:rsid w:val="75495400"/>
    <w:rsid w:val="754D2731"/>
    <w:rsid w:val="75594EF5"/>
    <w:rsid w:val="756643B1"/>
    <w:rsid w:val="75791E85"/>
    <w:rsid w:val="75802244"/>
    <w:rsid w:val="75906908"/>
    <w:rsid w:val="759B3CA8"/>
    <w:rsid w:val="759C5FCC"/>
    <w:rsid w:val="759D5630"/>
    <w:rsid w:val="759E0D5A"/>
    <w:rsid w:val="759F4314"/>
    <w:rsid w:val="75A01126"/>
    <w:rsid w:val="75A01499"/>
    <w:rsid w:val="75A276F4"/>
    <w:rsid w:val="75A375AC"/>
    <w:rsid w:val="75A66E45"/>
    <w:rsid w:val="75B02F1D"/>
    <w:rsid w:val="75B6295B"/>
    <w:rsid w:val="75C17AC7"/>
    <w:rsid w:val="75E35A02"/>
    <w:rsid w:val="75E71E1F"/>
    <w:rsid w:val="75F83468"/>
    <w:rsid w:val="76193AF8"/>
    <w:rsid w:val="76233E87"/>
    <w:rsid w:val="765D0AC2"/>
    <w:rsid w:val="765D54BC"/>
    <w:rsid w:val="7660236A"/>
    <w:rsid w:val="76612DCA"/>
    <w:rsid w:val="766A1BED"/>
    <w:rsid w:val="7671125F"/>
    <w:rsid w:val="767640AF"/>
    <w:rsid w:val="767D5BA3"/>
    <w:rsid w:val="768947FB"/>
    <w:rsid w:val="76985B7A"/>
    <w:rsid w:val="76A15921"/>
    <w:rsid w:val="76A2766B"/>
    <w:rsid w:val="76A47F5A"/>
    <w:rsid w:val="76AD7DBE"/>
    <w:rsid w:val="76AF7FDA"/>
    <w:rsid w:val="76CE135F"/>
    <w:rsid w:val="76D25FAC"/>
    <w:rsid w:val="76D417EE"/>
    <w:rsid w:val="76D421B4"/>
    <w:rsid w:val="76DE20AE"/>
    <w:rsid w:val="76DF4390"/>
    <w:rsid w:val="76E15C2C"/>
    <w:rsid w:val="76E95B6B"/>
    <w:rsid w:val="76EF0590"/>
    <w:rsid w:val="76FC7D28"/>
    <w:rsid w:val="770C71DA"/>
    <w:rsid w:val="77104FF5"/>
    <w:rsid w:val="77133B35"/>
    <w:rsid w:val="77147E3D"/>
    <w:rsid w:val="77155F5A"/>
    <w:rsid w:val="77163BB5"/>
    <w:rsid w:val="771E6442"/>
    <w:rsid w:val="7723186A"/>
    <w:rsid w:val="772C405D"/>
    <w:rsid w:val="77376CED"/>
    <w:rsid w:val="77383B2B"/>
    <w:rsid w:val="773B73EB"/>
    <w:rsid w:val="773E0CEB"/>
    <w:rsid w:val="773F35BF"/>
    <w:rsid w:val="77446974"/>
    <w:rsid w:val="77450963"/>
    <w:rsid w:val="774B7D02"/>
    <w:rsid w:val="774D3EBB"/>
    <w:rsid w:val="775068B5"/>
    <w:rsid w:val="776432F4"/>
    <w:rsid w:val="77663B2A"/>
    <w:rsid w:val="776A4892"/>
    <w:rsid w:val="776F2E1F"/>
    <w:rsid w:val="77705A44"/>
    <w:rsid w:val="77752FD1"/>
    <w:rsid w:val="777C412E"/>
    <w:rsid w:val="777E3905"/>
    <w:rsid w:val="779B0849"/>
    <w:rsid w:val="77A62E49"/>
    <w:rsid w:val="77B8289F"/>
    <w:rsid w:val="77B91110"/>
    <w:rsid w:val="77B951E9"/>
    <w:rsid w:val="77C74407"/>
    <w:rsid w:val="77CA6646"/>
    <w:rsid w:val="77D0388E"/>
    <w:rsid w:val="77D424BD"/>
    <w:rsid w:val="77D84773"/>
    <w:rsid w:val="77DB72D8"/>
    <w:rsid w:val="77DC43A3"/>
    <w:rsid w:val="77E45A61"/>
    <w:rsid w:val="77E632C4"/>
    <w:rsid w:val="77E94699"/>
    <w:rsid w:val="77F361E1"/>
    <w:rsid w:val="77F65256"/>
    <w:rsid w:val="77FF51FA"/>
    <w:rsid w:val="780169C8"/>
    <w:rsid w:val="78033604"/>
    <w:rsid w:val="781C3FF5"/>
    <w:rsid w:val="781E0018"/>
    <w:rsid w:val="782A2876"/>
    <w:rsid w:val="783877A1"/>
    <w:rsid w:val="786F2396"/>
    <w:rsid w:val="787C544D"/>
    <w:rsid w:val="787D44BF"/>
    <w:rsid w:val="788E5E25"/>
    <w:rsid w:val="789424B4"/>
    <w:rsid w:val="78A634A6"/>
    <w:rsid w:val="78A71905"/>
    <w:rsid w:val="78AA4ACD"/>
    <w:rsid w:val="78B21295"/>
    <w:rsid w:val="78BC49E1"/>
    <w:rsid w:val="78C14DD7"/>
    <w:rsid w:val="78C50233"/>
    <w:rsid w:val="78C7785D"/>
    <w:rsid w:val="78CC1A50"/>
    <w:rsid w:val="78DD737B"/>
    <w:rsid w:val="78E82ECC"/>
    <w:rsid w:val="78EF0B61"/>
    <w:rsid w:val="78F37394"/>
    <w:rsid w:val="78F56609"/>
    <w:rsid w:val="78F87A16"/>
    <w:rsid w:val="78F9553C"/>
    <w:rsid w:val="790074D7"/>
    <w:rsid w:val="79017226"/>
    <w:rsid w:val="790F579C"/>
    <w:rsid w:val="79187B3A"/>
    <w:rsid w:val="79204EEF"/>
    <w:rsid w:val="792228A4"/>
    <w:rsid w:val="792505AB"/>
    <w:rsid w:val="792A3D41"/>
    <w:rsid w:val="7932298D"/>
    <w:rsid w:val="79390854"/>
    <w:rsid w:val="7940730E"/>
    <w:rsid w:val="794B223C"/>
    <w:rsid w:val="794E03FE"/>
    <w:rsid w:val="7959368E"/>
    <w:rsid w:val="795B7F6F"/>
    <w:rsid w:val="79610581"/>
    <w:rsid w:val="7963707B"/>
    <w:rsid w:val="7966005F"/>
    <w:rsid w:val="79662CDF"/>
    <w:rsid w:val="79750B98"/>
    <w:rsid w:val="797F08D5"/>
    <w:rsid w:val="798824A7"/>
    <w:rsid w:val="79A30451"/>
    <w:rsid w:val="79A47974"/>
    <w:rsid w:val="79B0209F"/>
    <w:rsid w:val="79C25500"/>
    <w:rsid w:val="79C478F8"/>
    <w:rsid w:val="79D7762B"/>
    <w:rsid w:val="79DD6C0C"/>
    <w:rsid w:val="79E4350D"/>
    <w:rsid w:val="79FD3578"/>
    <w:rsid w:val="7A1179A4"/>
    <w:rsid w:val="7A1268B5"/>
    <w:rsid w:val="7A170C50"/>
    <w:rsid w:val="7A260157"/>
    <w:rsid w:val="7A2A380C"/>
    <w:rsid w:val="7A3238F3"/>
    <w:rsid w:val="7A342CD0"/>
    <w:rsid w:val="7A383DDF"/>
    <w:rsid w:val="7A4751EA"/>
    <w:rsid w:val="7A4F455B"/>
    <w:rsid w:val="7A6B65A8"/>
    <w:rsid w:val="7A6C6D89"/>
    <w:rsid w:val="7A786915"/>
    <w:rsid w:val="7A7C102C"/>
    <w:rsid w:val="7A843791"/>
    <w:rsid w:val="7A8650E9"/>
    <w:rsid w:val="7A8823BF"/>
    <w:rsid w:val="7A884A0F"/>
    <w:rsid w:val="7AA64FBF"/>
    <w:rsid w:val="7ABD1399"/>
    <w:rsid w:val="7ABD5353"/>
    <w:rsid w:val="7ACF79F9"/>
    <w:rsid w:val="7AD51D81"/>
    <w:rsid w:val="7AE2272C"/>
    <w:rsid w:val="7AED5A0C"/>
    <w:rsid w:val="7AFB1FB2"/>
    <w:rsid w:val="7AFB2EDC"/>
    <w:rsid w:val="7AFF67EE"/>
    <w:rsid w:val="7B024BA3"/>
    <w:rsid w:val="7B0F3CC0"/>
    <w:rsid w:val="7B104BA0"/>
    <w:rsid w:val="7B124498"/>
    <w:rsid w:val="7B1E2E55"/>
    <w:rsid w:val="7B2A5821"/>
    <w:rsid w:val="7B2D3BA4"/>
    <w:rsid w:val="7B3611F6"/>
    <w:rsid w:val="7B4039D9"/>
    <w:rsid w:val="7B4302D3"/>
    <w:rsid w:val="7B4B1817"/>
    <w:rsid w:val="7B4B27DA"/>
    <w:rsid w:val="7B5828AA"/>
    <w:rsid w:val="7B5F3D7C"/>
    <w:rsid w:val="7B6A1314"/>
    <w:rsid w:val="7B7D3104"/>
    <w:rsid w:val="7B876D71"/>
    <w:rsid w:val="7B9558F3"/>
    <w:rsid w:val="7B9E124B"/>
    <w:rsid w:val="7BA15C50"/>
    <w:rsid w:val="7BA348A0"/>
    <w:rsid w:val="7BA605A4"/>
    <w:rsid w:val="7BAA250B"/>
    <w:rsid w:val="7BB31506"/>
    <w:rsid w:val="7BB56F06"/>
    <w:rsid w:val="7BBA0721"/>
    <w:rsid w:val="7BC477E4"/>
    <w:rsid w:val="7BDF03C3"/>
    <w:rsid w:val="7BE6722E"/>
    <w:rsid w:val="7BE836AF"/>
    <w:rsid w:val="7BE918E6"/>
    <w:rsid w:val="7BEB5610"/>
    <w:rsid w:val="7BEE0C5B"/>
    <w:rsid w:val="7C02196C"/>
    <w:rsid w:val="7C061FBC"/>
    <w:rsid w:val="7C092067"/>
    <w:rsid w:val="7C0D36B6"/>
    <w:rsid w:val="7C215DD3"/>
    <w:rsid w:val="7C2A25DC"/>
    <w:rsid w:val="7C3A54BF"/>
    <w:rsid w:val="7C4F7056"/>
    <w:rsid w:val="7C623E0B"/>
    <w:rsid w:val="7C686BA9"/>
    <w:rsid w:val="7C6C1D52"/>
    <w:rsid w:val="7C732BC9"/>
    <w:rsid w:val="7C9039B9"/>
    <w:rsid w:val="7C9361C9"/>
    <w:rsid w:val="7C9932BE"/>
    <w:rsid w:val="7CB75B7F"/>
    <w:rsid w:val="7CBB21B7"/>
    <w:rsid w:val="7CC3033B"/>
    <w:rsid w:val="7CC77739"/>
    <w:rsid w:val="7CD42548"/>
    <w:rsid w:val="7CD61CB4"/>
    <w:rsid w:val="7CD73DE6"/>
    <w:rsid w:val="7CDF5610"/>
    <w:rsid w:val="7CF03788"/>
    <w:rsid w:val="7CF346C9"/>
    <w:rsid w:val="7CF74A7E"/>
    <w:rsid w:val="7CF80388"/>
    <w:rsid w:val="7D012C11"/>
    <w:rsid w:val="7D032E2D"/>
    <w:rsid w:val="7D0C3E90"/>
    <w:rsid w:val="7D262041"/>
    <w:rsid w:val="7D275219"/>
    <w:rsid w:val="7D29535B"/>
    <w:rsid w:val="7D2E3A80"/>
    <w:rsid w:val="7D2F777E"/>
    <w:rsid w:val="7D306D5D"/>
    <w:rsid w:val="7D380D29"/>
    <w:rsid w:val="7D4D1806"/>
    <w:rsid w:val="7D52228B"/>
    <w:rsid w:val="7D5B16A9"/>
    <w:rsid w:val="7D733B0F"/>
    <w:rsid w:val="7D755AD9"/>
    <w:rsid w:val="7D851851"/>
    <w:rsid w:val="7D893099"/>
    <w:rsid w:val="7D9046C1"/>
    <w:rsid w:val="7D923B21"/>
    <w:rsid w:val="7D991B68"/>
    <w:rsid w:val="7D9D12ED"/>
    <w:rsid w:val="7D9E009C"/>
    <w:rsid w:val="7DA0067C"/>
    <w:rsid w:val="7DAC0DCF"/>
    <w:rsid w:val="7DB3215D"/>
    <w:rsid w:val="7DBB54B6"/>
    <w:rsid w:val="7DC77E48"/>
    <w:rsid w:val="7DC82C3F"/>
    <w:rsid w:val="7DD00942"/>
    <w:rsid w:val="7DD2464A"/>
    <w:rsid w:val="7DD32B96"/>
    <w:rsid w:val="7DE42322"/>
    <w:rsid w:val="7DED4A71"/>
    <w:rsid w:val="7E193BC4"/>
    <w:rsid w:val="7E1A0D5A"/>
    <w:rsid w:val="7E24305B"/>
    <w:rsid w:val="7E2F7CEC"/>
    <w:rsid w:val="7E462FD2"/>
    <w:rsid w:val="7E466C4B"/>
    <w:rsid w:val="7E4A1C1F"/>
    <w:rsid w:val="7E5576B9"/>
    <w:rsid w:val="7E5877D9"/>
    <w:rsid w:val="7E5C1CA3"/>
    <w:rsid w:val="7E5D31E2"/>
    <w:rsid w:val="7E611BB9"/>
    <w:rsid w:val="7E6672C6"/>
    <w:rsid w:val="7E674229"/>
    <w:rsid w:val="7E717724"/>
    <w:rsid w:val="7E7B15C0"/>
    <w:rsid w:val="7E802AD6"/>
    <w:rsid w:val="7E8E4699"/>
    <w:rsid w:val="7E90559C"/>
    <w:rsid w:val="7EA324A0"/>
    <w:rsid w:val="7EAE4002"/>
    <w:rsid w:val="7EB937A4"/>
    <w:rsid w:val="7ECA59B1"/>
    <w:rsid w:val="7ECD4152"/>
    <w:rsid w:val="7EE85063"/>
    <w:rsid w:val="7EED71BE"/>
    <w:rsid w:val="7EF07B3E"/>
    <w:rsid w:val="7EF629C5"/>
    <w:rsid w:val="7EFB1916"/>
    <w:rsid w:val="7EFF7A60"/>
    <w:rsid w:val="7F0013D2"/>
    <w:rsid w:val="7F014F87"/>
    <w:rsid w:val="7F035AEF"/>
    <w:rsid w:val="7F060B77"/>
    <w:rsid w:val="7F0864D9"/>
    <w:rsid w:val="7F0B2BCE"/>
    <w:rsid w:val="7F0E4537"/>
    <w:rsid w:val="7F105BEB"/>
    <w:rsid w:val="7F1B620C"/>
    <w:rsid w:val="7F1E5CFC"/>
    <w:rsid w:val="7F320112"/>
    <w:rsid w:val="7F364DF4"/>
    <w:rsid w:val="7F3C0E2B"/>
    <w:rsid w:val="7F536710"/>
    <w:rsid w:val="7F5576EC"/>
    <w:rsid w:val="7F567244"/>
    <w:rsid w:val="7F597551"/>
    <w:rsid w:val="7F603822"/>
    <w:rsid w:val="7F796A80"/>
    <w:rsid w:val="7F842003"/>
    <w:rsid w:val="7F874A25"/>
    <w:rsid w:val="7F8C7F60"/>
    <w:rsid w:val="7F90334A"/>
    <w:rsid w:val="7F97133C"/>
    <w:rsid w:val="7FB77D2E"/>
    <w:rsid w:val="7FBA6109"/>
    <w:rsid w:val="7FBA75D6"/>
    <w:rsid w:val="7FBB354B"/>
    <w:rsid w:val="7FBD36FE"/>
    <w:rsid w:val="7FBE4DEA"/>
    <w:rsid w:val="7FCA2B36"/>
    <w:rsid w:val="7FCE327F"/>
    <w:rsid w:val="7FCF2861"/>
    <w:rsid w:val="7FD14BF0"/>
    <w:rsid w:val="7FD30FF0"/>
    <w:rsid w:val="7FE72E38"/>
    <w:rsid w:val="7FE87725"/>
    <w:rsid w:val="7FF403D4"/>
    <w:rsid w:val="7FF41B27"/>
    <w:rsid w:val="F7BDBB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firstLine="200" w:firstLineChars="200"/>
      <w:jc w:val="both"/>
    </w:pPr>
    <w:rPr>
      <w:rFonts w:ascii="Times New Roman" w:hAnsi="Times New Roman" w:eastAsiaTheme="minorEastAsia" w:cstheme="minorBidi"/>
      <w:kern w:val="2"/>
      <w:sz w:val="24"/>
      <w:szCs w:val="22"/>
      <w:lang w:val="en-US" w:eastAsia="zh-CN" w:bidi="ar-SA"/>
    </w:rPr>
  </w:style>
  <w:style w:type="paragraph" w:styleId="3">
    <w:name w:val="heading 1"/>
    <w:basedOn w:val="4"/>
    <w:next w:val="4"/>
    <w:autoRedefine/>
    <w:qFormat/>
    <w:uiPriority w:val="0"/>
    <w:pPr>
      <w:keepNext/>
      <w:keepLines/>
      <w:pageBreakBefore/>
      <w:jc w:val="center"/>
      <w:outlineLvl w:val="0"/>
    </w:pPr>
    <w:rPr>
      <w:rFonts w:ascii="Times New Roman" w:hAnsi="Times New Roman" w:eastAsia="宋体" w:cs="Times New Roman"/>
      <w:bCs/>
      <w:kern w:val="44"/>
      <w:szCs w:val="44"/>
    </w:rPr>
  </w:style>
  <w:style w:type="paragraph" w:styleId="2">
    <w:name w:val="heading 3"/>
    <w:basedOn w:val="1"/>
    <w:next w:val="1"/>
    <w:autoRedefine/>
    <w:semiHidden/>
    <w:unhideWhenUsed/>
    <w:qFormat/>
    <w:uiPriority w:val="0"/>
    <w:pPr>
      <w:keepNext/>
      <w:keepLines/>
      <w:spacing w:line="360" w:lineRule="auto"/>
      <w:ind w:firstLine="0" w:firstLineChars="0"/>
      <w:jc w:val="both"/>
      <w:outlineLvl w:val="2"/>
    </w:pPr>
    <w:rPr>
      <w:rFonts w:ascii="Times New Roman" w:hAnsi="Times New Roman"/>
      <w:b/>
      <w:bCs/>
      <w:sz w:val="28"/>
      <w:szCs w:val="30"/>
    </w:rPr>
  </w:style>
  <w:style w:type="paragraph" w:styleId="5">
    <w:name w:val="heading 4"/>
    <w:basedOn w:val="1"/>
    <w:next w:val="1"/>
    <w:qFormat/>
    <w:uiPriority w:val="0"/>
    <w:pPr>
      <w:keepNext/>
      <w:keepLines/>
      <w:numPr>
        <w:ilvl w:val="0"/>
        <w:numId w:val="0"/>
      </w:numPr>
      <w:tabs>
        <w:tab w:val="left" w:pos="864"/>
        <w:tab w:val="left" w:pos="1134"/>
      </w:tabs>
      <w:adjustRightInd w:val="0"/>
      <w:spacing w:line="490" w:lineRule="exact"/>
      <w:ind w:left="864" w:hanging="864"/>
      <w:outlineLvl w:val="3"/>
    </w:pPr>
    <w:rPr>
      <w:rFonts w:hAnsi="宋体"/>
      <w:bCs/>
      <w:sz w:val="24"/>
      <w:lang w:val="zh-CN"/>
    </w:rPr>
  </w:style>
  <w:style w:type="character" w:default="1" w:styleId="25">
    <w:name w:val="Default Paragraph Font"/>
    <w:autoRedefine/>
    <w:semiHidden/>
    <w:unhideWhenUsed/>
    <w:qFormat/>
    <w:uiPriority w:val="1"/>
  </w:style>
  <w:style w:type="table" w:default="1" w:styleId="23">
    <w:name w:val="Normal Table"/>
    <w:autoRedefine/>
    <w:semiHidden/>
    <w:unhideWhenUsed/>
    <w:qFormat/>
    <w:uiPriority w:val="99"/>
    <w:tblPr>
      <w:tblCellMar>
        <w:top w:w="0" w:type="dxa"/>
        <w:left w:w="108" w:type="dxa"/>
        <w:bottom w:w="0" w:type="dxa"/>
        <w:right w:w="108" w:type="dxa"/>
      </w:tblCellMar>
    </w:tblPr>
  </w:style>
  <w:style w:type="paragraph" w:customStyle="1" w:styleId="4">
    <w:name w:val="无间隔1"/>
    <w:autoRedefine/>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styleId="6">
    <w:name w:val="caption"/>
    <w:basedOn w:val="1"/>
    <w:next w:val="7"/>
    <w:autoRedefine/>
    <w:unhideWhenUsed/>
    <w:qFormat/>
    <w:uiPriority w:val="0"/>
    <w:pPr>
      <w:spacing w:before="60"/>
      <w:ind w:firstLine="480"/>
      <w:jc w:val="center"/>
    </w:pPr>
    <w:rPr>
      <w:rFonts w:cs="Times New Roman"/>
      <w:b/>
      <w:color w:val="FF0000"/>
    </w:rPr>
  </w:style>
  <w:style w:type="paragraph" w:customStyle="1" w:styleId="7">
    <w:name w:val="表格内容"/>
    <w:basedOn w:val="1"/>
    <w:next w:val="1"/>
    <w:link w:val="33"/>
    <w:autoRedefine/>
    <w:qFormat/>
    <w:uiPriority w:val="0"/>
    <w:pPr>
      <w:spacing w:line="240" w:lineRule="auto"/>
      <w:ind w:firstLine="0" w:firstLineChars="0"/>
      <w:jc w:val="center"/>
    </w:pPr>
    <w:rPr>
      <w:rFonts w:eastAsia="宋体" w:cs="Times New Roman"/>
      <w:sz w:val="21"/>
      <w:szCs w:val="21"/>
    </w:rPr>
  </w:style>
  <w:style w:type="paragraph" w:styleId="8">
    <w:name w:val="annotation text"/>
    <w:basedOn w:val="1"/>
    <w:next w:val="1"/>
    <w:link w:val="52"/>
    <w:autoRedefine/>
    <w:qFormat/>
    <w:uiPriority w:val="0"/>
    <w:pPr>
      <w:jc w:val="left"/>
    </w:pPr>
    <w:rPr>
      <w:rFonts w:ascii="Calibri" w:hAnsi="Calibri" w:eastAsia="宋体" w:cs="Times New Roman"/>
    </w:rPr>
  </w:style>
  <w:style w:type="paragraph" w:styleId="9">
    <w:name w:val="Body Text"/>
    <w:basedOn w:val="1"/>
    <w:next w:val="10"/>
    <w:autoRedefine/>
    <w:qFormat/>
    <w:uiPriority w:val="0"/>
  </w:style>
  <w:style w:type="paragraph" w:styleId="10">
    <w:name w:val="List Bullet 5"/>
    <w:basedOn w:val="1"/>
    <w:autoRedefine/>
    <w:qFormat/>
    <w:uiPriority w:val="0"/>
    <w:pPr>
      <w:numPr>
        <w:ilvl w:val="0"/>
        <w:numId w:val="1"/>
      </w:numPr>
    </w:pPr>
  </w:style>
  <w:style w:type="paragraph" w:styleId="11">
    <w:name w:val="Body Text Indent"/>
    <w:basedOn w:val="1"/>
    <w:autoRedefine/>
    <w:qFormat/>
    <w:uiPriority w:val="0"/>
    <w:pPr>
      <w:ind w:firstLine="480"/>
    </w:pPr>
  </w:style>
  <w:style w:type="paragraph" w:styleId="12">
    <w:name w:val="Plain Text"/>
    <w:basedOn w:val="1"/>
    <w:autoRedefine/>
    <w:qFormat/>
    <w:uiPriority w:val="0"/>
    <w:pPr>
      <w:spacing w:line="360" w:lineRule="exact"/>
    </w:pPr>
    <w:rPr>
      <w:rFonts w:ascii="宋体" w:hAnsi="Courier New"/>
      <w:szCs w:val="20"/>
    </w:rPr>
  </w:style>
  <w:style w:type="paragraph" w:styleId="13">
    <w:name w:val="Body Text Indent 2"/>
    <w:basedOn w:val="1"/>
    <w:autoRedefine/>
    <w:qFormat/>
    <w:uiPriority w:val="99"/>
    <w:pPr>
      <w:spacing w:line="480" w:lineRule="auto"/>
      <w:ind w:left="420" w:leftChars="200" w:firstLine="0" w:firstLineChars="0"/>
    </w:pPr>
    <w:rPr>
      <w:kern w:val="0"/>
      <w:szCs w:val="24"/>
    </w:rPr>
  </w:style>
  <w:style w:type="paragraph" w:styleId="14">
    <w:name w:val="Balloon Text"/>
    <w:basedOn w:val="1"/>
    <w:link w:val="50"/>
    <w:autoRedefine/>
    <w:qFormat/>
    <w:uiPriority w:val="0"/>
    <w:pPr>
      <w:spacing w:line="240" w:lineRule="auto"/>
    </w:pPr>
    <w:rPr>
      <w:sz w:val="18"/>
      <w:szCs w:val="18"/>
    </w:rPr>
  </w:style>
  <w:style w:type="paragraph" w:styleId="15">
    <w:name w:val="footer"/>
    <w:basedOn w:val="1"/>
    <w:autoRedefine/>
    <w:qFormat/>
    <w:uiPriority w:val="0"/>
    <w:pPr>
      <w:tabs>
        <w:tab w:val="center" w:pos="4153"/>
        <w:tab w:val="right" w:pos="8306"/>
      </w:tabs>
      <w:snapToGrid w:val="0"/>
      <w:jc w:val="left"/>
    </w:pPr>
    <w:rPr>
      <w:sz w:val="18"/>
      <w:szCs w:val="18"/>
    </w:rPr>
  </w:style>
  <w:style w:type="paragraph" w:styleId="16">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autoRedefine/>
    <w:qFormat/>
    <w:uiPriority w:val="0"/>
  </w:style>
  <w:style w:type="paragraph" w:styleId="18">
    <w:name w:val="Body Text Indent 3"/>
    <w:basedOn w:val="1"/>
    <w:autoRedefine/>
    <w:qFormat/>
    <w:uiPriority w:val="0"/>
    <w:pPr>
      <w:tabs>
        <w:tab w:val="left" w:pos="604"/>
      </w:tabs>
      <w:ind w:firstLine="600"/>
    </w:pPr>
    <w:rPr>
      <w:szCs w:val="24"/>
    </w:rPr>
  </w:style>
  <w:style w:type="paragraph" w:styleId="19">
    <w:name w:val="Normal (Web)"/>
    <w:basedOn w:val="1"/>
    <w:autoRedefine/>
    <w:qFormat/>
    <w:uiPriority w:val="0"/>
  </w:style>
  <w:style w:type="paragraph" w:styleId="20">
    <w:name w:val="annotation subject"/>
    <w:basedOn w:val="8"/>
    <w:next w:val="8"/>
    <w:link w:val="53"/>
    <w:autoRedefine/>
    <w:qFormat/>
    <w:uiPriority w:val="0"/>
    <w:rPr>
      <w:rFonts w:ascii="Times New Roman" w:hAnsi="Times New Roman" w:eastAsiaTheme="minorEastAsia" w:cstheme="minorBidi"/>
      <w:b/>
      <w:bCs/>
    </w:rPr>
  </w:style>
  <w:style w:type="paragraph" w:styleId="21">
    <w:name w:val="Body Text First Indent"/>
    <w:basedOn w:val="9"/>
    <w:next w:val="1"/>
    <w:autoRedefine/>
    <w:qFormat/>
    <w:uiPriority w:val="0"/>
    <w:pPr>
      <w:spacing w:after="120" w:line="240" w:lineRule="auto"/>
      <w:ind w:firstLine="420" w:firstLineChars="100"/>
    </w:pPr>
    <w:rPr>
      <w:sz w:val="21"/>
    </w:rPr>
  </w:style>
  <w:style w:type="paragraph" w:styleId="22">
    <w:name w:val="Body Text First Indent 2"/>
    <w:basedOn w:val="11"/>
    <w:next w:val="21"/>
    <w:autoRedefine/>
    <w:qFormat/>
    <w:uiPriority w:val="0"/>
    <w:pPr>
      <w:ind w:firstLine="420"/>
    </w:pPr>
  </w:style>
  <w:style w:type="table" w:styleId="24">
    <w:name w:val="Table Grid"/>
    <w:basedOn w:val="2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autoRedefine/>
    <w:qFormat/>
    <w:uiPriority w:val="0"/>
  </w:style>
  <w:style w:type="character" w:styleId="27">
    <w:name w:val="Emphasis"/>
    <w:basedOn w:val="25"/>
    <w:autoRedefine/>
    <w:qFormat/>
    <w:uiPriority w:val="0"/>
    <w:rPr>
      <w:i/>
    </w:rPr>
  </w:style>
  <w:style w:type="character" w:styleId="28">
    <w:name w:val="Hyperlink"/>
    <w:basedOn w:val="25"/>
    <w:autoRedefine/>
    <w:qFormat/>
    <w:uiPriority w:val="0"/>
    <w:rPr>
      <w:color w:val="0000FF"/>
      <w:u w:val="single"/>
    </w:rPr>
  </w:style>
  <w:style w:type="character" w:styleId="29">
    <w:name w:val="annotation reference"/>
    <w:basedOn w:val="25"/>
    <w:autoRedefine/>
    <w:qFormat/>
    <w:uiPriority w:val="0"/>
    <w:rPr>
      <w:rFonts w:cs="Times New Roman"/>
      <w:sz w:val="21"/>
      <w:szCs w:val="21"/>
    </w:rPr>
  </w:style>
  <w:style w:type="paragraph" w:customStyle="1" w:styleId="30">
    <w:name w:val="Default"/>
    <w:autoRedefine/>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paragraph" w:customStyle="1" w:styleId="31">
    <w:name w:val="表格"/>
    <w:basedOn w:val="1"/>
    <w:next w:val="1"/>
    <w:autoRedefine/>
    <w:qFormat/>
    <w:uiPriority w:val="0"/>
    <w:pPr>
      <w:jc w:val="center"/>
    </w:pPr>
  </w:style>
  <w:style w:type="paragraph" w:customStyle="1" w:styleId="32">
    <w:name w:val="表格标题"/>
    <w:basedOn w:val="1"/>
    <w:next w:val="1"/>
    <w:link w:val="51"/>
    <w:autoRedefine/>
    <w:qFormat/>
    <w:uiPriority w:val="0"/>
    <w:pPr>
      <w:ind w:firstLine="0" w:firstLineChars="0"/>
      <w:jc w:val="center"/>
    </w:pPr>
    <w:rPr>
      <w:rFonts w:eastAsia="宋体" w:cs="Times New Roman"/>
      <w:b/>
      <w:szCs w:val="24"/>
    </w:rPr>
  </w:style>
  <w:style w:type="character" w:customStyle="1" w:styleId="33">
    <w:name w:val="表格内容 Char"/>
    <w:link w:val="7"/>
    <w:autoRedefine/>
    <w:qFormat/>
    <w:uiPriority w:val="0"/>
    <w:rPr>
      <w:rFonts w:ascii="Times New Roman" w:hAnsi="Times New Roman" w:eastAsia="宋体" w:cs="Times New Roman"/>
      <w:kern w:val="2"/>
      <w:sz w:val="21"/>
      <w:szCs w:val="21"/>
    </w:rPr>
  </w:style>
  <w:style w:type="paragraph" w:customStyle="1" w:styleId="34">
    <w:name w:val="正文lcc"/>
    <w:basedOn w:val="1"/>
    <w:autoRedefine/>
    <w:qFormat/>
    <w:uiPriority w:val="0"/>
    <w:pPr>
      <w:snapToGrid w:val="0"/>
      <w:ind w:firstLine="480"/>
    </w:pPr>
    <w:rPr>
      <w:color w:val="000000"/>
      <w:szCs w:val="20"/>
    </w:rPr>
  </w:style>
  <w:style w:type="paragraph" w:customStyle="1" w:styleId="35">
    <w:name w:val="WPS Plain"/>
    <w:autoRedefine/>
    <w:qFormat/>
    <w:uiPriority w:val="0"/>
    <w:rPr>
      <w:rFonts w:ascii="Times New Roman" w:hAnsi="Times New Roman" w:eastAsia="宋体" w:cs="Times New Roman"/>
      <w:sz w:val="21"/>
      <w:szCs w:val="22"/>
      <w:lang w:val="en-US" w:eastAsia="zh-CN" w:bidi="ar-SA"/>
    </w:rPr>
  </w:style>
  <w:style w:type="paragraph" w:customStyle="1" w:styleId="36">
    <w:name w:val="表文-lcc"/>
    <w:basedOn w:val="1"/>
    <w:autoRedefine/>
    <w:qFormat/>
    <w:uiPriority w:val="0"/>
    <w:pPr>
      <w:jc w:val="center"/>
    </w:pPr>
    <w:rPr>
      <w:szCs w:val="21"/>
    </w:rPr>
  </w:style>
  <w:style w:type="paragraph" w:customStyle="1" w:styleId="37">
    <w:name w:val="标题3李程程、"/>
    <w:basedOn w:val="30"/>
    <w:autoRedefine/>
    <w:qFormat/>
    <w:uiPriority w:val="0"/>
    <w:pPr>
      <w:spacing w:line="360" w:lineRule="auto"/>
    </w:pPr>
    <w:rPr>
      <w:b/>
      <w:kern w:val="2"/>
    </w:rPr>
  </w:style>
  <w:style w:type="paragraph" w:customStyle="1" w:styleId="38">
    <w:name w:val="正文lcc1"/>
    <w:basedOn w:val="1"/>
    <w:autoRedefine/>
    <w:qFormat/>
    <w:uiPriority w:val="0"/>
    <w:rPr>
      <w:color w:val="000000"/>
      <w:szCs w:val="20"/>
    </w:rPr>
  </w:style>
  <w:style w:type="paragraph" w:customStyle="1" w:styleId="39">
    <w:name w:val="表格文字"/>
    <w:basedOn w:val="1"/>
    <w:autoRedefine/>
    <w:qFormat/>
    <w:uiPriority w:val="0"/>
    <w:pPr>
      <w:adjustRightInd w:val="0"/>
      <w:snapToGrid w:val="0"/>
      <w:jc w:val="center"/>
    </w:pPr>
    <w:rPr>
      <w:rFonts w:ascii="仿宋_GB2312" w:hAnsi="Arial Black" w:eastAsia="仿宋_GB2312" w:cs="Times New Roman"/>
      <w:kern w:val="44"/>
      <w:szCs w:val="20"/>
    </w:rPr>
  </w:style>
  <w:style w:type="paragraph" w:customStyle="1" w:styleId="40">
    <w:name w:val="正文lcc2"/>
    <w:basedOn w:val="9"/>
    <w:autoRedefine/>
    <w:qFormat/>
    <w:uiPriority w:val="0"/>
    <w:rPr>
      <w:b/>
    </w:rPr>
  </w:style>
  <w:style w:type="paragraph" w:customStyle="1" w:styleId="41">
    <w:name w:val="表头lcc1"/>
    <w:basedOn w:val="1"/>
    <w:autoRedefine/>
    <w:qFormat/>
    <w:uiPriority w:val="0"/>
    <w:pPr>
      <w:jc w:val="center"/>
    </w:pPr>
    <w:rPr>
      <w:b/>
      <w:kern w:val="0"/>
      <w:szCs w:val="20"/>
    </w:rPr>
  </w:style>
  <w:style w:type="paragraph" w:styleId="42">
    <w:name w:val="List Paragraph"/>
    <w:basedOn w:val="1"/>
    <w:autoRedefine/>
    <w:unhideWhenUsed/>
    <w:qFormat/>
    <w:uiPriority w:val="99"/>
    <w:pPr>
      <w:ind w:firstLine="420"/>
    </w:pPr>
  </w:style>
  <w:style w:type="character" w:customStyle="1" w:styleId="43">
    <w:name w:val="font31"/>
    <w:basedOn w:val="25"/>
    <w:autoRedefine/>
    <w:qFormat/>
    <w:uiPriority w:val="0"/>
    <w:rPr>
      <w:rFonts w:hint="default" w:ascii="Times New Roman" w:hAnsi="Times New Roman" w:cs="Times New Roman"/>
      <w:color w:val="000000"/>
      <w:sz w:val="21"/>
      <w:szCs w:val="21"/>
      <w:u w:val="none"/>
      <w:vertAlign w:val="superscript"/>
    </w:rPr>
  </w:style>
  <w:style w:type="character" w:customStyle="1" w:styleId="44">
    <w:name w:val="font01"/>
    <w:basedOn w:val="25"/>
    <w:autoRedefine/>
    <w:qFormat/>
    <w:uiPriority w:val="0"/>
    <w:rPr>
      <w:rFonts w:hint="eastAsia" w:ascii="宋体" w:hAnsi="宋体" w:eastAsia="宋体" w:cs="宋体"/>
      <w:b/>
      <w:color w:val="000000"/>
      <w:sz w:val="18"/>
      <w:szCs w:val="18"/>
      <w:u w:val="none"/>
    </w:rPr>
  </w:style>
  <w:style w:type="character" w:customStyle="1" w:styleId="45">
    <w:name w:val="font21"/>
    <w:basedOn w:val="25"/>
    <w:autoRedefine/>
    <w:qFormat/>
    <w:uiPriority w:val="0"/>
    <w:rPr>
      <w:rFonts w:hint="default" w:ascii="Times New Roman" w:hAnsi="Times New Roman" w:cs="Times New Roman"/>
      <w:color w:val="000000"/>
      <w:sz w:val="21"/>
      <w:szCs w:val="21"/>
      <w:u w:val="none"/>
    </w:rPr>
  </w:style>
  <w:style w:type="paragraph" w:customStyle="1" w:styleId="46">
    <w:name w:val="正文缩进1"/>
    <w:basedOn w:val="1"/>
    <w:autoRedefine/>
    <w:qFormat/>
    <w:uiPriority w:val="0"/>
    <w:pPr>
      <w:adjustRightInd w:val="0"/>
      <w:spacing w:line="240" w:lineRule="auto"/>
      <w:ind w:firstLine="420"/>
      <w:textAlignment w:val="baseline"/>
    </w:pPr>
    <w:rPr>
      <w:rFonts w:ascii="宋体" w:hAnsi="宋体" w:eastAsia="宋体" w:cs="Times New Roman"/>
      <w:szCs w:val="20"/>
    </w:rPr>
  </w:style>
  <w:style w:type="paragraph" w:customStyle="1" w:styleId="47">
    <w:name w:val="正文文本缩进1"/>
    <w:basedOn w:val="1"/>
    <w:autoRedefine/>
    <w:qFormat/>
    <w:uiPriority w:val="0"/>
    <w:pPr>
      <w:adjustRightInd w:val="0"/>
      <w:spacing w:after="120"/>
      <w:ind w:left="420" w:leftChars="200"/>
      <w:textAlignment w:val="baseline"/>
    </w:pPr>
  </w:style>
  <w:style w:type="paragraph" w:customStyle="1" w:styleId="48">
    <w:name w:val="4S"/>
    <w:basedOn w:val="1"/>
    <w:autoRedefine/>
    <w:qFormat/>
    <w:uiPriority w:val="0"/>
    <w:pPr>
      <w:ind w:firstLine="480"/>
    </w:pPr>
    <w:rPr>
      <w:rFonts w:ascii="楷体" w:hAnsi="楷体" w:eastAsia="楷体" w:cs="Times New Roman"/>
      <w:szCs w:val="20"/>
    </w:rPr>
  </w:style>
  <w:style w:type="paragraph" w:customStyle="1" w:styleId="49">
    <w:name w:val="小四表文左齐"/>
    <w:basedOn w:val="1"/>
    <w:autoRedefine/>
    <w:qFormat/>
    <w:uiPriority w:val="0"/>
    <w:pPr>
      <w:adjustRightInd w:val="0"/>
      <w:snapToGrid w:val="0"/>
      <w:jc w:val="center"/>
    </w:pPr>
    <w:rPr>
      <w:rFonts w:ascii="仿宋_GB2312" w:eastAsia="仿宋_GB2312"/>
      <w:szCs w:val="24"/>
    </w:rPr>
  </w:style>
  <w:style w:type="character" w:customStyle="1" w:styleId="50">
    <w:name w:val="批注框文本 Char"/>
    <w:basedOn w:val="25"/>
    <w:link w:val="14"/>
    <w:autoRedefine/>
    <w:qFormat/>
    <w:uiPriority w:val="0"/>
    <w:rPr>
      <w:rFonts w:ascii="Times New Roman" w:hAnsi="Times New Roman"/>
      <w:kern w:val="2"/>
      <w:sz w:val="18"/>
      <w:szCs w:val="18"/>
    </w:rPr>
  </w:style>
  <w:style w:type="character" w:customStyle="1" w:styleId="51">
    <w:name w:val="表格标题 Char"/>
    <w:link w:val="32"/>
    <w:autoRedefine/>
    <w:qFormat/>
    <w:uiPriority w:val="0"/>
    <w:rPr>
      <w:rFonts w:ascii="Times New Roman" w:hAnsi="Times New Roman" w:eastAsia="宋体" w:cs="Times New Roman"/>
      <w:b/>
      <w:kern w:val="2"/>
      <w:sz w:val="24"/>
      <w:szCs w:val="24"/>
    </w:rPr>
  </w:style>
  <w:style w:type="character" w:customStyle="1" w:styleId="52">
    <w:name w:val="批注文字 Char"/>
    <w:basedOn w:val="25"/>
    <w:link w:val="8"/>
    <w:autoRedefine/>
    <w:qFormat/>
    <w:uiPriority w:val="0"/>
    <w:rPr>
      <w:rFonts w:ascii="Calibri" w:hAnsi="Calibri" w:eastAsia="宋体" w:cs="Times New Roman"/>
      <w:kern w:val="2"/>
      <w:sz w:val="24"/>
      <w:szCs w:val="22"/>
    </w:rPr>
  </w:style>
  <w:style w:type="character" w:customStyle="1" w:styleId="53">
    <w:name w:val="批注主题 Char"/>
    <w:basedOn w:val="52"/>
    <w:link w:val="20"/>
    <w:autoRedefine/>
    <w:qFormat/>
    <w:uiPriority w:val="0"/>
    <w:rPr>
      <w:rFonts w:ascii="Times New Roman" w:hAnsi="Times New Roman" w:eastAsia="宋体" w:cs="Times New Roman"/>
      <w:b/>
      <w:bCs/>
      <w:kern w:val="2"/>
      <w:sz w:val="24"/>
      <w:szCs w:val="22"/>
    </w:rPr>
  </w:style>
  <w:style w:type="paragraph" w:customStyle="1" w:styleId="54">
    <w:name w:val="正文文本缩进2"/>
    <w:basedOn w:val="1"/>
    <w:autoRedefine/>
    <w:qFormat/>
    <w:uiPriority w:val="0"/>
    <w:pPr>
      <w:adjustRightInd w:val="0"/>
      <w:spacing w:after="120"/>
      <w:ind w:left="420" w:leftChars="200"/>
      <w:textAlignment w:val="baseline"/>
    </w:pPr>
  </w:style>
  <w:style w:type="character" w:customStyle="1" w:styleId="55">
    <w:name w:val="font11"/>
    <w:basedOn w:val="25"/>
    <w:autoRedefine/>
    <w:qFormat/>
    <w:uiPriority w:val="0"/>
    <w:rPr>
      <w:rFonts w:hint="eastAsia" w:ascii="宋体" w:hAnsi="宋体" w:eastAsia="宋体" w:cs="宋体"/>
      <w:color w:val="000000"/>
      <w:sz w:val="22"/>
      <w:szCs w:val="22"/>
      <w:u w:val="none"/>
    </w:rPr>
  </w:style>
  <w:style w:type="character" w:customStyle="1" w:styleId="56">
    <w:name w:val="font41"/>
    <w:basedOn w:val="25"/>
    <w:autoRedefine/>
    <w:qFormat/>
    <w:uiPriority w:val="0"/>
    <w:rPr>
      <w:rFonts w:hint="eastAsia" w:ascii="宋体" w:hAnsi="宋体" w:eastAsia="宋体" w:cs="宋体"/>
      <w:color w:val="000000"/>
      <w:sz w:val="16"/>
      <w:szCs w:val="16"/>
      <w:u w:val="none"/>
    </w:rPr>
  </w:style>
  <w:style w:type="character" w:customStyle="1" w:styleId="57">
    <w:name w:val="font51"/>
    <w:basedOn w:val="25"/>
    <w:autoRedefine/>
    <w:qFormat/>
    <w:uiPriority w:val="0"/>
    <w:rPr>
      <w:rFonts w:hint="default" w:ascii="Calibri" w:hAnsi="Calibri" w:cs="Calibri"/>
      <w:color w:val="000000"/>
      <w:sz w:val="21"/>
      <w:szCs w:val="21"/>
      <w:u w:val="none"/>
    </w:rPr>
  </w:style>
  <w:style w:type="character" w:customStyle="1" w:styleId="58">
    <w:name w:val="font61"/>
    <w:basedOn w:val="25"/>
    <w:autoRedefine/>
    <w:qFormat/>
    <w:uiPriority w:val="0"/>
    <w:rPr>
      <w:rFonts w:hint="eastAsia" w:ascii="宋体" w:hAnsi="宋体" w:eastAsia="宋体" w:cs="宋体"/>
      <w:color w:val="000000"/>
      <w:sz w:val="21"/>
      <w:szCs w:val="21"/>
      <w:u w:val="none"/>
    </w:rPr>
  </w:style>
  <w:style w:type="character" w:customStyle="1" w:styleId="59">
    <w:name w:val="font71"/>
    <w:basedOn w:val="25"/>
    <w:autoRedefine/>
    <w:qFormat/>
    <w:uiPriority w:val="0"/>
    <w:rPr>
      <w:rFonts w:hint="default" w:ascii="Calibri" w:hAnsi="Calibri" w:cs="Calibri"/>
      <w:color w:val="000000"/>
      <w:sz w:val="22"/>
      <w:szCs w:val="22"/>
      <w:u w:val="none"/>
    </w:rPr>
  </w:style>
  <w:style w:type="paragraph" w:customStyle="1" w:styleId="60">
    <w:name w:val="Table Paragraph"/>
    <w:basedOn w:val="1"/>
    <w:autoRedefine/>
    <w:qFormat/>
    <w:uiPriority w:val="1"/>
    <w:rPr>
      <w:rFonts w:ascii="宋体" w:hAnsi="宋体" w:eastAsia="宋体" w:cs="宋体"/>
      <w:lang w:val="zh-CN" w:bidi="zh-CN"/>
    </w:rPr>
  </w:style>
  <w:style w:type="character" w:customStyle="1" w:styleId="61">
    <w:name w:val="font81"/>
    <w:autoRedefine/>
    <w:qFormat/>
    <w:uiPriority w:val="0"/>
    <w:rPr>
      <w:rFonts w:hint="eastAsia" w:ascii="宋体" w:hAnsi="宋体" w:eastAsia="宋体" w:cs="宋体"/>
      <w:b/>
      <w:color w:val="000000"/>
      <w:sz w:val="21"/>
      <w:szCs w:val="21"/>
      <w:u w:val="none"/>
    </w:rPr>
  </w:style>
  <w:style w:type="character" w:customStyle="1" w:styleId="62">
    <w:name w:val="16"/>
    <w:autoRedefine/>
    <w:qFormat/>
    <w:uiPriority w:val="0"/>
    <w:rPr>
      <w:rFonts w:hint="default" w:ascii="Times New Roman" w:hAnsi="Times New Roman" w:cs="Times New Roman"/>
      <w:color w:val="000000"/>
      <w:sz w:val="21"/>
      <w:szCs w:val="21"/>
    </w:rPr>
  </w:style>
  <w:style w:type="character" w:customStyle="1" w:styleId="63">
    <w:name w:val="15"/>
    <w:autoRedefine/>
    <w:qFormat/>
    <w:uiPriority w:val="0"/>
    <w:rPr>
      <w:rFonts w:hint="default" w:ascii="Times New Roman" w:hAnsi="Times New Roman" w:cs="Times New Roman"/>
      <w:color w:val="000000"/>
      <w:sz w:val="20"/>
      <w:szCs w:val="20"/>
    </w:rPr>
  </w:style>
  <w:style w:type="character" w:customStyle="1" w:styleId="64">
    <w:name w:val="font101"/>
    <w:basedOn w:val="25"/>
    <w:autoRedefine/>
    <w:qFormat/>
    <w:uiPriority w:val="0"/>
    <w:rPr>
      <w:rFonts w:ascii="等线" w:hAnsi="等线" w:eastAsia="等线" w:cs="等线"/>
      <w:b/>
      <w:bCs/>
      <w:color w:val="000000"/>
      <w:sz w:val="22"/>
      <w:szCs w:val="22"/>
      <w:u w:val="none"/>
    </w:rPr>
  </w:style>
  <w:style w:type="table" w:customStyle="1" w:styleId="65">
    <w:name w:val="Table Normal"/>
    <w:autoRedefine/>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66">
    <w:name w:val="WPSOffice手动目录 1"/>
    <w:autoRedefine/>
    <w:qFormat/>
    <w:uiPriority w:val="0"/>
    <w:pPr>
      <w:ind w:leftChars="0"/>
    </w:pPr>
    <w:rPr>
      <w:rFonts w:ascii="Times New Roman" w:hAnsi="Times New Roman" w:eastAsia="宋体" w:cs="Times New Roman"/>
      <w:sz w:val="20"/>
      <w:szCs w:val="20"/>
    </w:rPr>
  </w:style>
  <w:style w:type="paragraph" w:customStyle="1" w:styleId="67">
    <w:name w:val="表头"/>
    <w:basedOn w:val="1"/>
    <w:autoRedefine/>
    <w:qFormat/>
    <w:uiPriority w:val="0"/>
    <w:pPr>
      <w:adjustRightInd w:val="0"/>
      <w:snapToGrid w:val="0"/>
      <w:spacing w:line="240" w:lineRule="auto"/>
      <w:ind w:firstLine="0" w:firstLineChars="0"/>
      <w:jc w:val="center"/>
    </w:pPr>
    <w:rPr>
      <w:b/>
      <w:sz w:val="21"/>
      <w:szCs w:val="21"/>
    </w:rPr>
  </w:style>
  <w:style w:type="paragraph" w:customStyle="1" w:styleId="68">
    <w:name w:val="首行缩进"/>
    <w:basedOn w:val="1"/>
    <w:autoRedefine/>
    <w:qFormat/>
    <w:uiPriority w:val="0"/>
    <w:pPr>
      <w:ind w:firstLine="480"/>
    </w:pPr>
  </w:style>
  <w:style w:type="paragraph" w:customStyle="1" w:styleId="69">
    <w:name w:val="样式 自动设置"/>
    <w:basedOn w:val="1"/>
    <w:autoRedefine/>
    <w:qFormat/>
    <w:uiPriority w:val="0"/>
    <w:pPr>
      <w:autoSpaceDE w:val="0"/>
      <w:autoSpaceDN w:val="0"/>
      <w:adjustRightInd w:val="0"/>
      <w:snapToGrid w:val="0"/>
      <w:spacing w:beforeLines="50" w:line="288" w:lineRule="auto"/>
    </w:pPr>
  </w:style>
  <w:style w:type="paragraph" w:customStyle="1" w:styleId="70">
    <w:name w:val="报告表格"/>
    <w:basedOn w:val="1"/>
    <w:autoRedefine/>
    <w:qFormat/>
    <w:uiPriority w:val="0"/>
    <w:pPr>
      <w:autoSpaceDE w:val="0"/>
      <w:autoSpaceDN w:val="0"/>
      <w:adjustRightInd w:val="0"/>
      <w:spacing w:line="280" w:lineRule="exact"/>
      <w:ind w:firstLine="720" w:firstLineChars="200"/>
      <w:jc w:val="center"/>
      <w:textAlignment w:val="bottom"/>
    </w:pPr>
    <w:rPr>
      <w:rFonts w:ascii="宋体" w:hAnsi="宋体"/>
      <w:kern w:val="0"/>
      <w:sz w:val="24"/>
      <w:szCs w:val="21"/>
    </w:rPr>
  </w:style>
  <w:style w:type="paragraph" w:customStyle="1" w:styleId="71">
    <w:name w:val="正文001"/>
    <w:basedOn w:val="1"/>
    <w:autoRedefine/>
    <w:qFormat/>
    <w:uiPriority w:val="0"/>
    <w:pPr>
      <w:spacing w:before="60" w:line="460" w:lineRule="exact"/>
      <w:ind w:firstLine="482" w:firstLineChars="200"/>
    </w:pPr>
    <w:rPr>
      <w:sz w:val="24"/>
      <w:szCs w:val="20"/>
    </w:rPr>
  </w:style>
  <w:style w:type="paragraph" w:customStyle="1" w:styleId="72">
    <w:name w:val="1文章"/>
    <w:basedOn w:val="1"/>
    <w:autoRedefine/>
    <w:qFormat/>
    <w:uiPriority w:val="0"/>
    <w:pPr>
      <w:snapToGrid w:val="0"/>
      <w:ind w:firstLine="573"/>
    </w:pPr>
    <w:rPr>
      <w:rFonts w:eastAsia="仿宋_GB2312" w:cs="Times New Roman"/>
      <w:sz w:val="28"/>
      <w:szCs w:val="20"/>
    </w:rPr>
  </w:style>
  <w:style w:type="paragraph" w:customStyle="1" w:styleId="73">
    <w:name w:val="Table Text"/>
    <w:basedOn w:val="1"/>
    <w:semiHidden/>
    <w:qFormat/>
    <w:uiPriority w:val="0"/>
    <w:rPr>
      <w:rFonts w:ascii="宋体" w:hAnsi="宋体" w:eastAsia="宋体" w:cs="宋体"/>
      <w:sz w:val="19"/>
      <w:szCs w:val="19"/>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header" Target="header1.xml"/><Relationship Id="rId69" Type="http://schemas.openxmlformats.org/officeDocument/2006/relationships/customXml" Target="../customXml/item1.xml"/><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jpe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jpe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E2NzU5OTA4ODM1IiwKCSJHcm91cElkIiA6ICIyMjk4Mzc4Mjg5IiwKCSJJbWFnZSIgOiAiaVZCT1J3MEtHZ29BQUFBTlNVaEVVZ0FBQTBJQUFBT0hDQVlBQUFBS2UvTnpBQUFBQVhOU1IwSUFyczRjNlFBQUlBQkpSRUZVZUp6czNYbGMxTlgrUC9EWFo1aUJBVUZjUU5GY0VFeUZYTUJ5UXkyMXRISTM3ZUtXV3ZuVlROT1NVbTlXWGx1dTJVM1QzSTAwbDlSY0U4M01GQ1hUVkZRSURjUVZBeFNWTFFaa2hsbk83dy9rODJNY05uVmdnSGs5SDQ4ZUQrYWM4em56SGg3MzQ1MDNuM1BlQnlB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pHRi93ZFNvVUlhelhuc3ZnQUFBQUJKUlU1RXJrSmdnZz09IiwKCSJUaGVtZSIgOiAiIiwKCSJUeXBlIiA6ICJmbG93IiwKCSJWZXJzaW9uIiA6ICIiCn0K"/>
    </extobj>
    <extobj name="ECB019B1-382A-4266-B25C-5B523AA43C14-2">
      <extobjdata type="ECB019B1-382A-4266-B25C-5B523AA43C14" data="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"/>
    </extobj>
    <extobj name="ECB019B1-382A-4266-B25C-5B523AA43C14-3">
      <extobjdata type="ECB019B1-382A-4266-B25C-5B523AA43C14" data="ewoJIkZpbGVJZCIgOiAiMzE2NzY1MTM4ODYxIiwKCSJHcm91cElkIiA6ICIyMjk4Mzc4Mjg5IiwKCSJJbWFnZSIgOiAiaVZCT1J3MEtHZ29BQUFBTlNVaEVVZ0FBQW5ZQUFBTlBDQVlBQUFCWFZwSW9BQUFBQVhOU1IwSUFyczRjNlFBQUlBQkpSRUZVZUp6czNYZFVWT2Y2TnVCN3p3eE5taHFNR2h2MmpxS0o5Yk1saWttTUdMdlJtTmhOamkwS1JxTWUyOCtTUkkyeGl5VXExbURYYUNLeGhpQ3hnbUJBRkEwZU9XSkJSWXBNZjc4L2tIMFlCeENVWVhDOHI3VmNpM2wzZXphNFo1NTVLME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LcWEvNGZ6WHl1ZDJlRm80OEFBQUFBU1VWT1JLNUNZSUk9IiwKCSJUaGVtZSIgOiAiIiwKCSJUeXBlIiA6ICJmbG93IiwKCSJWZXJzaW9uIiA6ICIiCn0K"/>
    </extobj>
    <extobj name="ECB019B1-382A-4266-B25C-5B523AA43C14-4">
      <extobjdata type="ECB019B1-382A-4266-B25C-5B523AA43C14" data="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"/>
    </extobj>
    <extobj name="ECB019B1-382A-4266-B25C-5B523AA43C14-5">
      <extobjdata type="ECB019B1-382A-4266-B25C-5B523AA43C14" data="ewoJIkZpbGVJZCIgOiAiMzU4MzA5Mzc2ODcxIiwKCSJHcm91cElkIiA6ICIyMjk4Mzc4Mjg5IiwKCSJJbWFnZSIgOiAiaVZCT1J3MEtHZ29BQUFBTlNVaEVVZ0FBQkh3QUFBQ3VDQVlBQUFCRU1Sb1lBQUFBQVhOU1IwSUFyczRjNlFBQUlBQkpSRUZVZUp6czNYZFlVOWNiQi9EdlRjSlNwZ3kxdUZGUnFoU3RXMXQvYm10YnE3WjJVSzJqcnJvUkY5WlJaMXNucmlwdVhCVUhpcWgxMUYyMTFqb3FyVGhBVVZCUlVFQldJQ0gzOXdmTkxTRmhqMUQ2L1R4UG41cWJtNXMzNFNZbjU3M252QWNn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StkTDhIMFVWUGhlTGRvRnhBQUFBQUVsRlRrU3VRbUNDIiwKCSJUaGVtZSIgOiAiIiwKCSJUeXBlIiA6ICJmbG93IiwKCSJWZXJzaW9uIiA6ICIiCn0K"/>
    </extobj>
    <extobj name="ECB019B1-382A-4266-B25C-5B523AA43C14-6">
      <extobjdata type="ECB019B1-382A-4266-B25C-5B523AA43C14" data="ewoJIkZpbGVJZCIgOiAiMzE3Nzk1NTcyNTc0IiwKCSJHcm91cElkIiA6ICIyMjk4Mzc4Mjg5IiwKCSJJbWFnZSIgOiAiaVZCT1J3MEtHZ29BQUFBTlNVaEVVZ0FBQkY4QUFBRXBDQVlBQUFCRm1ZMGZBQUFBQVhOU1IwSUFyczRjNlFBQUlBQkpSRUZVZUp6czNYbDRWTlg1Qi9EdmUyYVNUSUN3aVN3Vk1Rb0tKcERNdllON1ZWQUU2d0tXVnF1Q2lDdUthMTFSSzdVVmltdEIyVjBLUlZ3UnhRMS9VbkVEYTZ0bTdpVElJb0tpUm1RSElaQnQ1cjYvUHpKSko4bE1GcmFROFAwOEQ0K1pjODg5OTUxa1BIUG5uYk1B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NBcWVDLzRjc3hXbnVJQlZrQUFBQUFTVVZPUks1Q1lJST0iLAoJIlRoZW1lIiA6ICIiLAoJIlR5cGUiIDogImZsb3c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96</Pages>
  <Words>214</Words>
  <Characters>247</Characters>
  <Lines>496</Lines>
  <Paragraphs>139</Paragraphs>
  <TotalTime>16</TotalTime>
  <ScaleCrop>false</ScaleCrop>
  <LinksUpToDate>false</LinksUpToDate>
  <CharactersWithSpaces>320</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2020-04-15T09:28:00Z</dcterms:created>
  <dc:creator>CZS</dc:creator>
  <cp:lastModifiedBy>球球</cp:lastModifiedBy>
  <cp:lastPrinted>2024-02-19T07:10:00Z</cp:lastPrinted>
  <dcterms:modified xsi:type="dcterms:W3CDTF">2025-02-18T01:02:53Z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EE8129FD371B4BD1A059FBFA5B56BE60_13</vt:lpwstr>
  </property>
  <property fmtid="{D5CDD505-2E9C-101B-9397-08002B2CF9AE}" pid="4" name="KSOTemplateDocerSaveRecord">
    <vt:lpwstr>eyJoZGlkIjoiYWZhMzA0MTE2MGQ3ODcwOTgyMWY3NzY0ZDhkYzQxODciLCJ1c2VySWQiOiIzODk2NzQyOTcifQ==</vt:lpwstr>
  </property>
</Properties>
</file>