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24" w:beforeAutospacing="0" w:after="24" w:afterAutospacing="0" w:line="300" w:lineRule="atLeast"/>
        <w:jc w:val="center"/>
        <w:rPr>
          <w:sz w:val="36"/>
          <w:szCs w:val="36"/>
        </w:rPr>
      </w:pPr>
      <w:bookmarkStart w:id="0" w:name="_GoBack"/>
      <w:r>
        <w:rPr>
          <w:rFonts w:ascii="黑体" w:hAnsi="宋体" w:eastAsia="黑体" w:cs="黑体"/>
          <w:b/>
          <w:sz w:val="36"/>
          <w:szCs w:val="36"/>
        </w:rPr>
        <w:t>金坛区</w:t>
      </w:r>
      <w:r>
        <w:rPr>
          <w:rFonts w:hint="eastAsia" w:ascii="黑体" w:hAnsi="宋体" w:eastAsia="黑体" w:cs="黑体"/>
          <w:b/>
          <w:sz w:val="36"/>
          <w:szCs w:val="36"/>
        </w:rPr>
        <w:t>201</w:t>
      </w:r>
      <w:r>
        <w:rPr>
          <w:rFonts w:ascii="黑体" w:hAnsi="宋体" w:eastAsia="黑体" w:cs="黑体"/>
          <w:b/>
          <w:sz w:val="36"/>
          <w:szCs w:val="36"/>
        </w:rPr>
        <w:t>9</w:t>
      </w:r>
      <w:r>
        <w:rPr>
          <w:rFonts w:hint="eastAsia" w:ascii="黑体" w:hAnsi="宋体" w:eastAsia="黑体" w:cs="黑体"/>
          <w:b/>
          <w:sz w:val="36"/>
          <w:szCs w:val="36"/>
        </w:rPr>
        <w:t>年水稻品种应用意见</w:t>
      </w:r>
      <w:bookmarkEnd w:id="0"/>
      <w:r>
        <w:rPr>
          <w:sz w:val="36"/>
          <w:szCs w:val="36"/>
        </w:rPr>
        <w:t xml:space="preserve"> </w:t>
      </w:r>
    </w:p>
    <w:p>
      <w:pPr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为进一步运用农业科学技术，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适应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农业供给侧结构调整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完善产业体系，促进农民增收、粮食增产、农业增效，优化品种区域布局，引导广大农民选择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优质、高产、高抗的优良品种，保障农业生产安全，根据农作物品种推广利用推荐制和淘汰制的规定，我局在水稻新品种试验示范、品种观摩考察和座谈论证的基础上，对2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019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年水稻品种应用提出如下意见：</w:t>
      </w:r>
    </w:p>
    <w:p>
      <w:pPr>
        <w:ind w:firstLine="562" w:firstLineChars="200"/>
        <w:rPr>
          <w:rFonts w:ascii="仿宋" w:hAnsi="仿宋" w:eastAsia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z w:val="28"/>
          <w:szCs w:val="28"/>
          <w:shd w:val="clear" w:color="auto" w:fill="FFFFFF"/>
        </w:rPr>
        <w:t>粳稻主栽武运粳2</w:t>
      </w:r>
      <w:r>
        <w:rPr>
          <w:rFonts w:ascii="仿宋" w:hAnsi="仿宋" w:eastAsia="仿宋"/>
          <w:b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/>
          <w:b/>
          <w:color w:val="333333"/>
          <w:sz w:val="28"/>
          <w:szCs w:val="28"/>
          <w:shd w:val="clear" w:color="auto" w:fill="FFFFFF"/>
        </w:rPr>
        <w:t>号、南粳5</w:t>
      </w:r>
      <w:r>
        <w:rPr>
          <w:rFonts w:ascii="仿宋" w:hAnsi="仿宋" w:eastAsia="仿宋"/>
          <w:b/>
          <w:color w:val="333333"/>
          <w:sz w:val="28"/>
          <w:szCs w:val="28"/>
          <w:shd w:val="clear" w:color="auto" w:fill="FFFFFF"/>
        </w:rPr>
        <w:t>055</w:t>
      </w:r>
      <w:r>
        <w:rPr>
          <w:rFonts w:hint="eastAsia" w:ascii="仿宋" w:hAnsi="仿宋" w:eastAsia="仿宋"/>
          <w:b/>
          <w:color w:val="333333"/>
          <w:sz w:val="28"/>
          <w:szCs w:val="28"/>
          <w:shd w:val="clear" w:color="auto" w:fill="FFFFFF"/>
        </w:rPr>
        <w:t>，示范种植南粳3</w:t>
      </w:r>
      <w:r>
        <w:rPr>
          <w:rFonts w:ascii="仿宋" w:hAnsi="仿宋" w:eastAsia="仿宋"/>
          <w:b/>
          <w:color w:val="333333"/>
          <w:sz w:val="28"/>
          <w:szCs w:val="28"/>
          <w:shd w:val="clear" w:color="auto" w:fill="FFFFFF"/>
        </w:rPr>
        <w:t>908</w:t>
      </w:r>
      <w:r>
        <w:rPr>
          <w:rFonts w:hint="eastAsia" w:ascii="仿宋" w:hAnsi="仿宋" w:eastAsia="仿宋"/>
          <w:b/>
          <w:color w:val="333333"/>
          <w:sz w:val="28"/>
          <w:szCs w:val="28"/>
          <w:shd w:val="clear" w:color="auto" w:fill="FFFFFF"/>
        </w:rPr>
        <w:t>，糯稻以镇糯19号为主。</w:t>
      </w:r>
    </w:p>
    <w:p>
      <w:pPr>
        <w:spacing w:line="300" w:lineRule="atLeast"/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全区各级农业技术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推广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部门要认真履行职责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，进一步加大对优良品种的宣传推广力度，积极向农民、农资经营者宣传优良品种的特征特性，栽培技术要点，指导农民科学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选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用良种，充分发挥良种的最大增产潜力。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强化农作物种子市场监管，依法严厉打击违法生产经营种子行为。各种子生产经营企业、经销网点要守法、诚信经营，不得宣传销售假、劣种子和未经审定的品种，不得越区推广，切实加强技术指导和售后服务。广大农民朋友要提高自我保护意识，选用适宜本地种植的主推品种，并索要正规票据和品种技术资料，严格按照品种配套技术要求栽培，降低生产风险，提高生产效益。</w:t>
      </w:r>
    </w:p>
    <w:p>
      <w:pPr>
        <w:spacing w:line="300" w:lineRule="atLeast"/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spacing w:before="24" w:beforeAutospacing="0" w:after="24" w:afterAutospacing="0" w:line="300" w:lineRule="atLeast"/>
        <w:jc w:val="right"/>
      </w:pPr>
      <w:r>
        <w:rPr>
          <w:rFonts w:ascii="仿宋" w:hAnsi="仿宋" w:eastAsia="仿宋" w:cs="仿宋"/>
          <w:sz w:val="32"/>
          <w:szCs w:val="32"/>
        </w:rPr>
        <w:t>常州市金坛区</w:t>
      </w:r>
      <w:r>
        <w:rPr>
          <w:rFonts w:hint="eastAsia" w:ascii="仿宋" w:hAnsi="仿宋" w:eastAsia="仿宋" w:cs="仿宋"/>
          <w:sz w:val="32"/>
          <w:szCs w:val="32"/>
        </w:rPr>
        <w:t>农业农村</w:t>
      </w:r>
      <w:r>
        <w:rPr>
          <w:rFonts w:ascii="仿宋" w:hAnsi="仿宋" w:eastAsia="仿宋" w:cs="仿宋"/>
          <w:sz w:val="32"/>
          <w:szCs w:val="32"/>
        </w:rPr>
        <w:t>局</w:t>
      </w:r>
      <w:r>
        <w:t xml:space="preserve"> </w:t>
      </w:r>
    </w:p>
    <w:p>
      <w:pPr>
        <w:pStyle w:val="4"/>
        <w:widowControl/>
        <w:spacing w:before="24" w:beforeAutospacing="0" w:after="24" w:afterAutospacing="0" w:line="300" w:lineRule="atLeast"/>
        <w:jc w:val="center"/>
      </w:pPr>
      <w:r>
        <w:rPr>
          <w:rFonts w:ascii="Calibri" w:hAnsi="Calibri" w:eastAsia="仿宋" w:cs="Calibri"/>
          <w:sz w:val="32"/>
          <w:szCs w:val="32"/>
        </w:rPr>
        <w:t>  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201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t xml:space="preserve"> </w:t>
      </w: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pStyle w:val="4"/>
        <w:widowControl/>
        <w:spacing w:before="24" w:beforeAutospacing="0" w:after="24" w:afterAutospacing="0" w:line="300" w:lineRule="atLeast"/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品种简介</w:t>
      </w:r>
      <w:r>
        <w:t xml:space="preserve"> </w:t>
      </w:r>
    </w:p>
    <w:p>
      <w:pPr>
        <w:pStyle w:val="4"/>
        <w:widowControl/>
        <w:spacing w:before="24" w:beforeAutospacing="0" w:after="24" w:afterAutospacing="0" w:line="300" w:lineRule="atLeast"/>
        <w:jc w:val="center"/>
      </w:pPr>
      <w:r>
        <w:rPr>
          <w:rFonts w:ascii="仿宋_GB2312" w:eastAsia="仿宋_GB2312" w:cs="仿宋_GB2312"/>
          <w:b/>
          <w:sz w:val="32"/>
          <w:szCs w:val="32"/>
        </w:rPr>
        <w:t>武运粳23号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>一、审定编号</w:t>
      </w:r>
      <w:r>
        <w:rPr>
          <w:rFonts w:ascii="仿宋_GB2312" w:eastAsia="仿宋_GB2312" w:cs="仿宋_GB2312"/>
          <w:sz w:val="28"/>
          <w:szCs w:val="28"/>
        </w:rPr>
        <w:t xml:space="preserve">　苏审稻201014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>二、适应范围</w:t>
      </w:r>
      <w:r>
        <w:rPr>
          <w:rFonts w:ascii="仿宋_GB2312" w:eastAsia="仿宋_GB2312" w:cs="仿宋_GB2312"/>
          <w:sz w:val="28"/>
          <w:szCs w:val="28"/>
        </w:rPr>
        <w:t xml:space="preserve">  适宜江苏省沿江及苏南地区种植。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 xml:space="preserve">三、产量水平及特征特性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rPr>
          <w:rFonts w:ascii="仿宋_GB2312" w:eastAsia="仿宋_GB2312" w:cs="仿宋_GB2312"/>
          <w:sz w:val="28"/>
          <w:szCs w:val="28"/>
        </w:rPr>
        <w:t xml:space="preserve">2007-2008年参加江苏省区试，两年平均亩产616.6公斤，较对照武运粳7号增产9.1%，两年增产均达极显著水平，2009年生产试验平均亩产659.8公斤，较对照武运粳7号增产9.8%。株型紧凑，长势较旺，穗型中等，分蘖力较强，叶色中绿，群体整齐度好，后期转熟色好，抗倒性中等。省区试平均结果：每亩有效穗20.4万，每穗实粒数126粒，结实率90.1%，千粒重26克，株高97.3厘米，全生育期159天，与对照相当；接种鉴定：中感白叶枯病，感穗颈瘟、纹枯病，抗条纹叶枯病，2007-2009年田间种植鉴定最高穴发病率14.9%（感病对照三年平均穴发病率60.55%）；米质理化指标根据农业部食品质量检测中心2008年检测，整精米率62.6%，垩白粒率28.0%，垩白度4.4%，胶稠度84.0毫米，直链淀粉含量16%，达到国标三级优质稻谷标准。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 xml:space="preserve">四、栽培技术要点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rPr>
          <w:rFonts w:ascii="仿宋_GB2312" w:eastAsia="仿宋_GB2312" w:cs="仿宋_GB2312"/>
          <w:sz w:val="28"/>
          <w:szCs w:val="28"/>
        </w:rPr>
        <w:t>1、适期播种，培育壮秧。一般5月下旬播种，最迟不宜超过6月10号，机插秧每亩用种量3.0-3.5公斤。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rPr>
          <w:rFonts w:ascii="仿宋_GB2312" w:eastAsia="仿宋_GB2312" w:cs="仿宋_GB2312"/>
          <w:sz w:val="28"/>
          <w:szCs w:val="28"/>
        </w:rPr>
        <w:t xml:space="preserve">2、适时机栽，合理密植。机栽秧龄应严格控制在18天左右，一般每亩栽插1.6万穴左右，每亩大田基本苗7-8万。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rPr>
          <w:rFonts w:ascii="仿宋_GB2312" w:eastAsia="仿宋_GB2312" w:cs="仿宋_GB2312"/>
          <w:sz w:val="28"/>
          <w:szCs w:val="28"/>
        </w:rPr>
        <w:t xml:space="preserve">3、科学肥水管理。一般亩施纯氮18-20公斤，配合施用磷、钾肥，做到“前促、中控、后补”，重施基肥，早施分蘖肥、拔节肥，增施磷钾肥，穗肥以促花肥为主，茎蘖肥与穗肥比例以6:4为宜。水浆管理掌握前期浅水勤灌促早发，中期够苗搁田强杆壮根，后期湿润灌溉活熟到老，切忌断水过早，成熟前7天断水。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、病虫草害防治。播种前用药剂浸种防治恶苗病和干尖线虫病等种传病虫害，秧田期和大田期注意灰飞虱、稻蓟马等的防治，中、后期要综合防治纹枯病、稻曲病、稻瘟病、螟虫、稻飞虱等，特别要注意穗颈稻瘟和白叶枯病的防治。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</w:p>
    <w:p>
      <w:pPr>
        <w:pStyle w:val="4"/>
        <w:widowControl/>
        <w:spacing w:before="24" w:beforeAutospacing="0" w:after="24" w:afterAutospacing="0" w:line="300" w:lineRule="atLeast"/>
        <w:jc w:val="center"/>
      </w:pPr>
      <w:r>
        <w:rPr>
          <w:rFonts w:hint="eastAsia" w:ascii="仿宋_GB2312" w:eastAsia="仿宋_GB2312" w:cs="仿宋_GB2312"/>
          <w:b/>
          <w:sz w:val="32"/>
          <w:szCs w:val="32"/>
        </w:rPr>
        <w:t>南</w:t>
      </w:r>
      <w:r>
        <w:rPr>
          <w:rFonts w:ascii="仿宋_GB2312" w:eastAsia="仿宋_GB2312" w:cs="仿宋_GB2312"/>
          <w:b/>
          <w:sz w:val="32"/>
          <w:szCs w:val="32"/>
        </w:rPr>
        <w:t>粳5055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>一、审定编号</w:t>
      </w:r>
      <w:r>
        <w:rPr>
          <w:rFonts w:ascii="仿宋_GB2312" w:eastAsia="仿宋_GB2312" w:cs="仿宋_GB2312"/>
          <w:sz w:val="28"/>
          <w:szCs w:val="28"/>
        </w:rPr>
        <w:t>　</w:t>
      </w:r>
      <w:r>
        <w:rPr>
          <w:rFonts w:hint="eastAsia" w:ascii="仿宋_GB2312" w:eastAsia="仿宋_GB2312" w:cs="仿宋_GB2312"/>
          <w:sz w:val="28"/>
          <w:szCs w:val="28"/>
        </w:rPr>
        <w:t>苏审稻201114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>二、适应范围</w:t>
      </w:r>
      <w:r>
        <w:rPr>
          <w:rFonts w:ascii="仿宋_GB2312" w:eastAsia="仿宋_GB2312" w:cs="仿宋_GB2312"/>
          <w:sz w:val="28"/>
          <w:szCs w:val="28"/>
        </w:rPr>
        <w:t xml:space="preserve">  适宜江苏省沿江及苏南地区种植。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 xml:space="preserve">三、产量水平及特征特性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2009-2010年参加江苏省区试，两年平均亩产614.5公斤，较对照宁粳1号增产4.8%，两年增产均达极显著水平；2010年生产试验平均亩产637.7公斤，较对照增产6.0%。株型紧凑，长势较旺，分蘖力较强，叶色较深，群体整齐度较好，穗型中等，偏直立，着粒较密，抗倒性强。省区试平均结果：每亩有效穗20.4万，每穗实粒数121粒，结实率91.4%，千粒重24.7克，株高96.5厘米，全生育期160天左右，比对照早1天左右；接种鉴定：感穗颈瘟，中感白叶枯病、纹枯病、条纹叶枯病；米质理化指标根据农业部食品质量检测中心2009年检测：整精米率71.4%，垩白粒率10.0%，垩白度0.8%，胶稠度87.0毫米，直链淀粉含量10.1%，属阴糯类型，为优质食味品种。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  <w:jc w:val="both"/>
      </w:pPr>
      <w:r>
        <w:rPr>
          <w:rFonts w:ascii="仿宋_GB2312" w:eastAsia="仿宋_GB2312" w:cs="仿宋_GB2312"/>
          <w:b/>
          <w:sz w:val="28"/>
          <w:szCs w:val="28"/>
        </w:rPr>
        <w:t xml:space="preserve">四、栽培技术要点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1、适期播种，培育壮秧。一般5月中旬播种，湿润育秧每亩净秧板播种量25公斤左右，旱育秧每亩净秧板播种量35公斤左右，机插秧5月20-25日播种，每亩用种量3-4公斤。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2、适时移栽，合理密植。6月上中旬移栽，秧龄30天左右，一般每亩栽插1.5万-1.8万穴，每亩基本苗6万-8万。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、科学肥水管理。一般亩施纯氮18-20公斤，掌握“前重、中稳、后补”的原则，早施分蘖肥，拔节期稳施氮肥，增施磷钾肥，后期看苗补施穗肥。基蘖肥与穗肥比例以7:3为宜，并做到氮、磷、钾搭配使用；为保持该品种的优质食味，宜少施氮肥，多施有机肥，特别是后期尽量不施氮肥。水浆管理上掌握前期浅水勤灌促进早发，中期分次轻搁，强秆壮根，后期干湿交替，活熟到老。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、病虫草害防治。播前用药剂浸种预防恶苗病和干尖线虫病等种传病害，秧田期和大田期注意灰飞虱、稻蓟马等的防治，中、后期要综合防治纹枯病、螟虫、稻纵卷叶螟、稻飞虱等，注意穗颈稻瘟、白叶枯病的防治。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t xml:space="preserve"> </w:t>
      </w: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pStyle w:val="4"/>
        <w:widowControl/>
        <w:spacing w:before="24" w:beforeAutospacing="0" w:after="24" w:afterAutospacing="0" w:line="300" w:lineRule="atLeast"/>
        <w:jc w:val="center"/>
      </w:pPr>
      <w:r>
        <w:rPr>
          <w:rFonts w:hint="eastAsia" w:ascii="仿宋_GB2312" w:eastAsia="仿宋_GB2312" w:cs="仿宋_GB2312"/>
          <w:b/>
          <w:sz w:val="32"/>
          <w:szCs w:val="32"/>
        </w:rPr>
        <w:t>南</w:t>
      </w:r>
      <w:r>
        <w:rPr>
          <w:rFonts w:ascii="仿宋_GB2312" w:eastAsia="仿宋_GB2312" w:cs="仿宋_GB2312"/>
          <w:b/>
          <w:sz w:val="32"/>
          <w:szCs w:val="32"/>
        </w:rPr>
        <w:t>粳3908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>一、审定编号</w:t>
      </w:r>
      <w:r>
        <w:rPr>
          <w:rFonts w:ascii="仿宋_GB2312" w:eastAsia="仿宋_GB2312" w:cs="仿宋_GB2312"/>
          <w:sz w:val="28"/>
          <w:szCs w:val="28"/>
        </w:rPr>
        <w:t>　</w:t>
      </w:r>
      <w:r>
        <w:rPr>
          <w:rFonts w:hint="eastAsia" w:ascii="仿宋_GB2312" w:eastAsia="仿宋_GB2312" w:cs="仿宋_GB2312"/>
          <w:sz w:val="28"/>
          <w:szCs w:val="28"/>
        </w:rPr>
        <w:t>苏审稻20180012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>二、适应范围</w:t>
      </w:r>
      <w:r>
        <w:rPr>
          <w:rFonts w:ascii="仿宋_GB2312" w:eastAsia="仿宋_GB2312" w:cs="仿宋_GB2312"/>
          <w:sz w:val="28"/>
          <w:szCs w:val="28"/>
        </w:rPr>
        <w:t xml:space="preserve">  适宜江苏省沿江及苏南地区种植。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 xml:space="preserve">三、产量水平及特征特性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2015-2016年参加江苏省区试，两年平均亩产726.1公斤，较对照武运粳23号增产4.3%。2017年生产试验，平均亩产650.8公斤，较对照武运粳23号增产4.1%。属早熟晚粳稻品种。株型紧凑，分蘖力中等偏上，群体整齐度好，抗倒性强，穗型大，叶色中绿，叶姿挺，成熟期转色好。区试平均结果：每亩有效穗21.5万，每穗实粒数127.1粒，结实率95.4%，千粒重28.3克，株高99.1厘米，全生育期158.0天，比对照武运粳23号早1.2天。病害鉴定：稻瘟病损失率5级、稻瘟病综合抗性指数4.5，感白叶枯病，感纹枯病，条纹叶枯病5级。米质理化指标根据农业部食品质量监督检验测试中心（武汉）2016年检测：整精米率67.8%，垩白粒率20.0%，垩白度3.8%，胶稠度90.0毫米，直链淀粉含量10.1%，米质较优。 </w:t>
      </w:r>
    </w:p>
    <w:p>
      <w:pPr>
        <w:pStyle w:val="4"/>
        <w:widowControl/>
        <w:spacing w:before="24" w:beforeAutospacing="0" w:after="24" w:afterAutospacing="0" w:line="400" w:lineRule="exact"/>
        <w:jc w:val="both"/>
      </w:pPr>
      <w:r>
        <w:rPr>
          <w:rFonts w:ascii="仿宋_GB2312" w:eastAsia="仿宋_GB2312" w:cs="仿宋_GB2312"/>
          <w:b/>
          <w:sz w:val="28"/>
          <w:szCs w:val="28"/>
        </w:rPr>
        <w:t xml:space="preserve">四、栽培技术要点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1、适期播种，培育壮秧。一般5月中旬播种，湿润育秧每亩净秧板播种量25公斤左右，旱育秧每亩净秧板播种量35公斤左右，机插秧5月20-25日播种，每亩用种量3-4公斤。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2、适时移栽，合理密植。6月上中旬移栽，秧龄30天左右，一般每亩栽插1.5万-1.8万穴，每亩基本苗6万-8万。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3、科学肥水管理。一般亩施纯氮18-20公斤，掌握“前重、中稳、后补”的原则，早施分蘖肥，拔节期稳施氮肥，增施磷钾肥，后期看苗补施穗肥。基蘖肥与穗肥比例以7</w:t>
      </w:r>
      <w:r>
        <w:rPr>
          <w:rFonts w:hint="eastAsia" w:ascii="仿宋_GB2312" w:eastAsia="仿宋_GB2312" w:cs="仿宋_GB2312"/>
          <w:sz w:val="28"/>
          <w:szCs w:val="28"/>
        </w:rPr>
        <w:t>∶</w:t>
      </w:r>
      <w:r>
        <w:rPr>
          <w:rFonts w:ascii="仿宋_GB2312" w:eastAsia="仿宋_GB2312" w:cs="仿宋_GB2312"/>
          <w:sz w:val="28"/>
          <w:szCs w:val="28"/>
        </w:rPr>
        <w:t>3为宜，并做到氮、磷、钾搭配使用；为保持该品种的优质食味，宜少施氮肥，多施有机肥，特别是后期尽量不施氮肥。水浆管理上掌握前期浅水勤灌促进早发，中期分次轻搁，强秆壮根，后期干湿交替，活熟到老。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、病虫害防治。播前用药剂浸种预防恶苗病和干尖线虫病等种传病害，秧田期和大田期注意灰飞虱、稻蓟马等的防治，中、后期要综合防治纹枯病、螟虫、稻纵卷叶螟、稻飞虱等。尤其要注意稻瘟病、白叶枯病的防治。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</w:p>
    <w:p>
      <w:pPr>
        <w:pStyle w:val="4"/>
        <w:widowControl/>
        <w:spacing w:before="24" w:beforeAutospacing="0" w:after="24" w:afterAutospacing="0" w:line="300" w:lineRule="atLeast"/>
        <w:jc w:val="center"/>
        <w:rPr>
          <w:rFonts w:ascii="仿宋_GB2312" w:eastAsia="仿宋_GB2312" w:cs="仿宋_GB2312"/>
          <w:b/>
          <w:sz w:val="32"/>
          <w:szCs w:val="32"/>
        </w:rPr>
      </w:pPr>
    </w:p>
    <w:p>
      <w:pPr>
        <w:pStyle w:val="4"/>
        <w:widowControl/>
        <w:spacing w:before="24" w:beforeAutospacing="0" w:after="24" w:afterAutospacing="0" w:line="300" w:lineRule="atLeast"/>
        <w:jc w:val="center"/>
      </w:pPr>
      <w:r>
        <w:rPr>
          <w:rFonts w:hint="eastAsia" w:ascii="仿宋_GB2312" w:eastAsia="仿宋_GB2312" w:cs="仿宋_GB2312"/>
          <w:b/>
          <w:sz w:val="32"/>
          <w:szCs w:val="32"/>
        </w:rPr>
        <w:t>镇糯19号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>一、审定编号</w:t>
      </w:r>
      <w:r>
        <w:rPr>
          <w:rFonts w:ascii="仿宋_GB2312" w:eastAsia="仿宋_GB2312" w:cs="仿宋_GB2312"/>
          <w:sz w:val="28"/>
          <w:szCs w:val="28"/>
        </w:rPr>
        <w:t>　苏审稻201312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>二、适应范围</w:t>
      </w:r>
      <w:r>
        <w:rPr>
          <w:rFonts w:ascii="仿宋_GB2312" w:eastAsia="仿宋_GB2312" w:cs="仿宋_GB2312"/>
          <w:sz w:val="28"/>
          <w:szCs w:val="28"/>
        </w:rPr>
        <w:t>  适宜江苏省沿江及苏南地区种植。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</w:pPr>
      <w:r>
        <w:rPr>
          <w:rFonts w:ascii="仿宋_GB2312" w:eastAsia="仿宋_GB2312" w:cs="仿宋_GB2312"/>
          <w:b/>
          <w:sz w:val="28"/>
          <w:szCs w:val="28"/>
        </w:rPr>
        <w:t>三、产量水平及特征特性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rPr>
          <w:rFonts w:ascii="仿宋_GB2312" w:eastAsia="仿宋_GB2312" w:cs="仿宋_GB2312"/>
          <w:sz w:val="28"/>
          <w:szCs w:val="28"/>
        </w:rPr>
        <w:t>2010-2011年参加江苏省区试，两年平均亩产637.8公斤，2010年比对照宁粳1号增产5.6%，两年增产均达极显著水平；2012年生产试验平均亩产683.4公斤，比对照宁粳1号增产6.5%。</w:t>
      </w:r>
      <w:r>
        <w:t xml:space="preserve"> </w:t>
      </w:r>
      <w:r>
        <w:rPr>
          <w:rFonts w:ascii="仿宋_GB2312" w:eastAsia="仿宋_GB2312" w:cs="仿宋_GB2312"/>
          <w:sz w:val="28"/>
          <w:szCs w:val="28"/>
        </w:rPr>
        <w:t>株型较紧凑，长势较旺，穗型较大，分蘖力中等，叶色中绿，后期熟相好，抗倒性较强；省区试平均结果：每亩有效穗20.1万，每穗实粒数129.4粒，结实率93.8%，千粒重26.3克，株高99.4厘米左右，全生育期158天左右，较对照宁粳1号早熟2天左右。接种鉴定：中抗白叶枯病，中感条纹叶枯病、稻瘟病，感纹枯病；米质理化指标根据农业部食品质量检测中心2010年检测：整精米率71.4%，垩白率糯，垩白度糯，胶稠度100 毫米，直链淀粉含量1.3%，达到国标优质糯稻谷标准。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  <w:jc w:val="both"/>
      </w:pPr>
      <w:r>
        <w:rPr>
          <w:rFonts w:ascii="仿宋_GB2312" w:eastAsia="仿宋_GB2312" w:cs="仿宋_GB2312"/>
          <w:b/>
          <w:sz w:val="28"/>
          <w:szCs w:val="28"/>
        </w:rPr>
        <w:t>四、栽培技术要点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rPr>
          <w:rFonts w:ascii="仿宋_GB2312" w:eastAsia="仿宋_GB2312" w:cs="仿宋_GB2312"/>
          <w:sz w:val="28"/>
          <w:szCs w:val="28"/>
        </w:rPr>
        <w:t>1、适期播种，培育壮秧。一般5月中旬播种，湿润育秧每亩净秧板播量25-30公斤，旱育秧每亩净秧板播量40公斤左右。机插秧5月20-25日播种，每亩用种量3.0 公斤，秧龄18-20天。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rPr>
          <w:rFonts w:ascii="仿宋_GB2312" w:eastAsia="仿宋_GB2312" w:cs="仿宋_GB2312"/>
          <w:sz w:val="28"/>
          <w:szCs w:val="28"/>
        </w:rPr>
        <w:t>2、适时移栽，合理密植。一般6月上中旬移栽，秧龄控制在30天左右，每亩栽插1.8万穴左右，每亩大田基本苗6万-8万。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rPr>
          <w:rFonts w:ascii="仿宋_GB2312" w:eastAsia="仿宋_GB2312" w:cs="仿宋_GB2312"/>
          <w:sz w:val="28"/>
          <w:szCs w:val="28"/>
        </w:rPr>
        <w:t>3、科学肥水管理。一般亩施纯氮20公斤左右，肥料运筹掌握“前重、中稳、后补”的原则，早施分蘖肥，在中期稳健的基础，适时施好穗肥。基蘖肥与穗肥比例以6:4为宜。水浆管理掌握前期浅水勤灌，当茎蘖数达到20万左右时，分次适度搁田，后期湿润灌溉，成熟后7-10天断水，切忌断水过早。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</w:pPr>
      <w:r>
        <w:rPr>
          <w:rFonts w:ascii="仿宋_GB2312" w:eastAsia="仿宋_GB2312" w:cs="仿宋_GB2312"/>
          <w:sz w:val="28"/>
          <w:szCs w:val="28"/>
        </w:rPr>
        <w:t>4、病虫草害防治。播前用药剂浸种防治恶苗病和干尖线虫病等种传病虫害，秧田期和大田期注意灰飞虱、稻蓟马等的防治，中、后期要综合防治纹枯病、稻曲病、螟虫、稻纵卷叶螟等。特别要注意黑条矮缩病、穗颈瘟的防治。</w:t>
      </w:r>
      <w:r>
        <w:t xml:space="preserve"> </w:t>
      </w:r>
    </w:p>
    <w:p>
      <w:pPr>
        <w:pStyle w:val="4"/>
        <w:widowControl/>
        <w:spacing w:before="24" w:beforeAutospacing="0" w:after="24" w:afterAutospacing="0" w:line="400" w:lineRule="exact"/>
        <w:ind w:firstLine="560"/>
        <w:jc w:val="both"/>
        <w:rPr>
          <w:rFonts w:asci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93"/>
    <w:rsid w:val="0036632F"/>
    <w:rsid w:val="00603675"/>
    <w:rsid w:val="00700697"/>
    <w:rsid w:val="008D3371"/>
    <w:rsid w:val="009C3B42"/>
    <w:rsid w:val="00A95A23"/>
    <w:rsid w:val="00B02993"/>
    <w:rsid w:val="00B91F1F"/>
    <w:rsid w:val="00EC7FB8"/>
    <w:rsid w:val="00EF0BFB"/>
    <w:rsid w:val="087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non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574</Words>
  <Characters>3272</Characters>
  <Lines>27</Lines>
  <Paragraphs>7</Paragraphs>
  <TotalTime>20</TotalTime>
  <ScaleCrop>false</ScaleCrop>
  <LinksUpToDate>false</LinksUpToDate>
  <CharactersWithSpaces>3839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2019-02-22T07:08:00Z</dcterms:created>
  <dc:creator>郑飞</dc:creator>
  <cp:lastModifiedBy>胖胖胖狐狸</cp:lastModifiedBy>
  <dcterms:modified xsi:type="dcterms:W3CDTF">2019-04-09T06:40:39Z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